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0"/>
        </w:rPr>
        <w:t>PPM DECISION INTELLIGENCE</w:t>
      </w:r>
    </w:p>
    <w:p>
      <w:pPr>
        <w:pStyle w:val="Title"/>
        <w:jc w:val="center"/>
      </w:pPr>
      <w:r>
        <w:t>Executive Decision Canvas</w:t>
      </w:r>
    </w:p>
    <w:p>
      <w:pPr>
        <w:jc w:val="center"/>
      </w:pPr>
      <w:r>
        <w:rPr>
          <w:b/>
          <w:sz w:val="26"/>
        </w:rPr>
        <w:t>Specification &amp; Traceability Record</w:t>
      </w:r>
    </w:p>
    <w:p>
      <w:pPr>
        <w:jc w:val="center"/>
      </w:pPr>
      <w:r>
        <w:t>Certified reference state: December 2026</w:t>
      </w:r>
    </w:p>
    <w:p>
      <w:pPr>
        <w:pStyle w:val="Heading1"/>
      </w:pPr>
      <w:r>
        <w:t>1. Purpose</w:t>
      </w:r>
    </w:p>
    <w:p>
      <w:r>
        <w:t>The Executive Decision Canvas is the decision-intelligence layer above the four certified Tableau dashboards. Its purpose is to compress portfolio evidence into a traceable management sequence: Situation → Evidence → Priority → Action → Monitoring. It is not a fifth dashboard and does not introduce a new analytical dataset.</w:t>
      </w:r>
    </w:p>
    <w:p>
      <w:pPr>
        <w:pStyle w:val="Heading1"/>
      </w:pPr>
      <w:r>
        <w:t>2. Certified Canvas Statement</w:t>
      </w:r>
    </w:p>
    <w:p>
      <w:r>
        <w:t>Situation: The portfolio is experiencing simultaneous financial, schedule, risk, and resource pressure. These pressures are unevenly distributed, requiring targeted intervention rather than portfolio-wide corrective action.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</w:trPr>
        <w:tc>
          <w:tcPr>
            <w:tcW w:type="dxa" w:w="331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Headline signal</w:t>
            </w:r>
          </w:p>
        </w:tc>
        <w:tc>
          <w:tcPr>
            <w:tcW w:type="dxa" w:w="244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December 2026 baseline</w:t>
            </w:r>
          </w:p>
        </w:tc>
        <w:tc>
          <w:tcPr>
            <w:tcW w:type="dxa" w:w="547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Primary evidence source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Forecast Overrun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$33.1M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Dashboard 4 — Project Performance &amp; Forecast Control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Projects Delayed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94 / 150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Dashboard 4 — Project Performance &amp; Forecast Control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Unresolved Risks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32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Dashboard 2 — Portfolio Risk &amp; Intervention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Capacity Coverage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95.0%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Dashboard 3 — Resource Capacity &amp; Delivery Readiness</w:t>
            </w:r>
          </w:p>
        </w:tc>
      </w:tr>
    </w:tbl>
    <w:p/>
    <w:p>
      <w:pPr>
        <w:pStyle w:val="Heading1"/>
      </w:pPr>
      <w:r>
        <w:t>3. Evidence Traceability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</w:trPr>
        <w:tc>
          <w:tcPr>
            <w:tcW w:type="dxa" w:w="288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Canvas evidence</w:t>
            </w:r>
          </w:p>
        </w:tc>
        <w:tc>
          <w:tcPr>
            <w:tcW w:type="dxa" w:w="403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Certified fact</w:t>
            </w:r>
          </w:p>
        </w:tc>
        <w:tc>
          <w:tcPr>
            <w:tcW w:type="dxa" w:w="432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Source / interpretation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Financial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100 of 150 projects forecast over current budget.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Dashboard 4. Broad financial pressure; magnitude differs by project.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Delivery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71 projects are both forecast over budget and delayed.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Dashboard 4 VIZ 15 diagnostic. Establishes co-occurrence, not causality.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Risk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16 of 32 unresolved risks are High/Critical.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Dashboard 2. Severe Risk Share = 50.0%; 27 projects exposed.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Capacity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Planned demand exceeds available capacity by 1,700 hours; 10 of 12 roles are under pressure.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Dashboard 3. Planned demand 34,180 hours; available capacity 32,480 hours.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Synthesis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Pressure is material, but concentrated intervention is more appropriate than uniform action.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Professional judgment derived from the uneven distribution of financial, delivery, risk and capacity signals.</w:t>
            </w:r>
          </w:p>
        </w:tc>
      </w:tr>
    </w:tbl>
    <w:p/>
    <w:p>
      <w:pPr>
        <w:pStyle w:val="Heading1"/>
      </w:pPr>
      <w:r>
        <w:t>4. Priority Framework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</w:trPr>
        <w:tc>
          <w:tcPr>
            <w:tcW w:type="dxa" w:w="288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Priority</w:t>
            </w:r>
          </w:p>
        </w:tc>
        <w:tc>
          <w:tcPr>
            <w:tcW w:type="dxa" w:w="360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Definition</w:t>
            </w:r>
          </w:p>
        </w:tc>
        <w:tc>
          <w:tcPr>
            <w:tcW w:type="dxa" w:w="475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Use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P1 — Immediate Executive Review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Multiple adverse signals converge.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Escalate the highest-priority projects for executive review of recovery options, commitments and intervention.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P2 — Targeted Management Intervention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Material adverse signal in one principal dimension.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Address the specific financial, schedule or risk issue without assuming portfolio-wide deterioration.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P3 — Monitor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No current evidence requires active intervention.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Continue routine monitoring and watch for movement into material pressure.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Portfolio Capacity Intervention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Planned demand exceeds specialist capacity.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Treat capacity as a portfolio delivery-system constraint, not solely as an individual project issue.</w:t>
            </w:r>
          </w:p>
        </w:tc>
      </w:tr>
    </w:tbl>
    <w:p/>
    <w:p>
      <w:r>
        <w:t>Governance note: P1/P2/P3 is a recommended intervention framework. The current dataset does not contain a historical monthly P1/P2/P3 classification, so the project does not claim historical movement between these tiers.</w:t>
      </w:r>
    </w:p>
    <w:p>
      <w:pPr>
        <w:pStyle w:val="Heading1"/>
      </w:pPr>
      <w:r>
        <w:t>5. Recommended Executive Actions</w:t>
      </w:r>
    </w:p>
    <w:p>
      <w:r>
        <w:rPr>
          <w:b/>
        </w:rPr>
        <w:t>1. Launch focused project recovery reviews</w:t>
      </w:r>
    </w:p>
    <w:p>
      <w:r>
        <w:t>Begin with the 71 projects under combined financial and schedule pressure, then prioritize using overrun magnitude, delay, unresolved risk, health status and strategic importance.</w:t>
      </w:r>
    </w:p>
    <w:p>
      <w:r>
        <w:rPr>
          <w:b/>
        </w:rPr>
        <w:t>2. Challenge forecasts and remaining commitments</w:t>
      </w:r>
    </w:p>
    <w:p>
      <w:r>
        <w:t>For materially over-budget projects, review forecast assumptions and determine whether to accept the revised forecast, pursue corrective action, modify scope/timing, or reconsider remaining commitment.</w:t>
      </w:r>
    </w:p>
    <w:p>
      <w:r>
        <w:rPr>
          <w:b/>
        </w:rPr>
        <w:t>3. Rebalance constrained specialist capacity</w:t>
      </w:r>
    </w:p>
    <w:p>
      <w:r>
        <w:t>Review demand and supply options. Initial attention includes Functional Consultant (largest absolute shortfall: 570 hours) and Data Engineer (highest relative demand pressure: approximately 118.8%).</w:t>
      </w:r>
    </w:p>
    <w:p>
      <w:r>
        <w:rPr>
          <w:b/>
        </w:rPr>
        <w:t>4. Escalate severe unresolved risks</w:t>
      </w:r>
    </w:p>
    <w:p>
      <w:r>
        <w:t>Prioritize severe unresolved risks according to exposure and convergence with other adverse signals rather than raw risk count alone.</w:t>
      </w:r>
    </w:p>
    <w:p>
      <w:r>
        <w:rPr>
          <w:b/>
        </w:rPr>
        <w:t>5. Establish a monthly intervention cycle</w:t>
      </w:r>
    </w:p>
    <w:p>
      <w:r>
        <w:t>Repeat the portfolio assessment each reporting period to determine what changed, whether interventions are working, and where leadership attention should shift.</w:t>
      </w:r>
    </w:p>
    <w:p>
      <w:pPr>
        <w:pStyle w:val="Heading1"/>
      </w:pPr>
      <w:r>
        <w:t>6. Monitoring Framework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</w:trPr>
        <w:tc>
          <w:tcPr>
            <w:tcW w:type="dxa" w:w="288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Signal</w:t>
            </w:r>
          </w:p>
        </w:tc>
        <w:tc>
          <w:tcPr>
            <w:tcW w:type="dxa" w:w="244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December baseline</w:t>
            </w:r>
          </w:p>
        </w:tc>
        <w:tc>
          <w:tcPr>
            <w:tcW w:type="dxa" w:w="5904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Desired direction / trigger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Forecast Overrun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$33.1M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Down; investigate material deterioration or lack of improvement after intervention.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Combined Pressure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71 / 150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Down; track projects leaving or entering the over-budget + delayed condition.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Severe Unresolved Risk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16 High/Critical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Down, especially among priority projects; validate real mitigation rather than administrative closure.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Capacity Coverage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95.0%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Toward/above 100%, while also checking role-level constraints.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Intervention Movement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P1 &lt;-&gt; P2 &lt;-&gt; P3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Once adopted, record monthly tier status and assess improvement, persistence or deterioration.</w:t>
            </w:r>
          </w:p>
        </w:tc>
      </w:tr>
    </w:tbl>
    <w:p/>
    <w:p>
      <w:pPr>
        <w:pStyle w:val="Heading1"/>
      </w:pPr>
      <w:r>
        <w:t>7. Evidence → Judgment → Decision Boundary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288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Layer</w:t>
            </w:r>
          </w:p>
        </w:tc>
        <w:tc>
          <w:tcPr>
            <w:tcW w:type="dxa" w:w="835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What is supported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Observed evidence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Certified KPI values, project counts, risk counts, capacity measures, ranked projects and role pressures from Dashboards 1–4.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Analytical synthesis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The portfolio has simultaneous pressures and those pressures are unevenly distributed.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Professional judgment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Converging adverse signals warrant greater management attention than isolated or lower-pressure signals.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Recommended decision/action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Use P1/P2/P3 prioritization, focused recovery reviews, forecast challenge, capacity rebalancing, risk escalation and monthly intervention review.</w:t>
            </w:r>
          </w:p>
        </w:tc>
      </w:tr>
    </w:tbl>
    <w:p/>
    <w:p>
      <w:r>
        <w:t>The recommendations are decision support, not automated decisions. Professional judgment remains between evidence and action.</w:t>
      </w:r>
    </w:p>
    <w:p>
      <w:pPr>
        <w:pStyle w:val="Heading1"/>
      </w:pPr>
      <w:r>
        <w:t>8. Assumptions and Limitations</w:t>
      </w:r>
    </w:p>
    <w:p>
      <w:pPr>
        <w:pStyle w:val="ListBullet"/>
      </w:pPr>
      <w:r>
        <w:t>The project uses realistic synthetic Oracle PPM-style data; findings demonstrate analytical and decision-support methods rather than conditions in a real organization.</w:t>
      </w:r>
    </w:p>
    <w:p>
      <w:pPr>
        <w:pStyle w:val="ListBullet"/>
      </w:pPr>
      <w:r>
        <w:t>Current Budget is Dashboard 4's operational control baseline; Approved Budget remains the strategic/original baseline used elsewhere.</w:t>
      </w:r>
    </w:p>
    <w:p>
      <w:pPr>
        <w:pStyle w:val="ListBullet"/>
      </w:pPr>
      <w:r>
        <w:t>Forecast Overrun is Forecast Cost minus Current Budget; positive values are adverse.</w:t>
      </w:r>
    </w:p>
    <w:p>
      <w:pPr>
        <w:pStyle w:val="ListBullet"/>
      </w:pPr>
      <w:r>
        <w:t>Open Risk Burden is a prioritization index based on unresolved risk scores, not monetary exposure.</w:t>
      </w:r>
    </w:p>
    <w:p>
      <w:pPr>
        <w:pStyle w:val="ListBullet"/>
      </w:pPr>
      <w:r>
        <w:t>Financial overrun, schedule delay, risk and capacity pressure may co-occur; the analysis does not claim that one causes another.</w:t>
      </w:r>
    </w:p>
    <w:p>
      <w:pPr>
        <w:pStyle w:val="ListBullet"/>
      </w:pPr>
      <w:r>
        <w:t>No arbitrary organizational escalation thresholds are invented where the dataset provides none.</w:t>
      </w:r>
    </w:p>
    <w:p>
      <w:pPr>
        <w:pStyle w:val="ListBullet"/>
      </w:pPr>
      <w:r>
        <w:t>Capacity Coverage is a portfolio aggregate; role-level pressure must also be reviewed because aggregate improvement can mask specialist constraints.</w:t>
      </w:r>
    </w:p>
    <w:p>
      <w:pPr>
        <w:pStyle w:val="ListBullet"/>
      </w:pPr>
      <w:r>
        <w:t>Historical P1/P2/P3 intervention movement is recommended for future governance but is not present in the current source data.</w:t>
      </w:r>
    </w:p>
    <w:p>
      <w:pPr>
        <w:pStyle w:val="Heading1"/>
      </w:pPr>
      <w:r>
        <w:t>9. QA and Governance Controls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9504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Control</w:t>
            </w:r>
          </w:p>
        </w:tc>
        <w:tc>
          <w:tcPr>
            <w:tcW w:type="dxa" w:w="172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Status</w:t>
            </w:r>
          </w:p>
        </w:tc>
      </w:tr>
      <w:tr>
        <w:trPr>
          <w:cantSplit/>
        </w:trPr>
        <w:tc>
          <w:tcPr>
            <w:tcW w:type="dxa" w:w="950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Canvas headline values reconcile to certified dashboard controls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950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Action sequence matches approved intervention logic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950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Observed facts are distinguished from professional judgment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950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No causal claims inferred from co-occurrence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950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No invented ROI, savings or escalation thresholds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950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P1/P2/P3 presented as recommended framework, not historical source data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950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Monitoring baselines reconcile to December 2026 certified state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PASS</w:t>
            </w:r>
          </w:p>
        </w:tc>
      </w:tr>
    </w:tbl>
    <w:p/>
    <w:p>
      <w:pPr>
        <w:pStyle w:val="Heading1"/>
      </w:pPr>
      <w:r>
        <w:t>10. Artifact and Repository Record</w:t>
      </w:r>
    </w:p>
    <w:p>
      <w:r>
        <w:t>Canonical artifact: Executive Decision Canvas (one-page PDF)</w:t>
        <w:br/>
        <w:t>Recommended repository path: assets/decision-canvas/executive_decision_canvas.pdf</w:t>
        <w:br/>
        <w:t>Specification: docs/decision-intelligence/executive_decision_canvas_spec_traceability.docx</w:t>
      </w:r>
    </w:p>
    <w:p>
      <w:r>
        <w:t>Freeze rule: any change to the canvas must preserve traceability to certified dashboard evidence, distinguish evidence from judgment, and trigger revalidation of affected December 2026 controls.</w:t>
      </w:r>
    </w:p>
    <w:p>
      <w:pPr>
        <w:pStyle w:val="Heading1"/>
      </w:pPr>
      <w:r>
        <w:t>11. Decision Intelligence Chain</w:t>
      </w:r>
    </w:p>
    <w:p>
      <w:pPr>
        <w:jc w:val="center"/>
      </w:pPr>
      <w:r>
        <w:rPr>
          <w:b/>
          <w:sz w:val="22"/>
        </w:rPr>
        <w:t>DATA → EVIDENCE → INSIGHT → PROFESSIONAL JUDGMENT → DECISION → ACTION</w:t>
      </w:r>
    </w:p>
    <w:sectPr w:rsidR="00FC693F" w:rsidRPr="0006063C" w:rsidSect="00034616">
      <w:footerReference w:type="default" r:id="rId9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5"/>
      </w:rPr>
      <w:t>PPM Decision Intelligence | Executive Decision Canvas Specification &amp; Traceability Record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