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4"/>
        <w:rPr>
          <w:sz w:val="9"/>
        </w:rPr>
      </w:pPr>
      <w:r>
        <w:pict>
          <v:group id="_x0000_s1025" style="width:382pt;height:735.4pt;margin-top:49.4pt;margin-left:105pt;mso-position-horizontal-relative:page;mso-position-vertical-relative:page;position:absolute;z-index:-251658240" coordorigin="2100,988" coordsize="7640,14708">
            <v:shape id="_x0000_s1026" style="width:7640;height:14708;left:2100;position:absolute;top:988" coordorigin="2100,988" coordsize="7640,14708" path="m9740,988l2100,988,2100,1004,2100,15682,2100,15696,9740,15696,9740,15682,2115,15682,2115,1435,9725,1435,9725,15682,9740,15682,9740,1004,9740,1003,9740,988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3210;height:1551;left:4314;position:absolute;top:2365" stroked="f">
              <v:imagedata r:id="rId4" o:title=""/>
            </v:shape>
            <v:shape id="_x0000_s1028" type="#_x0000_t75" style="width:1695;height:630;left:5072;position:absolute;top:9186" stroked="f">
              <v:imagedata r:id="rId5" o:title=""/>
            </v:shape>
            <v:shape id="_x0000_s1029" type="#_x0000_t75" style="width:2355;height:675;left:4742;position:absolute;top:12021" stroked="f">
              <v:imagedata r:id="rId6" o:title=""/>
            </v:shape>
          </v:group>
        </w:pict>
      </w:r>
    </w:p>
    <w:p>
      <w:pPr>
        <w:pStyle w:val="Heading2"/>
        <w:ind w:right="281"/>
        <w:jc w:val="center"/>
      </w:pPr>
      <w:bookmarkStart w:id="0" w:name="» Exercise 3.7.2"/>
      <w:bookmarkEnd w:id="0"/>
      <w:bookmarkStart w:id="1" w:name="_bookmark111"/>
      <w:bookmarkEnd w:id="1"/>
      <w:r>
        <w:rPr>
          <w:w w:val="120"/>
        </w:rPr>
        <w:t>Exercise 3.7.2</w:t>
      </w:r>
    </w:p>
    <w:p>
      <w:pPr>
        <w:pStyle w:val="BodyText"/>
        <w:spacing w:before="179"/>
        <w:ind w:left="885"/>
        <w:rPr>
          <w:rFonts w:ascii="Book Antiqua"/>
        </w:rPr>
      </w:pPr>
      <w:r>
        <w:rPr>
          <w:rFonts w:ascii="Book Antiqua"/>
          <w:w w:val="115"/>
        </w:rPr>
        <w:t>Find the Mayer-Norton equivalent circuit for the circuit below.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5"/>
        <w:rPr>
          <w:rFonts w:ascii="Book Antiqua"/>
          <w:sz w:val="26"/>
        </w:rPr>
      </w:pPr>
    </w:p>
    <w:p>
      <w:pPr>
        <w:spacing w:before="98"/>
        <w:ind w:left="156" w:right="279" w:firstLine="0"/>
        <w:jc w:val="center"/>
        <w:rPr>
          <w:rFonts w:ascii="Book Antiqua"/>
          <w:b/>
          <w:sz w:val="17"/>
        </w:rPr>
      </w:pPr>
      <w:r>
        <w:rPr>
          <w:rFonts w:ascii="Book Antiqua"/>
          <w:b/>
          <w:w w:val="115"/>
          <w:sz w:val="17"/>
        </w:rPr>
        <w:t>Figure 3.21 Circuit for exercise</w:t>
      </w:r>
    </w:p>
    <w:p>
      <w:pPr>
        <w:pStyle w:val="BodyText"/>
        <w:spacing w:before="1"/>
        <w:rPr>
          <w:rFonts w:ascii="Book Antiqua"/>
          <w:b/>
          <w:sz w:val="18"/>
        </w:rPr>
      </w:pPr>
    </w:p>
    <w:p>
      <w:pPr>
        <w:pStyle w:val="BodyText"/>
        <w:spacing w:line="290" w:lineRule="auto"/>
        <w:ind w:left="885" w:right="879"/>
        <w:rPr>
          <w:rFonts w:ascii="Book Antiqua"/>
        </w:rPr>
      </w:pPr>
      <w:r>
        <w:rPr>
          <w:rFonts w:ascii="Book Antiqua"/>
          <w:w w:val="115"/>
        </w:rPr>
        <w:t>Equivalent circuits can be used in two basic ways. The first is to simplify the analysis of a complicated circuit by realizing the any portion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of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a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circuit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can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be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described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by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either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a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Thevenin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or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Mayer- Norton</w:t>
      </w:r>
      <w:r>
        <w:rPr>
          <w:rFonts w:ascii="Book Antiqua"/>
          <w:spacing w:val="-22"/>
          <w:w w:val="115"/>
        </w:rPr>
        <w:t xml:space="preserve"> </w:t>
      </w:r>
      <w:r>
        <w:rPr>
          <w:rFonts w:ascii="Book Antiqua"/>
          <w:w w:val="115"/>
        </w:rPr>
        <w:t>equivalent.</w:t>
      </w:r>
      <w:r>
        <w:rPr>
          <w:rFonts w:ascii="Book Antiqua"/>
          <w:spacing w:val="-22"/>
          <w:w w:val="115"/>
        </w:rPr>
        <w:t xml:space="preserve"> </w:t>
      </w:r>
      <w:r>
        <w:rPr>
          <w:rFonts w:ascii="Book Antiqua"/>
          <w:w w:val="115"/>
        </w:rPr>
        <w:t>Which</w:t>
      </w:r>
      <w:r>
        <w:rPr>
          <w:rFonts w:ascii="Book Antiqua"/>
          <w:spacing w:val="-22"/>
          <w:w w:val="115"/>
        </w:rPr>
        <w:t xml:space="preserve"> </w:t>
      </w:r>
      <w:r>
        <w:rPr>
          <w:rFonts w:ascii="Book Antiqua"/>
          <w:w w:val="115"/>
        </w:rPr>
        <w:t>one</w:t>
      </w:r>
      <w:r>
        <w:rPr>
          <w:rFonts w:ascii="Book Antiqua"/>
          <w:spacing w:val="-21"/>
          <w:w w:val="115"/>
        </w:rPr>
        <w:t xml:space="preserve"> </w:t>
      </w:r>
      <w:r>
        <w:rPr>
          <w:rFonts w:ascii="Book Antiqua"/>
          <w:w w:val="115"/>
        </w:rPr>
        <w:t>is</w:t>
      </w:r>
      <w:r>
        <w:rPr>
          <w:rFonts w:ascii="Book Antiqua"/>
          <w:spacing w:val="-22"/>
          <w:w w:val="115"/>
        </w:rPr>
        <w:t xml:space="preserve"> </w:t>
      </w:r>
      <w:r>
        <w:rPr>
          <w:rFonts w:ascii="Book Antiqua"/>
          <w:w w:val="115"/>
        </w:rPr>
        <w:t>used</w:t>
      </w:r>
      <w:r>
        <w:rPr>
          <w:rFonts w:ascii="Book Antiqua"/>
          <w:spacing w:val="-22"/>
          <w:w w:val="115"/>
        </w:rPr>
        <w:t xml:space="preserve"> </w:t>
      </w:r>
      <w:r>
        <w:rPr>
          <w:rFonts w:ascii="Book Antiqua"/>
          <w:w w:val="115"/>
        </w:rPr>
        <w:t>depends</w:t>
      </w:r>
      <w:r>
        <w:rPr>
          <w:rFonts w:ascii="Book Antiqua"/>
          <w:spacing w:val="-22"/>
          <w:w w:val="115"/>
        </w:rPr>
        <w:t xml:space="preserve"> </w:t>
      </w:r>
      <w:r>
        <w:rPr>
          <w:rFonts w:ascii="Book Antiqua"/>
          <w:w w:val="115"/>
        </w:rPr>
        <w:t>on</w:t>
      </w:r>
      <w:r>
        <w:rPr>
          <w:rFonts w:ascii="Book Antiqua"/>
          <w:spacing w:val="-21"/>
          <w:w w:val="115"/>
        </w:rPr>
        <w:t xml:space="preserve"> </w:t>
      </w:r>
      <w:r>
        <w:rPr>
          <w:rFonts w:ascii="Book Antiqua"/>
          <w:w w:val="115"/>
        </w:rPr>
        <w:t>whether</w:t>
      </w:r>
      <w:r>
        <w:rPr>
          <w:rFonts w:ascii="Book Antiqua"/>
          <w:spacing w:val="-22"/>
          <w:w w:val="115"/>
        </w:rPr>
        <w:t xml:space="preserve"> </w:t>
      </w:r>
      <w:r>
        <w:rPr>
          <w:rFonts w:ascii="Book Antiqua"/>
          <w:w w:val="115"/>
        </w:rPr>
        <w:t>what</w:t>
      </w:r>
      <w:r>
        <w:rPr>
          <w:rFonts w:ascii="Book Antiqua"/>
          <w:spacing w:val="-22"/>
          <w:w w:val="115"/>
        </w:rPr>
        <w:t xml:space="preserve"> </w:t>
      </w:r>
      <w:r>
        <w:rPr>
          <w:rFonts w:ascii="Book Antiqua"/>
          <w:w w:val="115"/>
        </w:rPr>
        <w:t>is attached to the terminals is a series confguration (making the Thevenin equivalent the best) or a parallel one (making Mayer- Norton the</w:t>
      </w:r>
      <w:r>
        <w:rPr>
          <w:rFonts w:ascii="Book Antiqua"/>
          <w:spacing w:val="-16"/>
          <w:w w:val="115"/>
        </w:rPr>
        <w:t xml:space="preserve"> </w:t>
      </w:r>
      <w:r>
        <w:rPr>
          <w:rFonts w:ascii="Book Antiqua"/>
          <w:w w:val="115"/>
        </w:rPr>
        <w:t>best).</w:t>
      </w:r>
    </w:p>
    <w:p>
      <w:pPr>
        <w:pStyle w:val="BodyText"/>
        <w:spacing w:before="12"/>
        <w:rPr>
          <w:rFonts w:ascii="Book Antiqua"/>
          <w:sz w:val="24"/>
        </w:rPr>
      </w:pPr>
    </w:p>
    <w:p>
      <w:pPr>
        <w:pStyle w:val="BodyText"/>
        <w:spacing w:line="290" w:lineRule="auto"/>
        <w:ind w:left="884" w:right="879"/>
        <w:rPr>
          <w:rFonts w:ascii="Book Antiqua"/>
        </w:rPr>
      </w:pPr>
      <w:r>
        <w:rPr>
          <w:rFonts w:ascii="Book Antiqua"/>
          <w:w w:val="115"/>
        </w:rPr>
        <w:t>Another application is modeling. When we buy a fashlight battery, either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equivalent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circuit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can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accurately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describe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it.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These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models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help us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understand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the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limitations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of</w:t>
      </w:r>
      <w:r>
        <w:rPr>
          <w:rFonts w:ascii="Book Antiqua"/>
          <w:spacing w:val="-11"/>
          <w:w w:val="115"/>
        </w:rPr>
        <w:t xml:space="preserve"> </w:t>
      </w:r>
      <w:r>
        <w:rPr>
          <w:rFonts w:ascii="Book Antiqua"/>
          <w:w w:val="115"/>
        </w:rPr>
        <w:t>a</w:t>
      </w:r>
      <w:r>
        <w:rPr>
          <w:rFonts w:ascii="Book Antiqua"/>
          <w:spacing w:val="-11"/>
          <w:w w:val="115"/>
        </w:rPr>
        <w:t xml:space="preserve"> </w:t>
      </w:r>
      <w:r>
        <w:rPr>
          <w:rFonts w:ascii="Book Antiqua"/>
          <w:w w:val="115"/>
        </w:rPr>
        <w:t>battery.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Since</w:t>
      </w:r>
      <w:r>
        <w:rPr>
          <w:rFonts w:ascii="Book Antiqua"/>
          <w:spacing w:val="-11"/>
          <w:w w:val="115"/>
        </w:rPr>
        <w:t xml:space="preserve"> </w:t>
      </w:r>
      <w:r>
        <w:rPr>
          <w:rFonts w:ascii="Book Antiqua"/>
          <w:w w:val="115"/>
        </w:rPr>
        <w:t>batteries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are</w:t>
      </w:r>
      <w:r>
        <w:rPr>
          <w:rFonts w:ascii="Book Antiqua"/>
          <w:spacing w:val="-11"/>
          <w:w w:val="115"/>
        </w:rPr>
        <w:t xml:space="preserve"> </w:t>
      </w:r>
      <w:r>
        <w:rPr>
          <w:rFonts w:ascii="Book Antiqua"/>
          <w:w w:val="115"/>
        </w:rPr>
        <w:t>labeled with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a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voltage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specifcation,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they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should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serve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as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voltage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sources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and the Thevenin equivalent serves as the natural choice. If a load resistance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b/>
          <w:i/>
          <w:w w:val="115"/>
        </w:rPr>
        <w:t>R</w:t>
      </w:r>
      <w:r>
        <w:rPr>
          <w:rFonts w:ascii="Book Antiqua"/>
          <w:b/>
          <w:i/>
          <w:w w:val="115"/>
          <w:position w:val="-2"/>
          <w:sz w:val="17"/>
        </w:rPr>
        <w:t>L</w:t>
      </w:r>
      <w:r>
        <w:rPr>
          <w:rFonts w:ascii="Book Antiqua"/>
          <w:b/>
          <w:i/>
          <w:spacing w:val="-2"/>
          <w:w w:val="115"/>
          <w:position w:val="-2"/>
          <w:sz w:val="17"/>
        </w:rPr>
        <w:t xml:space="preserve"> </w:t>
      </w:r>
      <w:r>
        <w:rPr>
          <w:rFonts w:ascii="Book Antiqua"/>
          <w:w w:val="115"/>
        </w:rPr>
        <w:t>is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placed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across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its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terminals,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the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voltage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output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can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be found using voltage divider</w:t>
      </w:r>
      <w:r>
        <w:rPr>
          <w:rFonts w:ascii="Book Antiqua"/>
          <w:spacing w:val="-37"/>
          <w:w w:val="115"/>
        </w:rPr>
        <w:t xml:space="preserve"> </w:t>
      </w:r>
      <w:r>
        <w:rPr>
          <w:rFonts w:ascii="Book Antiqua"/>
          <w:w w:val="115"/>
        </w:rPr>
        <w:t>: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2"/>
        <w:rPr>
          <w:rFonts w:ascii="Book Antiqua"/>
          <w:sz w:val="23"/>
        </w:rPr>
      </w:pPr>
    </w:p>
    <w:p>
      <w:pPr>
        <w:pStyle w:val="BodyText"/>
        <w:spacing w:before="96" w:line="290" w:lineRule="auto"/>
        <w:ind w:left="885" w:right="879"/>
        <w:rPr>
          <w:rFonts w:ascii="Book Antiqua"/>
        </w:rPr>
      </w:pPr>
      <w:r>
        <w:rPr>
          <w:rFonts w:ascii="Book Antiqua"/>
          <w:w w:val="115"/>
        </w:rPr>
        <w:t>If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we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have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a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load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resistance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much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larger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than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the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battery's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equivalent resistance,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then,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to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a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good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approximation,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the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battery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does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serve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as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a voltage source. If the load resistance is much smaller, we certainly don't have a voltage source (the output voltage depends directly on the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load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resistance).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Consider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now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the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Mayer-Norton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equivalent;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the current through the load resistance is given by current divider, and equals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2"/>
        <w:rPr>
          <w:rFonts w:ascii="Book Antiqua"/>
          <w:sz w:val="26"/>
        </w:rPr>
      </w:pPr>
    </w:p>
    <w:p>
      <w:pPr>
        <w:pStyle w:val="BodyText"/>
        <w:spacing w:before="96" w:line="290" w:lineRule="auto"/>
        <w:ind w:left="884" w:right="1026"/>
        <w:rPr>
          <w:rFonts w:ascii="Book Antiqua"/>
        </w:rPr>
      </w:pPr>
      <w:r>
        <w:rPr>
          <w:rFonts w:ascii="Book Antiqua"/>
          <w:w w:val="115"/>
        </w:rPr>
        <w:t>For a current that does not vary with the load resistance, this resistance</w:t>
      </w:r>
      <w:r>
        <w:rPr>
          <w:rFonts w:ascii="Book Antiqua"/>
          <w:spacing w:val="-11"/>
          <w:w w:val="115"/>
        </w:rPr>
        <w:t xml:space="preserve"> </w:t>
      </w:r>
      <w:r>
        <w:rPr>
          <w:rFonts w:ascii="Book Antiqua"/>
          <w:w w:val="115"/>
        </w:rPr>
        <w:t>should</w:t>
      </w:r>
      <w:r>
        <w:rPr>
          <w:rFonts w:ascii="Book Antiqua"/>
          <w:spacing w:val="-10"/>
          <w:w w:val="115"/>
        </w:rPr>
        <w:t xml:space="preserve"> </w:t>
      </w:r>
      <w:r>
        <w:rPr>
          <w:rFonts w:ascii="Book Antiqua"/>
          <w:w w:val="115"/>
        </w:rPr>
        <w:t>be</w:t>
      </w:r>
      <w:r>
        <w:rPr>
          <w:rFonts w:ascii="Book Antiqua"/>
          <w:spacing w:val="-10"/>
          <w:w w:val="115"/>
        </w:rPr>
        <w:t xml:space="preserve"> </w:t>
      </w:r>
      <w:r>
        <w:rPr>
          <w:rFonts w:ascii="Book Antiqua"/>
          <w:w w:val="115"/>
        </w:rPr>
        <w:t>much</w:t>
      </w:r>
      <w:r>
        <w:rPr>
          <w:rFonts w:ascii="Book Antiqua"/>
          <w:spacing w:val="-10"/>
          <w:w w:val="115"/>
        </w:rPr>
        <w:t xml:space="preserve"> </w:t>
      </w:r>
      <w:r>
        <w:rPr>
          <w:rFonts w:ascii="Book Antiqua"/>
          <w:w w:val="115"/>
        </w:rPr>
        <w:t>smaller</w:t>
      </w:r>
      <w:r>
        <w:rPr>
          <w:rFonts w:ascii="Book Antiqua"/>
          <w:spacing w:val="-10"/>
          <w:w w:val="115"/>
        </w:rPr>
        <w:t xml:space="preserve"> </w:t>
      </w:r>
      <w:r>
        <w:rPr>
          <w:rFonts w:ascii="Book Antiqua"/>
          <w:w w:val="115"/>
        </w:rPr>
        <w:t>than</w:t>
      </w:r>
      <w:r>
        <w:rPr>
          <w:rFonts w:ascii="Book Antiqua"/>
          <w:spacing w:val="-11"/>
          <w:w w:val="115"/>
        </w:rPr>
        <w:t xml:space="preserve"> </w:t>
      </w:r>
      <w:r>
        <w:rPr>
          <w:rFonts w:ascii="Book Antiqua"/>
          <w:w w:val="115"/>
        </w:rPr>
        <w:t>the</w:t>
      </w:r>
      <w:r>
        <w:rPr>
          <w:rFonts w:ascii="Book Antiqua"/>
          <w:spacing w:val="-10"/>
          <w:w w:val="115"/>
        </w:rPr>
        <w:t xml:space="preserve"> </w:t>
      </w:r>
      <w:r>
        <w:rPr>
          <w:rFonts w:ascii="Book Antiqua"/>
          <w:w w:val="115"/>
        </w:rPr>
        <w:t>equivalent</w:t>
      </w:r>
      <w:r>
        <w:rPr>
          <w:rFonts w:ascii="Book Antiqua"/>
          <w:spacing w:val="-9"/>
          <w:w w:val="115"/>
        </w:rPr>
        <w:t xml:space="preserve"> </w:t>
      </w:r>
      <w:r>
        <w:rPr>
          <w:rFonts w:ascii="Book Antiqua"/>
          <w:w w:val="115"/>
        </w:rPr>
        <w:t>resistance.</w:t>
      </w:r>
      <w:r>
        <w:rPr>
          <w:rFonts w:ascii="Book Antiqua"/>
          <w:spacing w:val="-10"/>
          <w:w w:val="115"/>
        </w:rPr>
        <w:t xml:space="preserve"> </w:t>
      </w:r>
      <w:r>
        <w:rPr>
          <w:rFonts w:ascii="Book Antiqua"/>
          <w:w w:val="115"/>
        </w:rPr>
        <w:t>If the load resistance is comparable to the equivalent resistance, the battery</w:t>
      </w:r>
      <w:r>
        <w:rPr>
          <w:rFonts w:ascii="Book Antiqua"/>
          <w:spacing w:val="-16"/>
          <w:w w:val="115"/>
        </w:rPr>
        <w:t xml:space="preserve"> </w:t>
      </w:r>
      <w:r>
        <w:rPr>
          <w:rFonts w:ascii="Book Antiqua"/>
          <w:w w:val="115"/>
        </w:rPr>
        <w:t>serves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b/>
          <w:w w:val="115"/>
        </w:rPr>
        <w:t>neither</w:t>
      </w:r>
      <w:r>
        <w:rPr>
          <w:rFonts w:ascii="Book Antiqua"/>
          <w:b/>
          <w:spacing w:val="-15"/>
          <w:w w:val="115"/>
        </w:rPr>
        <w:t xml:space="preserve"> </w:t>
      </w:r>
      <w:r>
        <w:rPr>
          <w:rFonts w:ascii="Book Antiqua"/>
          <w:w w:val="115"/>
        </w:rPr>
        <w:t>as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a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voltage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source</w:t>
      </w:r>
      <w:r>
        <w:rPr>
          <w:rFonts w:ascii="Book Antiqua"/>
          <w:spacing w:val="-16"/>
          <w:w w:val="115"/>
        </w:rPr>
        <w:t xml:space="preserve"> </w:t>
      </w:r>
      <w:r>
        <w:rPr>
          <w:rFonts w:ascii="Book Antiqua"/>
          <w:w w:val="115"/>
        </w:rPr>
        <w:t>or</w:t>
      </w:r>
      <w:r>
        <w:rPr>
          <w:rFonts w:ascii="Book Antiqua"/>
          <w:spacing w:val="-14"/>
          <w:w w:val="115"/>
        </w:rPr>
        <w:t xml:space="preserve"> </w:t>
      </w:r>
      <w:r>
        <w:rPr>
          <w:rFonts w:ascii="Book Antiqua"/>
          <w:w w:val="115"/>
        </w:rPr>
        <w:t>a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current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course.</w:t>
      </w:r>
      <w:r>
        <w:rPr>
          <w:rFonts w:ascii="Book Antiqua"/>
          <w:spacing w:val="-16"/>
          <w:w w:val="115"/>
        </w:rPr>
        <w:t xml:space="preserve"> </w:t>
      </w:r>
      <w:r>
        <w:rPr>
          <w:rFonts w:ascii="Book Antiqua"/>
          <w:w w:val="115"/>
        </w:rPr>
        <w:t xml:space="preserve">Thus, when you buy a battery, you get a voltage source if its equivalent resistance is much </w:t>
      </w:r>
      <w:r>
        <w:rPr>
          <w:rFonts w:ascii="Book Antiqua"/>
          <w:b/>
          <w:w w:val="115"/>
        </w:rPr>
        <w:t xml:space="preserve">smaller </w:t>
      </w:r>
      <w:r>
        <w:rPr>
          <w:rFonts w:ascii="Book Antiqua"/>
          <w:w w:val="115"/>
        </w:rPr>
        <w:t>than the equivalent resistance of the circuit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to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which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you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attach</w:t>
      </w:r>
      <w:r>
        <w:rPr>
          <w:rFonts w:ascii="Book Antiqua"/>
          <w:spacing w:val="-11"/>
          <w:w w:val="115"/>
        </w:rPr>
        <w:t xml:space="preserve"> </w:t>
      </w:r>
      <w:r>
        <w:rPr>
          <w:rFonts w:ascii="Book Antiqua"/>
          <w:w w:val="115"/>
        </w:rPr>
        <w:t>it.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On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the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other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hand,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if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you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attach</w:t>
      </w:r>
      <w:r>
        <w:rPr>
          <w:rFonts w:ascii="Book Antiqua"/>
          <w:spacing w:val="-11"/>
          <w:w w:val="115"/>
        </w:rPr>
        <w:t xml:space="preserve"> </w:t>
      </w:r>
      <w:r>
        <w:rPr>
          <w:rFonts w:ascii="Book Antiqua"/>
          <w:w w:val="115"/>
        </w:rPr>
        <w:t>it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to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a circuit having a small equivalent resistance, you bought a current source.</w:t>
      </w:r>
    </w:p>
    <w:p>
      <w:pPr>
        <w:spacing w:after="0" w:line="290" w:lineRule="auto"/>
        <w:rPr>
          <w:rFonts w:ascii="Book Antiqua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