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944D" w14:textId="77777777" w:rsidR="00BA1205" w:rsidRPr="00C02EB5" w:rsidRDefault="00DD2A11">
      <w:pPr>
        <w:jc w:val="center"/>
        <w:rPr>
          <w:rFonts w:ascii="Arial" w:hAnsi="Arial" w:cs="Arial"/>
        </w:rPr>
      </w:pPr>
      <w:r w:rsidRPr="00C02EB5">
        <w:rPr>
          <w:rFonts w:ascii="Arial" w:hAnsi="Arial" w:cs="Arial"/>
          <w:b/>
          <w:bCs/>
          <w:sz w:val="28"/>
          <w:szCs w:val="28"/>
        </w:rPr>
        <w:t>Regras de Negócio — Teste de Mensuração de Valor Justo</w:t>
      </w:r>
    </w:p>
    <w:p w14:paraId="6589944F" w14:textId="77777777" w:rsidR="00BA1205" w:rsidRPr="00C02EB5" w:rsidRDefault="00BA1205">
      <w:pPr>
        <w:rPr>
          <w:rFonts w:ascii="Arial" w:hAnsi="Arial" w:cs="Arial"/>
        </w:rPr>
      </w:pPr>
    </w:p>
    <w:p w14:paraId="65899451" w14:textId="3E8DD8BE" w:rsidR="00BA1205" w:rsidRPr="00C02EB5" w:rsidRDefault="00DD2A11">
      <w:pPr>
        <w:rPr>
          <w:rFonts w:ascii="Arial" w:hAnsi="Arial" w:cs="Arial"/>
        </w:rPr>
      </w:pPr>
      <w:r w:rsidRPr="1C909F10">
        <w:rPr>
          <w:rFonts w:ascii="Arial" w:hAnsi="Arial" w:cs="Arial"/>
        </w:rPr>
        <w:t>Este documento descreve</w:t>
      </w:r>
      <w:r w:rsidR="005A71D8" w:rsidRPr="1C909F10">
        <w:rPr>
          <w:rFonts w:ascii="Arial" w:hAnsi="Arial" w:cs="Arial"/>
        </w:rPr>
        <w:t xml:space="preserve"> </w:t>
      </w:r>
      <w:r w:rsidRPr="1C909F10">
        <w:rPr>
          <w:rFonts w:ascii="Arial" w:hAnsi="Arial" w:cs="Arial"/>
        </w:rPr>
        <w:t>as regras implementadas no sistema para mensuração de valor justo de ativos digitais, com base em preço de mercado (Binance</w:t>
      </w:r>
      <w:commentRangeStart w:id="0"/>
      <w:r w:rsidRPr="1C909F10">
        <w:rPr>
          <w:rFonts w:ascii="Arial" w:hAnsi="Arial" w:cs="Arial"/>
        </w:rPr>
        <w:t>)</w:t>
      </w:r>
      <w:commentRangeEnd w:id="0"/>
      <w:r w:rsidRPr="1C909F10">
        <w:rPr>
          <w:rStyle w:val="CommentReference"/>
          <w:rFonts w:ascii="Arial" w:hAnsi="Arial" w:cs="Arial"/>
          <w:sz w:val="20"/>
          <w:szCs w:val="20"/>
        </w:rPr>
        <w:commentReference w:id="0"/>
      </w:r>
      <w:r w:rsidRPr="1C909F10">
        <w:rPr>
          <w:rFonts w:ascii="Arial" w:hAnsi="Arial" w:cs="Arial"/>
        </w:rPr>
        <w:t xml:space="preserve"> e taxa de câmbio oficial (PTAX venda do BCB).</w:t>
      </w:r>
      <w:r>
        <w:br/>
      </w:r>
    </w:p>
    <w:p w14:paraId="65899452" w14:textId="2EF170BA" w:rsidR="00BA1205" w:rsidRPr="00C02EB5" w:rsidRDefault="00DD2A11">
      <w:pPr>
        <w:pStyle w:val="Heading2"/>
        <w:rPr>
          <w:rFonts w:ascii="Arial" w:hAnsi="Arial" w:cs="Arial"/>
          <w:b/>
          <w:bCs/>
        </w:rPr>
      </w:pPr>
      <w:r w:rsidRPr="00C02EB5">
        <w:rPr>
          <w:rFonts w:ascii="Arial" w:hAnsi="Arial" w:cs="Arial"/>
          <w:b/>
          <w:bCs/>
          <w:color w:val="auto"/>
        </w:rPr>
        <w:t>1. O que a ferramenta faz (visão geral)</w:t>
      </w:r>
      <w:r w:rsidR="0007000C" w:rsidRPr="00C02EB5">
        <w:rPr>
          <w:rFonts w:ascii="Arial" w:hAnsi="Arial" w:cs="Arial"/>
          <w:b/>
          <w:bCs/>
        </w:rPr>
        <w:br/>
      </w:r>
    </w:p>
    <w:p w14:paraId="65899453" w14:textId="7F7E6B21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A ferramenta executa um teste de mensuração de valor justo em reais (BRL) para ativos digitais informados em planilha, obtendo preço na Binance (fechamento equivalente a 23:59 BRT da data-base, em USDT) e PTAX venda do BCB (BRL/USD), calculando o valor justo e comparando com o valor declarado para classificar o resultado como APROVADO, ALERTA ou ERRO, além de registrar evidências e observações.</w:t>
      </w:r>
      <w:r w:rsidR="0007000C" w:rsidRPr="00C02EB5">
        <w:rPr>
          <w:rFonts w:ascii="Arial" w:hAnsi="Arial" w:cs="Arial"/>
        </w:rPr>
        <w:br/>
      </w:r>
    </w:p>
    <w:p w14:paraId="65899454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2. Como ela recebe os dados (regras de entrada)</w:t>
      </w:r>
    </w:p>
    <w:p w14:paraId="65899455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A ferramenta lê a primeira aba do arquivo e exige as colunas: ticker, quantidade, valor_declarado e data_base (AAAA-MM-DD). Linhas completamente vazias são ignoradas. Ticker, quantidade, valor_declarado e data_base não podem estar vazios e quantidade/valor_declarado devem ser numéricos.</w:t>
      </w:r>
    </w:p>
    <w:p w14:paraId="3989C58D" w14:textId="77777777" w:rsidR="00A73C31" w:rsidRPr="00C02EB5" w:rsidRDefault="00A73C31">
      <w:pPr>
        <w:rPr>
          <w:rFonts w:ascii="Arial" w:hAnsi="Arial" w:cs="Arial"/>
        </w:rPr>
      </w:pPr>
    </w:p>
    <w:p w14:paraId="65899456" w14:textId="2FE0CFD8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Regra de data-base: data_base deve ser uma data passada — hoje e datas futuras são bloqueadas.</w:t>
      </w:r>
      <w:r w:rsidR="0007000C" w:rsidRPr="00C02EB5">
        <w:rPr>
          <w:rFonts w:ascii="Arial" w:hAnsi="Arial" w:cs="Arial"/>
        </w:rPr>
        <w:br/>
      </w:r>
    </w:p>
    <w:p w14:paraId="65899457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3. Como ela busca os preços (metodologia de consulta)</w:t>
      </w:r>
    </w:p>
    <w:p w14:paraId="65899458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Para cada ativo, a ferramenta consulta em paralelo: (i) Binance para o fechamento equivalente a 23:59 BRT da data-base (em USDT), (ii) Binance para um fechamento adicional às 21h UTC (evidência; não entra no cálculo) e (iii) PTAX venda do BCB (BRL/USD).</w:t>
      </w:r>
    </w:p>
    <w:p w14:paraId="65899459" w14:textId="5E9258E0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Se não houver dado na data-base (ex.: fim de semana/feriado/ausência de cotação), a ferramenta tenta dias anteriores, até o limite de 5 dias retroativos, registrando em observação quando a data efetiva utilizada difere da data-base.</w:t>
      </w:r>
      <w:r w:rsidR="0007000C" w:rsidRPr="00C02EB5">
        <w:rPr>
          <w:rFonts w:ascii="Arial" w:hAnsi="Arial" w:cs="Arial"/>
        </w:rPr>
        <w:br/>
      </w:r>
    </w:p>
    <w:p w14:paraId="6589945A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4. Como ela trata cada tipo de ativo (categorias de token)</w:t>
      </w:r>
    </w:p>
    <w:p w14:paraId="6589945B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Stablecoins USD (lista interna): preço fixo 1,0000 (USDT), sem consulta à API da Binance. Rebranding: ticker antigo é mapeado para ticker atual antes da consulta, registrando o alias em observação. Ativo não listado/símbolo inválido/indisponibilidade: o preço fica indisponível (N/D) e o valor justo não é calculado.</w:t>
      </w:r>
    </w:p>
    <w:p w14:paraId="2720A39A" w14:textId="77777777" w:rsidR="0007000C" w:rsidRPr="00C02EB5" w:rsidRDefault="0007000C">
      <w:pPr>
        <w:rPr>
          <w:rFonts w:ascii="Arial" w:hAnsi="Arial" w:cs="Arial"/>
        </w:rPr>
      </w:pPr>
    </w:p>
    <w:p w14:paraId="6589945C" w14:textId="77777777" w:rsidR="00BA1205" w:rsidRPr="00C02EB5" w:rsidRDefault="00DD2A11">
      <w:pPr>
        <w:pStyle w:val="Heading2"/>
        <w:rPr>
          <w:rFonts w:ascii="Arial" w:hAnsi="Arial" w:cs="Arial"/>
        </w:rPr>
      </w:pPr>
      <w:r w:rsidRPr="00C02EB5">
        <w:rPr>
          <w:rFonts w:ascii="Arial" w:hAnsi="Arial" w:cs="Arial"/>
          <w:b/>
          <w:bCs/>
          <w:color w:val="auto"/>
        </w:rPr>
        <w:t>5. Como ela calcula o valor justo (fórmulas em linguagem simples)</w:t>
      </w:r>
    </w:p>
    <w:p w14:paraId="6589945D" w14:textId="77777777" w:rsidR="00BA1205" w:rsidRPr="00C02EB5" w:rsidRDefault="00DD2A11">
      <w:pPr>
        <w:rPr>
          <w:rFonts w:ascii="Arial" w:hAnsi="Arial" w:cs="Arial"/>
        </w:rPr>
      </w:pPr>
      <w:commentRangeStart w:id="1"/>
      <w:r w:rsidRPr="00C02EB5">
        <w:rPr>
          <w:rFonts w:ascii="Arial" w:hAnsi="Arial" w:cs="Arial"/>
        </w:rPr>
        <w:t>Condição mínima: só calcula quando quantidade ≠ 0, existe preço de fechamento Binance (em USDT) e existe PTAX venda (BRL/USD).</w:t>
      </w:r>
      <w:commentRangeEnd w:id="1"/>
      <w:r w:rsidR="007E4934" w:rsidRPr="00C02EB5">
        <w:rPr>
          <w:rStyle w:val="CommentReference"/>
          <w:rFonts w:ascii="Arial" w:hAnsi="Arial" w:cs="Arial"/>
          <w:sz w:val="20"/>
          <w:szCs w:val="20"/>
        </w:rPr>
        <w:commentReference w:id="1"/>
      </w:r>
    </w:p>
    <w:p w14:paraId="36243552" w14:textId="77777777" w:rsidR="0007000C" w:rsidRPr="00C02EB5" w:rsidRDefault="0007000C">
      <w:pPr>
        <w:rPr>
          <w:rFonts w:ascii="Arial" w:hAnsi="Arial" w:cs="Arial"/>
        </w:rPr>
      </w:pPr>
    </w:p>
    <w:p w14:paraId="6589945E" w14:textId="43799449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Valor justo (BRL) = Preço de fechamento</w:t>
      </w:r>
      <w:r w:rsidR="007E4934" w:rsidRPr="00C02EB5">
        <w:rPr>
          <w:rFonts w:ascii="Arial" w:hAnsi="Arial" w:cs="Arial"/>
        </w:rPr>
        <w:t xml:space="preserve"> BRT</w:t>
      </w:r>
      <w:r w:rsidRPr="00C02EB5">
        <w:rPr>
          <w:rFonts w:ascii="Arial" w:hAnsi="Arial" w:cs="Arial"/>
        </w:rPr>
        <w:t xml:space="preserve"> Binance (USDT) × |Quantidade| × PTAX venda (BRL/USD).</w:t>
      </w:r>
    </w:p>
    <w:p w14:paraId="6589945F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Métrica percentual (com sinal): valor_declarado_x_valor_justo = ((valor_declarado − valor_justo) ÷ valor_justo) × 100.</w:t>
      </w:r>
    </w:p>
    <w:p w14:paraId="65899460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6. Quando ela aprova ou alerta (critérios de julgamento)</w:t>
      </w:r>
    </w:p>
    <w:p w14:paraId="65899461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A ferramenta classifica como ALERTA quando o valor absoluto de valor_declarado_x_valor_justo for maior que 1,5%. Caso contrário, classifica como APROVADO.</w:t>
      </w:r>
    </w:p>
    <w:p w14:paraId="060ACD75" w14:textId="77777777" w:rsidR="004A2133" w:rsidRPr="00C02EB5" w:rsidRDefault="004A2133">
      <w:pPr>
        <w:rPr>
          <w:rFonts w:ascii="Arial" w:hAnsi="Arial" w:cs="Arial"/>
        </w:rPr>
      </w:pPr>
    </w:p>
    <w:p w14:paraId="65899462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7. O que ela faz quando algo dá errado (tratamento de exceções)</w:t>
      </w:r>
    </w:p>
    <w:p w14:paraId="79A4C5D2" w14:textId="77777777" w:rsidR="004A2133" w:rsidRPr="00C02EB5" w:rsidRDefault="00DD2A11" w:rsidP="004A21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02EB5">
        <w:rPr>
          <w:rFonts w:ascii="Arial" w:hAnsi="Arial" w:cs="Arial"/>
        </w:rPr>
        <w:t xml:space="preserve">Quantidade zero: não calcula valor justo; </w:t>
      </w:r>
    </w:p>
    <w:p w14:paraId="5F0E823B" w14:textId="738CBFBE" w:rsidR="004A2133" w:rsidRPr="00C02EB5" w:rsidRDefault="00DD2A11" w:rsidP="004A213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C02EB5">
        <w:rPr>
          <w:rFonts w:ascii="Arial" w:hAnsi="Arial" w:cs="Arial"/>
        </w:rPr>
        <w:t>status ERRO; registra observação.</w:t>
      </w:r>
    </w:p>
    <w:p w14:paraId="64220BF9" w14:textId="77777777" w:rsidR="004A2133" w:rsidRPr="00C02EB5" w:rsidRDefault="004A2133">
      <w:pPr>
        <w:rPr>
          <w:rFonts w:ascii="Arial" w:hAnsi="Arial" w:cs="Arial"/>
        </w:rPr>
      </w:pPr>
    </w:p>
    <w:p w14:paraId="46D70312" w14:textId="67621318" w:rsidR="004A2133" w:rsidRPr="00C02EB5" w:rsidRDefault="00DD2A11" w:rsidP="004A21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02EB5">
        <w:rPr>
          <w:rFonts w:ascii="Arial" w:hAnsi="Arial" w:cs="Arial"/>
        </w:rPr>
        <w:t>Falta de preço Binance ou falta de PTAX: não calcula valor justo;</w:t>
      </w:r>
    </w:p>
    <w:p w14:paraId="505089DE" w14:textId="77777777" w:rsidR="004A2133" w:rsidRPr="00C02EB5" w:rsidRDefault="00DD2A11" w:rsidP="004A2133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C02EB5">
        <w:rPr>
          <w:rFonts w:ascii="Arial" w:hAnsi="Arial" w:cs="Arial"/>
        </w:rPr>
        <w:t xml:space="preserve">status ERRO; registra observação. </w:t>
      </w:r>
    </w:p>
    <w:p w14:paraId="65899463" w14:textId="4E8E9E02" w:rsidR="00BA1205" w:rsidRPr="00C02EB5" w:rsidRDefault="00DD2A11" w:rsidP="004A21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02EB5">
        <w:rPr>
          <w:rFonts w:ascii="Arial" w:hAnsi="Arial" w:cs="Arial"/>
        </w:rPr>
        <w:t>Erros de estrutura/validação da planilha impedem o processamento das linhas inválidas.</w:t>
      </w:r>
    </w:p>
    <w:p w14:paraId="1E0E63FC" w14:textId="77777777" w:rsidR="004A2133" w:rsidRPr="00C02EB5" w:rsidRDefault="004A2133">
      <w:pPr>
        <w:rPr>
          <w:rFonts w:ascii="Arial" w:hAnsi="Arial" w:cs="Arial"/>
        </w:rPr>
      </w:pPr>
    </w:p>
    <w:p w14:paraId="65899464" w14:textId="77777777" w:rsidR="00BA1205" w:rsidRPr="00C02EB5" w:rsidRDefault="00DD2A1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8. O que ela registra como evidência (campos da planilha)</w:t>
      </w:r>
    </w:p>
    <w:p w14:paraId="65899465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A ferramenta exporta para cada linha: ticker, quantidade, valor_declarado, data_base, close_USDT_BRT, close_crypto21, ptax_data_base, valor_justo, valor_declarado_x_valor_justo, status e observacao.</w:t>
      </w:r>
    </w:p>
    <w:p w14:paraId="1315E3D3" w14:textId="77777777" w:rsidR="004A2133" w:rsidRPr="00C02EB5" w:rsidRDefault="004A2133">
      <w:pPr>
        <w:rPr>
          <w:rFonts w:ascii="Arial" w:hAnsi="Arial" w:cs="Arial"/>
        </w:rPr>
      </w:pPr>
    </w:p>
    <w:p w14:paraId="65899466" w14:textId="77777777" w:rsidR="00BA1205" w:rsidRPr="00C02EB5" w:rsidRDefault="00BA1205" w:rsidP="00FB6DC1">
      <w:pPr>
        <w:jc w:val="right"/>
        <w:rPr>
          <w:rFonts w:ascii="Arial" w:hAnsi="Arial" w:cs="Arial"/>
        </w:rPr>
      </w:pPr>
    </w:p>
    <w:p w14:paraId="65899467" w14:textId="26187633" w:rsidR="00BA1205" w:rsidRPr="00C02EB5" w:rsidRDefault="00F603C1" w:rsidP="00F603C1">
      <w:pPr>
        <w:pStyle w:val="Heading2"/>
        <w:rPr>
          <w:rFonts w:ascii="Arial" w:hAnsi="Arial" w:cs="Arial"/>
          <w:b/>
          <w:bCs/>
          <w:color w:val="auto"/>
        </w:rPr>
      </w:pPr>
      <w:r w:rsidRPr="00C02EB5">
        <w:rPr>
          <w:rFonts w:ascii="Arial" w:hAnsi="Arial" w:cs="Arial"/>
          <w:b/>
          <w:bCs/>
          <w:color w:val="auto"/>
        </w:rPr>
        <w:t>9.  Tabela de Decisões</w:t>
      </w:r>
    </w:p>
    <w:p w14:paraId="65899468" w14:textId="77777777" w:rsidR="00BA1205" w:rsidRPr="00C02EB5" w:rsidRDefault="00DD2A11">
      <w:pPr>
        <w:rPr>
          <w:rFonts w:ascii="Arial" w:hAnsi="Arial" w:cs="Arial"/>
        </w:rPr>
      </w:pPr>
      <w:r w:rsidRPr="00C02EB5">
        <w:rPr>
          <w:rFonts w:ascii="Arial" w:hAnsi="Arial" w:cs="Arial"/>
        </w:rPr>
        <w:t>Tabela de decisões consolidando cenários de entrada, consulta de preços/câmbio, cálculo e classificação.</w:t>
      </w:r>
    </w:p>
    <w:p w14:paraId="65899469" w14:textId="77777777" w:rsidR="00BA1205" w:rsidRPr="00C02EB5" w:rsidRDefault="00BA1205">
      <w:pPr>
        <w:rPr>
          <w:rFonts w:ascii="Arial" w:hAnsi="Arial" w:cs="Arial"/>
        </w:rPr>
      </w:pPr>
    </w:p>
    <w:tbl>
      <w:tblPr>
        <w:tblStyle w:val="TableGrid"/>
        <w:tblW w:w="5343" w:type="pct"/>
        <w:tblLayout w:type="fixed"/>
        <w:tblLook w:val="00A0" w:firstRow="1" w:lastRow="0" w:firstColumn="1" w:lastColumn="0" w:noHBand="0" w:noVBand="0"/>
      </w:tblPr>
      <w:tblGrid>
        <w:gridCol w:w="1698"/>
        <w:gridCol w:w="3119"/>
        <w:gridCol w:w="2110"/>
        <w:gridCol w:w="2707"/>
      </w:tblGrid>
      <w:tr w:rsidR="00BA1205" w:rsidRPr="00C02EB5" w14:paraId="6589946E" w14:textId="4D848DCC" w:rsidTr="003727D1">
        <w:tc>
          <w:tcPr>
            <w:tcW w:w="881" w:type="pct"/>
            <w:shd w:val="clear" w:color="auto" w:fill="002060"/>
            <w:vAlign w:val="center"/>
          </w:tcPr>
          <w:p w14:paraId="6589946A" w14:textId="77777777" w:rsidR="00BA1205" w:rsidRPr="00C02EB5" w:rsidRDefault="00DD2A11" w:rsidP="00A04FBA">
            <w:pPr>
              <w:jc w:val="center"/>
              <w:rPr>
                <w:rFonts w:ascii="Arial" w:hAnsi="Arial" w:cs="Arial"/>
              </w:rPr>
            </w:pPr>
            <w:r w:rsidRPr="00C02EB5">
              <w:rPr>
                <w:rFonts w:ascii="Arial" w:hAnsi="Arial" w:cs="Arial"/>
                <w:b/>
                <w:bCs/>
              </w:rPr>
              <w:t>Cenário</w:t>
            </w:r>
          </w:p>
        </w:tc>
        <w:tc>
          <w:tcPr>
            <w:tcW w:w="1619" w:type="pct"/>
            <w:shd w:val="clear" w:color="auto" w:fill="002060"/>
            <w:vAlign w:val="center"/>
          </w:tcPr>
          <w:p w14:paraId="6589946B" w14:textId="77777777" w:rsidR="00BA1205" w:rsidRPr="00C02EB5" w:rsidRDefault="00DD2A11" w:rsidP="00A04FBA">
            <w:pPr>
              <w:jc w:val="center"/>
              <w:rPr>
                <w:rFonts w:ascii="Arial" w:hAnsi="Arial" w:cs="Arial"/>
              </w:rPr>
            </w:pPr>
            <w:r w:rsidRPr="00C02EB5">
              <w:rPr>
                <w:rFonts w:ascii="Arial" w:hAnsi="Arial" w:cs="Arial"/>
                <w:b/>
                <w:bCs/>
              </w:rPr>
              <w:t>Condição</w:t>
            </w:r>
          </w:p>
        </w:tc>
        <w:tc>
          <w:tcPr>
            <w:tcW w:w="1095" w:type="pct"/>
            <w:shd w:val="clear" w:color="auto" w:fill="002060"/>
            <w:vAlign w:val="center"/>
          </w:tcPr>
          <w:p w14:paraId="6589946C" w14:textId="2FF5811E" w:rsidR="00BA1205" w:rsidRPr="00C02EB5" w:rsidRDefault="00DD2A11" w:rsidP="00A04FBA">
            <w:pPr>
              <w:jc w:val="center"/>
              <w:rPr>
                <w:rFonts w:ascii="Arial" w:hAnsi="Arial" w:cs="Arial"/>
              </w:rPr>
            </w:pPr>
            <w:r w:rsidRPr="00C02EB5">
              <w:rPr>
                <w:rFonts w:ascii="Arial" w:hAnsi="Arial" w:cs="Arial"/>
                <w:b/>
                <w:bCs/>
              </w:rPr>
              <w:t>Ação</w:t>
            </w:r>
          </w:p>
        </w:tc>
        <w:tc>
          <w:tcPr>
            <w:tcW w:w="1405" w:type="pct"/>
            <w:shd w:val="clear" w:color="auto" w:fill="002060"/>
            <w:vAlign w:val="center"/>
          </w:tcPr>
          <w:p w14:paraId="6589946D" w14:textId="77777777" w:rsidR="00BA1205" w:rsidRPr="00C02EB5" w:rsidRDefault="00DD2A11" w:rsidP="00A04FBA">
            <w:pPr>
              <w:jc w:val="center"/>
              <w:rPr>
                <w:rFonts w:ascii="Arial" w:hAnsi="Arial" w:cs="Arial"/>
              </w:rPr>
            </w:pPr>
            <w:r w:rsidRPr="00C02EB5">
              <w:rPr>
                <w:rFonts w:ascii="Arial" w:hAnsi="Arial" w:cs="Arial"/>
                <w:b/>
                <w:bCs/>
              </w:rPr>
              <w:t>Justificativa</w:t>
            </w:r>
          </w:p>
        </w:tc>
      </w:tr>
      <w:tr w:rsidR="00BA1205" w:rsidRPr="00C02EB5" w14:paraId="65899473" w14:textId="4AED5D50" w:rsidTr="003727D1">
        <w:tc>
          <w:tcPr>
            <w:tcW w:w="881" w:type="pct"/>
            <w:vAlign w:val="center"/>
          </w:tcPr>
          <w:p w14:paraId="6589946F" w14:textId="77777777" w:rsidR="00BA1205" w:rsidRPr="00C02EB5" w:rsidRDefault="00DD2A1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Arquivo inválido</w:t>
            </w:r>
          </w:p>
        </w:tc>
        <w:tc>
          <w:tcPr>
            <w:tcW w:w="1619" w:type="pct"/>
            <w:vAlign w:val="center"/>
          </w:tcPr>
          <w:p w14:paraId="65899470" w14:textId="77777777" w:rsidR="00BA1205" w:rsidRPr="00C02EB5" w:rsidRDefault="00DD2A1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Não consegue ler o arquivo</w:t>
            </w:r>
          </w:p>
        </w:tc>
        <w:tc>
          <w:tcPr>
            <w:tcW w:w="1095" w:type="pct"/>
            <w:vAlign w:val="center"/>
          </w:tcPr>
          <w:p w14:paraId="65899471" w14:textId="4E2485CC" w:rsidR="00BA1205" w:rsidRPr="00C02EB5" w:rsidRDefault="00674724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Rejeita; retorna erro “Arquivo inválido ou corrompido.”</w:t>
            </w:r>
          </w:p>
        </w:tc>
        <w:tc>
          <w:tcPr>
            <w:tcW w:w="1405" w:type="pct"/>
            <w:vAlign w:val="center"/>
          </w:tcPr>
          <w:p w14:paraId="65899472" w14:textId="12394CE5" w:rsidR="00BA1205" w:rsidRPr="00C02EB5" w:rsidRDefault="0040287C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Impede processamento sem integridade mínima do insumo</w:t>
            </w:r>
          </w:p>
        </w:tc>
      </w:tr>
      <w:tr w:rsidR="00BA1205" w:rsidRPr="00C02EB5" w14:paraId="65899478" w14:textId="68D97687" w:rsidTr="003727D1">
        <w:tc>
          <w:tcPr>
            <w:tcW w:w="881" w:type="pct"/>
            <w:vAlign w:val="center"/>
          </w:tcPr>
          <w:p w14:paraId="65899474" w14:textId="255132CB" w:rsidR="00BA1205" w:rsidRPr="00C02EB5" w:rsidRDefault="0082124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Planilha sem abas</w:t>
            </w:r>
          </w:p>
        </w:tc>
        <w:tc>
          <w:tcPr>
            <w:tcW w:w="1619" w:type="pct"/>
            <w:vAlign w:val="center"/>
          </w:tcPr>
          <w:p w14:paraId="65899475" w14:textId="52815453" w:rsidR="00BA1205" w:rsidRPr="00C02EB5" w:rsidRDefault="00FA4BDE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Não existe primeira aba</w:t>
            </w:r>
          </w:p>
        </w:tc>
        <w:tc>
          <w:tcPr>
            <w:tcW w:w="1095" w:type="pct"/>
            <w:vAlign w:val="center"/>
          </w:tcPr>
          <w:p w14:paraId="65899476" w14:textId="5F064CCD" w:rsidR="00BA1205" w:rsidRPr="00C02EB5" w:rsidRDefault="0011339C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Rejeita; retorna erro “Planilha sem abas.”</w:t>
            </w:r>
          </w:p>
        </w:tc>
        <w:tc>
          <w:tcPr>
            <w:tcW w:w="1405" w:type="pct"/>
            <w:vAlign w:val="center"/>
          </w:tcPr>
          <w:p w14:paraId="65899477" w14:textId="7EC0FE6C" w:rsidR="00BA1205" w:rsidRPr="00C02EB5" w:rsidRDefault="00494765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Não há fonte de dados estruturada</w:t>
            </w:r>
          </w:p>
        </w:tc>
      </w:tr>
      <w:tr w:rsidR="00E55AE8" w:rsidRPr="00C02EB5" w14:paraId="77F3C42C" w14:textId="77777777" w:rsidTr="003727D1">
        <w:tc>
          <w:tcPr>
            <w:tcW w:w="881" w:type="pct"/>
            <w:vAlign w:val="center"/>
          </w:tcPr>
          <w:p w14:paraId="0437FD48" w14:textId="31914953" w:rsidR="00E55AE8" w:rsidRPr="00C02EB5" w:rsidRDefault="00E55AE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Planilha sem dados</w:t>
            </w:r>
          </w:p>
        </w:tc>
        <w:tc>
          <w:tcPr>
            <w:tcW w:w="1619" w:type="pct"/>
            <w:vAlign w:val="center"/>
          </w:tcPr>
          <w:p w14:paraId="72FC753D" w14:textId="2DB6D5A9" w:rsidR="00E55AE8" w:rsidRPr="00C02EB5" w:rsidRDefault="00E55AE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Menos de 2 linhas (cabeçalho + 1 linha)</w:t>
            </w:r>
          </w:p>
        </w:tc>
        <w:tc>
          <w:tcPr>
            <w:tcW w:w="1095" w:type="pct"/>
            <w:vAlign w:val="center"/>
          </w:tcPr>
          <w:p w14:paraId="5A2AAD4E" w14:textId="5A2F8C6F" w:rsidR="00E55AE8" w:rsidRPr="00C02EB5" w:rsidRDefault="00E55AE8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Rejeita; retorna erro de ausência de dados</w:t>
            </w:r>
          </w:p>
        </w:tc>
        <w:tc>
          <w:tcPr>
            <w:tcW w:w="1405" w:type="pct"/>
            <w:vAlign w:val="center"/>
          </w:tcPr>
          <w:p w14:paraId="324764D3" w14:textId="6D2B6892" w:rsidR="00E55AE8" w:rsidRPr="00C02EB5" w:rsidRDefault="00E55AE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processamento sem amostra mínima</w:t>
            </w:r>
          </w:p>
        </w:tc>
      </w:tr>
      <w:tr w:rsidR="0097759E" w:rsidRPr="00C02EB5" w14:paraId="6589947D" w14:textId="44AC7CE0" w:rsidTr="003727D1">
        <w:tc>
          <w:tcPr>
            <w:tcW w:w="881" w:type="pct"/>
            <w:vAlign w:val="center"/>
          </w:tcPr>
          <w:p w14:paraId="65899479" w14:textId="77777777" w:rsidR="0097759E" w:rsidRPr="00C02EB5" w:rsidRDefault="0097759E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Colunas obrigatórias ausentes</w:t>
            </w:r>
          </w:p>
        </w:tc>
        <w:tc>
          <w:tcPr>
            <w:tcW w:w="1619" w:type="pct"/>
            <w:vAlign w:val="center"/>
          </w:tcPr>
          <w:p w14:paraId="6589947A" w14:textId="77777777" w:rsidR="0097759E" w:rsidRPr="00C02EB5" w:rsidRDefault="0097759E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Falta ticker/quantidade/valor_declarado/data_base</w:t>
            </w:r>
          </w:p>
        </w:tc>
        <w:tc>
          <w:tcPr>
            <w:tcW w:w="1095" w:type="pct"/>
            <w:vAlign w:val="center"/>
          </w:tcPr>
          <w:p w14:paraId="6589947B" w14:textId="72E9B24F" w:rsidR="0097759E" w:rsidRPr="00C02EB5" w:rsidRDefault="0097759E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Rejeita; retorna erro por coluna ausente</w:t>
            </w:r>
          </w:p>
        </w:tc>
        <w:tc>
          <w:tcPr>
            <w:tcW w:w="1405" w:type="pct"/>
            <w:vAlign w:val="center"/>
          </w:tcPr>
          <w:p w14:paraId="6589947C" w14:textId="121662E2" w:rsidR="0097759E" w:rsidRPr="00C02EB5" w:rsidRDefault="002E155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Garante completude para mensuração</w:t>
            </w:r>
          </w:p>
        </w:tc>
      </w:tr>
      <w:tr w:rsidR="00A6426B" w:rsidRPr="00C02EB5" w14:paraId="0168E84D" w14:textId="77777777" w:rsidTr="003727D1">
        <w:tc>
          <w:tcPr>
            <w:tcW w:w="881" w:type="pct"/>
            <w:vAlign w:val="center"/>
          </w:tcPr>
          <w:p w14:paraId="7DB6A4CC" w14:textId="2DEF106E" w:rsidR="00A6426B" w:rsidRPr="00C02EB5" w:rsidRDefault="00A6426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Linha completamente vazia</w:t>
            </w:r>
          </w:p>
        </w:tc>
        <w:tc>
          <w:tcPr>
            <w:tcW w:w="1619" w:type="pct"/>
            <w:vAlign w:val="center"/>
          </w:tcPr>
          <w:p w14:paraId="62DD2782" w14:textId="4756219B" w:rsidR="00A6426B" w:rsidRPr="00C02EB5" w:rsidRDefault="00A6426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Ticker vazio e quantidade/valor vazios e data vazia</w:t>
            </w:r>
          </w:p>
        </w:tc>
        <w:tc>
          <w:tcPr>
            <w:tcW w:w="1095" w:type="pct"/>
            <w:vAlign w:val="center"/>
          </w:tcPr>
          <w:p w14:paraId="59419ABD" w14:textId="4E540263" w:rsidR="00A6426B" w:rsidRPr="00C02EB5" w:rsidRDefault="00A6426B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Ignora a linha</w:t>
            </w:r>
          </w:p>
        </w:tc>
        <w:tc>
          <w:tcPr>
            <w:tcW w:w="1405" w:type="pct"/>
            <w:vAlign w:val="center"/>
          </w:tcPr>
          <w:p w14:paraId="44DA2FCF" w14:textId="07EC69F5" w:rsidR="00A6426B" w:rsidRPr="00C02EB5" w:rsidRDefault="00A6426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ruído por linhas em branco</w:t>
            </w:r>
          </w:p>
        </w:tc>
      </w:tr>
      <w:tr w:rsidR="00E10D22" w:rsidRPr="00C02EB5" w14:paraId="6A8378F0" w14:textId="77777777" w:rsidTr="003727D1">
        <w:tc>
          <w:tcPr>
            <w:tcW w:w="881" w:type="pct"/>
            <w:vAlign w:val="center"/>
          </w:tcPr>
          <w:p w14:paraId="4C943C5A" w14:textId="08F791DC" w:rsidR="00E10D22" w:rsidRPr="00C02EB5" w:rsidRDefault="00E10D22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Ticker vazio</w:t>
            </w:r>
          </w:p>
        </w:tc>
        <w:tc>
          <w:tcPr>
            <w:tcW w:w="1619" w:type="pct"/>
            <w:vAlign w:val="center"/>
          </w:tcPr>
          <w:p w14:paraId="6DDC25D4" w14:textId="1CA3648A" w:rsidR="00E10D22" w:rsidRPr="00C02EB5" w:rsidRDefault="00E10D22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ticker ausente na linha</w:t>
            </w:r>
          </w:p>
        </w:tc>
        <w:tc>
          <w:tcPr>
            <w:tcW w:w="1095" w:type="pct"/>
            <w:vAlign w:val="center"/>
          </w:tcPr>
          <w:p w14:paraId="31A42DC1" w14:textId="1EA54BA7" w:rsidR="00E10D22" w:rsidRPr="00C02EB5" w:rsidRDefault="00E10D22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027C02C9" w14:textId="25014540" w:rsidR="00E10D22" w:rsidRPr="00C02EB5" w:rsidRDefault="00E10D22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Ativo não identificável</w:t>
            </w:r>
          </w:p>
        </w:tc>
      </w:tr>
      <w:tr w:rsidR="008036F1" w:rsidRPr="00C02EB5" w14:paraId="28CB6608" w14:textId="77777777" w:rsidTr="003727D1">
        <w:tc>
          <w:tcPr>
            <w:tcW w:w="881" w:type="pct"/>
            <w:vAlign w:val="center"/>
          </w:tcPr>
          <w:p w14:paraId="3E25216E" w14:textId="5E9719A4" w:rsidR="008036F1" w:rsidRPr="00C02EB5" w:rsidRDefault="008036F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vazia</w:t>
            </w:r>
          </w:p>
        </w:tc>
        <w:tc>
          <w:tcPr>
            <w:tcW w:w="1619" w:type="pct"/>
            <w:vAlign w:val="center"/>
          </w:tcPr>
          <w:p w14:paraId="3180489C" w14:textId="65BF9FC9" w:rsidR="008036F1" w:rsidRPr="00C02EB5" w:rsidRDefault="008036F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 ausente</w:t>
            </w:r>
          </w:p>
        </w:tc>
        <w:tc>
          <w:tcPr>
            <w:tcW w:w="1095" w:type="pct"/>
            <w:vAlign w:val="center"/>
          </w:tcPr>
          <w:p w14:paraId="216E65BC" w14:textId="0361E1DA" w:rsidR="008036F1" w:rsidRPr="00C02EB5" w:rsidRDefault="008036F1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2341A7B4" w14:textId="5D221706" w:rsidR="008036F1" w:rsidRPr="00C02EB5" w:rsidRDefault="008036F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base para mensuração</w:t>
            </w:r>
          </w:p>
        </w:tc>
      </w:tr>
      <w:tr w:rsidR="00B74B38" w:rsidRPr="00C02EB5" w14:paraId="6E059371" w14:textId="77777777" w:rsidTr="003727D1">
        <w:tc>
          <w:tcPr>
            <w:tcW w:w="881" w:type="pct"/>
            <w:vAlign w:val="center"/>
          </w:tcPr>
          <w:p w14:paraId="550E0857" w14:textId="79828FF8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não numérica</w:t>
            </w:r>
          </w:p>
        </w:tc>
        <w:tc>
          <w:tcPr>
            <w:tcW w:w="1619" w:type="pct"/>
            <w:vAlign w:val="center"/>
          </w:tcPr>
          <w:p w14:paraId="1662D6C3" w14:textId="20DA0CF7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 não converte para número</w:t>
            </w:r>
          </w:p>
        </w:tc>
        <w:tc>
          <w:tcPr>
            <w:tcW w:w="1095" w:type="pct"/>
            <w:vAlign w:val="center"/>
          </w:tcPr>
          <w:p w14:paraId="68D5B28E" w14:textId="68301A8C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692FE8DF" w14:textId="18775D41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cálculo inválido</w:t>
            </w:r>
          </w:p>
        </w:tc>
      </w:tr>
      <w:tr w:rsidR="00B74B38" w:rsidRPr="00C02EB5" w14:paraId="3F759302" w14:textId="77777777" w:rsidTr="003727D1">
        <w:tc>
          <w:tcPr>
            <w:tcW w:w="881" w:type="pct"/>
            <w:vAlign w:val="center"/>
          </w:tcPr>
          <w:p w14:paraId="2C9E6736" w14:textId="36414BC6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Valor declarado vazio</w:t>
            </w:r>
          </w:p>
        </w:tc>
        <w:tc>
          <w:tcPr>
            <w:tcW w:w="1619" w:type="pct"/>
            <w:vAlign w:val="center"/>
          </w:tcPr>
          <w:p w14:paraId="53EA3F4F" w14:textId="0204B783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valor_declarado ausente</w:t>
            </w:r>
          </w:p>
        </w:tc>
        <w:tc>
          <w:tcPr>
            <w:tcW w:w="1095" w:type="pct"/>
            <w:vAlign w:val="center"/>
          </w:tcPr>
          <w:p w14:paraId="5C8B987B" w14:textId="0A00C222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72659E44" w14:textId="5A2445E7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base para comparação</w:t>
            </w:r>
          </w:p>
        </w:tc>
      </w:tr>
      <w:tr w:rsidR="00B74B38" w:rsidRPr="00C02EB5" w14:paraId="43964A05" w14:textId="77777777" w:rsidTr="003727D1">
        <w:tc>
          <w:tcPr>
            <w:tcW w:w="881" w:type="pct"/>
            <w:vAlign w:val="center"/>
          </w:tcPr>
          <w:p w14:paraId="1C959AC1" w14:textId="3C9A9E8D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Valor declarado não numérico</w:t>
            </w:r>
          </w:p>
        </w:tc>
        <w:tc>
          <w:tcPr>
            <w:tcW w:w="1619" w:type="pct"/>
            <w:vAlign w:val="center"/>
          </w:tcPr>
          <w:p w14:paraId="325EAE96" w14:textId="12C16A81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valor_declarado não converte para número</w:t>
            </w:r>
          </w:p>
        </w:tc>
        <w:tc>
          <w:tcPr>
            <w:tcW w:w="1095" w:type="pct"/>
            <w:vAlign w:val="center"/>
          </w:tcPr>
          <w:p w14:paraId="755C8D7A" w14:textId="211FA431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7AAC6B1E" w14:textId="55EAB0A9" w:rsidR="00B74B38" w:rsidRPr="00C02EB5" w:rsidRDefault="00B74B38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cálculo inválido</w:t>
            </w:r>
          </w:p>
        </w:tc>
      </w:tr>
      <w:tr w:rsidR="00616987" w:rsidRPr="00C02EB5" w14:paraId="5316E261" w14:textId="77777777" w:rsidTr="003727D1">
        <w:tc>
          <w:tcPr>
            <w:tcW w:w="881" w:type="pct"/>
            <w:vAlign w:val="center"/>
          </w:tcPr>
          <w:p w14:paraId="2680F0F3" w14:textId="5FA8CA5E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Data-base vazia</w:t>
            </w:r>
          </w:p>
        </w:tc>
        <w:tc>
          <w:tcPr>
            <w:tcW w:w="1619" w:type="pct"/>
            <w:vAlign w:val="center"/>
          </w:tcPr>
          <w:p w14:paraId="3BA8691A" w14:textId="69686744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data_base ausente</w:t>
            </w:r>
          </w:p>
        </w:tc>
        <w:tc>
          <w:tcPr>
            <w:tcW w:w="1095" w:type="pct"/>
            <w:vAlign w:val="center"/>
          </w:tcPr>
          <w:p w14:paraId="46D4E795" w14:textId="654E83DA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Marca erro para a linha</w:t>
            </w:r>
          </w:p>
        </w:tc>
        <w:tc>
          <w:tcPr>
            <w:tcW w:w="1405" w:type="pct"/>
            <w:vAlign w:val="center"/>
          </w:tcPr>
          <w:p w14:paraId="70C51080" w14:textId="10252E78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referência temporal de preço</w:t>
            </w:r>
          </w:p>
        </w:tc>
      </w:tr>
      <w:tr w:rsidR="00616987" w:rsidRPr="00C02EB5" w14:paraId="65899482" w14:textId="536D9E38" w:rsidTr="003727D1">
        <w:tc>
          <w:tcPr>
            <w:tcW w:w="881" w:type="pct"/>
            <w:vAlign w:val="center"/>
          </w:tcPr>
          <w:p w14:paraId="6589947E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data_base inválida</w:t>
            </w:r>
          </w:p>
        </w:tc>
        <w:tc>
          <w:tcPr>
            <w:tcW w:w="1619" w:type="pct"/>
            <w:vAlign w:val="center"/>
          </w:tcPr>
          <w:p w14:paraId="6589947F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Formato inválido ou data inexistente</w:t>
            </w:r>
          </w:p>
        </w:tc>
        <w:tc>
          <w:tcPr>
            <w:tcW w:w="1095" w:type="pct"/>
            <w:vAlign w:val="center"/>
          </w:tcPr>
          <w:p w14:paraId="65899480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Rejeita a linha</w:t>
            </w:r>
          </w:p>
        </w:tc>
        <w:tc>
          <w:tcPr>
            <w:tcW w:w="1405" w:type="pct"/>
            <w:vAlign w:val="center"/>
          </w:tcPr>
          <w:p w14:paraId="65899481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consulta e cálculo com data inválida</w:t>
            </w:r>
          </w:p>
        </w:tc>
      </w:tr>
      <w:tr w:rsidR="00616987" w:rsidRPr="00C02EB5" w14:paraId="65899487" w14:textId="4CC6DC1F" w:rsidTr="003727D1">
        <w:tc>
          <w:tcPr>
            <w:tcW w:w="881" w:type="pct"/>
            <w:vAlign w:val="center"/>
          </w:tcPr>
          <w:p w14:paraId="65899483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data_base hoje/futura</w:t>
            </w:r>
          </w:p>
        </w:tc>
        <w:tc>
          <w:tcPr>
            <w:tcW w:w="1619" w:type="pct"/>
            <w:vAlign w:val="center"/>
          </w:tcPr>
          <w:p w14:paraId="65899484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data_base ≥ hoje (UTC 00:00)</w:t>
            </w:r>
          </w:p>
        </w:tc>
        <w:tc>
          <w:tcPr>
            <w:tcW w:w="1095" w:type="pct"/>
            <w:vAlign w:val="center"/>
          </w:tcPr>
          <w:p w14:paraId="65899485" w14:textId="46540C40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 xml:space="preserve">Rejeita a linha </w:t>
            </w:r>
          </w:p>
        </w:tc>
        <w:tc>
          <w:tcPr>
            <w:tcW w:w="1405" w:type="pct"/>
            <w:vAlign w:val="center"/>
          </w:tcPr>
          <w:p w14:paraId="65899486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Regra operacional: aceitar apenas data passada</w:t>
            </w:r>
          </w:p>
        </w:tc>
      </w:tr>
      <w:tr w:rsidR="00616987" w:rsidRPr="00C02EB5" w14:paraId="6589948C" w14:textId="7CA0EBE2" w:rsidTr="003727D1">
        <w:tc>
          <w:tcPr>
            <w:tcW w:w="881" w:type="pct"/>
            <w:vAlign w:val="center"/>
          </w:tcPr>
          <w:p w14:paraId="65899488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Stablecoin USD</w:t>
            </w:r>
          </w:p>
        </w:tc>
        <w:tc>
          <w:tcPr>
            <w:tcW w:w="1619" w:type="pct"/>
            <w:vAlign w:val="center"/>
          </w:tcPr>
          <w:p w14:paraId="65899489" w14:textId="301F0856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Ticker em lista interna</w:t>
            </w:r>
            <w:r w:rsidR="003F3A95" w:rsidRPr="00C02EB5">
              <w:rPr>
                <w:rFonts w:ascii="Arial" w:eastAsia="Arial" w:hAnsi="Arial" w:cs="Arial"/>
                <w:sz w:val="18"/>
                <w:szCs w:val="18"/>
              </w:rPr>
              <w:t xml:space="preserve"> de Stablecoins</w:t>
            </w:r>
            <w:r w:rsidR="00BF1B20" w:rsidRPr="00C02EB5">
              <w:rPr>
                <w:rFonts w:ascii="Arial" w:eastAsia="Arial" w:hAnsi="Arial" w:cs="Arial"/>
                <w:sz w:val="18"/>
                <w:szCs w:val="18"/>
              </w:rPr>
              <w:t xml:space="preserve"> USD</w:t>
            </w:r>
          </w:p>
        </w:tc>
        <w:tc>
          <w:tcPr>
            <w:tcW w:w="1095" w:type="pct"/>
            <w:vAlign w:val="center"/>
          </w:tcPr>
          <w:p w14:paraId="6589948A" w14:textId="77777777" w:rsidR="00616987" w:rsidRPr="00C02EB5" w:rsidRDefault="00616987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Preço fixo 1,0000 (USDT) sem consulta à Binance</w:t>
            </w:r>
          </w:p>
        </w:tc>
        <w:tc>
          <w:tcPr>
            <w:tcW w:w="1405" w:type="pct"/>
            <w:vAlign w:val="center"/>
          </w:tcPr>
          <w:p w14:paraId="6589948B" w14:textId="1C1AE072" w:rsidR="00616987" w:rsidRPr="00C02EB5" w:rsidRDefault="00D3681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Simplifica quando há regra de paridade assumida</w:t>
            </w:r>
          </w:p>
        </w:tc>
      </w:tr>
      <w:tr w:rsidR="0017225B" w:rsidRPr="00C02EB5" w14:paraId="65899491" w14:textId="089DF16A" w:rsidTr="003727D1">
        <w:tc>
          <w:tcPr>
            <w:tcW w:w="881" w:type="pct"/>
            <w:vAlign w:val="center"/>
          </w:tcPr>
          <w:p w14:paraId="6589948D" w14:textId="0302877A" w:rsidR="0017225B" w:rsidRPr="00C02EB5" w:rsidRDefault="0017225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Rebranding (alias)</w:t>
            </w:r>
          </w:p>
        </w:tc>
        <w:tc>
          <w:tcPr>
            <w:tcW w:w="1619" w:type="pct"/>
            <w:vAlign w:val="center"/>
          </w:tcPr>
          <w:p w14:paraId="6589948E" w14:textId="53889618" w:rsidR="0017225B" w:rsidRPr="00C02EB5" w:rsidRDefault="0017225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ticker está mapeado (ex.: MATIC→POL; RNDR→RENDER)</w:t>
            </w:r>
          </w:p>
        </w:tc>
        <w:tc>
          <w:tcPr>
            <w:tcW w:w="1095" w:type="pct"/>
            <w:vAlign w:val="center"/>
          </w:tcPr>
          <w:p w14:paraId="6589948F" w14:textId="39633E6A" w:rsidR="0017225B" w:rsidRPr="00C02EB5" w:rsidRDefault="0017225B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Consulta Binance usando ticker novo; registra observação “Ticker renomeado…”</w:t>
            </w:r>
          </w:p>
        </w:tc>
        <w:tc>
          <w:tcPr>
            <w:tcW w:w="1405" w:type="pct"/>
            <w:vAlign w:val="center"/>
          </w:tcPr>
          <w:p w14:paraId="65899490" w14:textId="4E749E62" w:rsidR="0017225B" w:rsidRPr="00C02EB5" w:rsidRDefault="0017225B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Mantém continuidade histórica do ativo após mudança de código</w:t>
            </w:r>
          </w:p>
        </w:tc>
      </w:tr>
      <w:tr w:rsidR="002C7910" w:rsidRPr="00C02EB5" w14:paraId="399C609E" w14:textId="77777777" w:rsidTr="003727D1">
        <w:tc>
          <w:tcPr>
            <w:tcW w:w="881" w:type="pct"/>
            <w:vAlign w:val="center"/>
          </w:tcPr>
          <w:p w14:paraId="2C366912" w14:textId="76EC1203" w:rsidR="002C7910" w:rsidRPr="00C02EB5" w:rsidRDefault="002C7910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Ativo padrão listado</w:t>
            </w:r>
          </w:p>
        </w:tc>
        <w:tc>
          <w:tcPr>
            <w:tcW w:w="1619" w:type="pct"/>
            <w:vAlign w:val="center"/>
          </w:tcPr>
          <w:p w14:paraId="3E69A7CA" w14:textId="597BE936" w:rsidR="002C7910" w:rsidRPr="00C02EB5" w:rsidRDefault="002C7910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Não é stablecoin e não falha consulta</w:t>
            </w:r>
          </w:p>
        </w:tc>
        <w:tc>
          <w:tcPr>
            <w:tcW w:w="1095" w:type="pct"/>
            <w:vAlign w:val="center"/>
          </w:tcPr>
          <w:p w14:paraId="7656B876" w14:textId="01AE9AA8" w:rsidR="002C7910" w:rsidRPr="00C02EB5" w:rsidRDefault="002C7910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Consulta {TICKER}USDT na Binance</w:t>
            </w:r>
          </w:p>
        </w:tc>
        <w:tc>
          <w:tcPr>
            <w:tcW w:w="1405" w:type="pct"/>
            <w:vAlign w:val="center"/>
          </w:tcPr>
          <w:p w14:paraId="77EF7D07" w14:textId="226FD0F0" w:rsidR="002C7910" w:rsidRPr="00C02EB5" w:rsidRDefault="002C7910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Usa preço de mercado observável via exchange</w:t>
            </w:r>
          </w:p>
        </w:tc>
      </w:tr>
      <w:tr w:rsidR="00970101" w:rsidRPr="00C02EB5" w14:paraId="58007802" w14:textId="77777777" w:rsidTr="003727D1">
        <w:tc>
          <w:tcPr>
            <w:tcW w:w="881" w:type="pct"/>
            <w:vAlign w:val="center"/>
          </w:tcPr>
          <w:p w14:paraId="76C122E3" w14:textId="67E90974" w:rsidR="00970101" w:rsidRPr="00C02EB5" w:rsidRDefault="0097010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Binance indisponível (rede/timeout/5xx/429 esgotado)</w:t>
            </w:r>
          </w:p>
        </w:tc>
        <w:tc>
          <w:tcPr>
            <w:tcW w:w="1619" w:type="pct"/>
            <w:vAlign w:val="center"/>
          </w:tcPr>
          <w:p w14:paraId="6A645347" w14:textId="721C96DB" w:rsidR="00970101" w:rsidRPr="00C02EB5" w:rsidRDefault="0097010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Falha após tentativas (ou erro capturado)</w:t>
            </w:r>
          </w:p>
        </w:tc>
        <w:tc>
          <w:tcPr>
            <w:tcW w:w="1095" w:type="pct"/>
            <w:vAlign w:val="center"/>
          </w:tcPr>
          <w:p w14:paraId="25DBAB87" w14:textId="4DD44917" w:rsidR="00970101" w:rsidRPr="00C02EB5" w:rsidRDefault="00970101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Registra close_BRT = N/D; status final tende a ERRO; observação “Binance indisponível…”</w:t>
            </w:r>
          </w:p>
        </w:tc>
        <w:tc>
          <w:tcPr>
            <w:tcW w:w="1405" w:type="pct"/>
            <w:vAlign w:val="center"/>
          </w:tcPr>
          <w:p w14:paraId="7750209F" w14:textId="6404E92B" w:rsidR="00970101" w:rsidRPr="00C02EB5" w:rsidRDefault="0097010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preço de mercado, não calcula valor justo</w:t>
            </w:r>
          </w:p>
        </w:tc>
      </w:tr>
      <w:tr w:rsidR="00A07539" w:rsidRPr="00C02EB5" w14:paraId="0F35FC82" w14:textId="77777777" w:rsidTr="003727D1">
        <w:tc>
          <w:tcPr>
            <w:tcW w:w="881" w:type="pct"/>
            <w:vAlign w:val="center"/>
          </w:tcPr>
          <w:p w14:paraId="79E79FFC" w14:textId="06305029" w:rsidR="00A07539" w:rsidRPr="00C02EB5" w:rsidRDefault="00A07539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Retroativo Binance esgotado</w:t>
            </w:r>
          </w:p>
        </w:tc>
        <w:tc>
          <w:tcPr>
            <w:tcW w:w="1619" w:type="pct"/>
            <w:vAlign w:val="center"/>
          </w:tcPr>
          <w:p w14:paraId="45F190DD" w14:textId="067FE839" w:rsidR="00A07539" w:rsidRPr="00C02EB5" w:rsidRDefault="00A07539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5 dias sem encontrar dado</w:t>
            </w:r>
          </w:p>
        </w:tc>
        <w:tc>
          <w:tcPr>
            <w:tcW w:w="1095" w:type="pct"/>
            <w:vAlign w:val="center"/>
          </w:tcPr>
          <w:p w14:paraId="5F4F541C" w14:textId="73FC9670" w:rsidR="00A07539" w:rsidRPr="00C02EB5" w:rsidRDefault="00A07539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Retorna falha; close_BRT = N/D</w:t>
            </w:r>
          </w:p>
        </w:tc>
        <w:tc>
          <w:tcPr>
            <w:tcW w:w="1405" w:type="pct"/>
            <w:vAlign w:val="center"/>
          </w:tcPr>
          <w:p w14:paraId="015AB09C" w14:textId="3C244EAF" w:rsidR="00A07539" w:rsidRPr="00C02EB5" w:rsidRDefault="00A07539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Evita extrapolação além do limite implementado</w:t>
            </w:r>
          </w:p>
        </w:tc>
      </w:tr>
      <w:tr w:rsidR="005B78E1" w:rsidRPr="00C02EB5" w14:paraId="13BBBEAE" w14:textId="77777777" w:rsidTr="003727D1">
        <w:tc>
          <w:tcPr>
            <w:tcW w:w="881" w:type="pct"/>
            <w:vAlign w:val="center"/>
          </w:tcPr>
          <w:p w14:paraId="19EC13BE" w14:textId="4C0C3670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Evidência 21h UTC disponível</w:t>
            </w:r>
          </w:p>
        </w:tc>
        <w:tc>
          <w:tcPr>
            <w:tcW w:w="1619" w:type="pct"/>
            <w:vAlign w:val="center"/>
          </w:tcPr>
          <w:p w14:paraId="10BE1124" w14:textId="0B913571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fetchBinanceClose21 retorna preço</w:t>
            </w:r>
          </w:p>
        </w:tc>
        <w:tc>
          <w:tcPr>
            <w:tcW w:w="1095" w:type="pct"/>
            <w:vAlign w:val="center"/>
          </w:tcPr>
          <w:p w14:paraId="66A45B3E" w14:textId="5CBBDFDB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Preenche close_crypto21 (não afeta cálculo)</w:t>
            </w:r>
          </w:p>
        </w:tc>
        <w:tc>
          <w:tcPr>
            <w:tcW w:w="1405" w:type="pct"/>
            <w:vAlign w:val="center"/>
          </w:tcPr>
          <w:p w14:paraId="4A4D54D1" w14:textId="2E87AA0E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Evidência adicional do mercado no dia</w:t>
            </w:r>
          </w:p>
        </w:tc>
      </w:tr>
      <w:tr w:rsidR="005B78E1" w:rsidRPr="00C02EB5" w14:paraId="65899496" w14:textId="396162D7" w:rsidTr="003727D1">
        <w:tc>
          <w:tcPr>
            <w:tcW w:w="881" w:type="pct"/>
            <w:vAlign w:val="center"/>
          </w:tcPr>
          <w:p w14:paraId="65899492" w14:textId="2593983B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Evidência 21h UTC indisponível</w:t>
            </w:r>
          </w:p>
        </w:tc>
        <w:tc>
          <w:tcPr>
            <w:tcW w:w="1619" w:type="pct"/>
            <w:vAlign w:val="center"/>
          </w:tcPr>
          <w:p w14:paraId="65899493" w14:textId="2A43CB4E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Falha consulta</w:t>
            </w:r>
          </w:p>
        </w:tc>
        <w:tc>
          <w:tcPr>
            <w:tcW w:w="1095" w:type="pct"/>
            <w:vAlign w:val="center"/>
          </w:tcPr>
          <w:p w14:paraId="65899494" w14:textId="05DB27D6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close_crypto21 = N/D (sem travar cálculo)</w:t>
            </w:r>
          </w:p>
        </w:tc>
        <w:tc>
          <w:tcPr>
            <w:tcW w:w="1405" w:type="pct"/>
            <w:vAlign w:val="center"/>
          </w:tcPr>
          <w:p w14:paraId="65899495" w14:textId="4393EE92" w:rsidR="005B78E1" w:rsidRPr="00C02EB5" w:rsidRDefault="005B78E1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Evidência é opcional, não bloqueia o valor justo</w:t>
            </w:r>
          </w:p>
        </w:tc>
      </w:tr>
      <w:tr w:rsidR="00AC19AD" w:rsidRPr="00C02EB5" w14:paraId="22BB9656" w14:textId="77777777" w:rsidTr="003727D1">
        <w:tc>
          <w:tcPr>
            <w:tcW w:w="881" w:type="pct"/>
            <w:vAlign w:val="center"/>
          </w:tcPr>
          <w:p w14:paraId="6839314D" w14:textId="24074816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PTAX indisponível (rede/timeout/5xx/429 esgotado)</w:t>
            </w:r>
          </w:p>
        </w:tc>
        <w:tc>
          <w:tcPr>
            <w:tcW w:w="1619" w:type="pct"/>
            <w:vAlign w:val="center"/>
          </w:tcPr>
          <w:p w14:paraId="75253F32" w14:textId="46652AEA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Falha após tentativas (ou erro capturado)</w:t>
            </w:r>
          </w:p>
        </w:tc>
        <w:tc>
          <w:tcPr>
            <w:tcW w:w="1095" w:type="pct"/>
            <w:vAlign w:val="center"/>
          </w:tcPr>
          <w:p w14:paraId="30F65468" w14:textId="322C3251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ptax_data_base = N/D; status final tende a ERRO; observação “PTAX indisponível…”</w:t>
            </w:r>
          </w:p>
        </w:tc>
        <w:tc>
          <w:tcPr>
            <w:tcW w:w="1405" w:type="pct"/>
            <w:vAlign w:val="center"/>
          </w:tcPr>
          <w:p w14:paraId="7510DB57" w14:textId="64932910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taxa de conversão, não calcula valor justo</w:t>
            </w:r>
          </w:p>
        </w:tc>
      </w:tr>
      <w:tr w:rsidR="00AC19AD" w:rsidRPr="00C02EB5" w14:paraId="6589949B" w14:textId="4FC93462" w:rsidTr="003727D1">
        <w:tc>
          <w:tcPr>
            <w:tcW w:w="881" w:type="pct"/>
            <w:vAlign w:val="center"/>
          </w:tcPr>
          <w:p w14:paraId="65899497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PTAX sem cotação no dia</w:t>
            </w:r>
          </w:p>
        </w:tc>
        <w:tc>
          <w:tcPr>
            <w:tcW w:w="1619" w:type="pct"/>
            <w:vAlign w:val="center"/>
          </w:tcPr>
          <w:p w14:paraId="65899498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value vazio (feriado/fim de semana)</w:t>
            </w:r>
          </w:p>
        </w:tc>
        <w:tc>
          <w:tcPr>
            <w:tcW w:w="1095" w:type="pct"/>
            <w:vAlign w:val="center"/>
          </w:tcPr>
          <w:p w14:paraId="65899499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Tenta dia anterior até 5 dias; registra data usada</w:t>
            </w:r>
          </w:p>
        </w:tc>
        <w:tc>
          <w:tcPr>
            <w:tcW w:w="1405" w:type="pct"/>
            <w:vAlign w:val="center"/>
          </w:tcPr>
          <w:p w14:paraId="6589949A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Fallback retroativo por ausência de cotação</w:t>
            </w:r>
          </w:p>
        </w:tc>
      </w:tr>
      <w:tr w:rsidR="00A95D7C" w:rsidRPr="00C02EB5" w14:paraId="658994A0" w14:textId="0A25964B" w:rsidTr="003727D1">
        <w:tc>
          <w:tcPr>
            <w:tcW w:w="881" w:type="pct"/>
            <w:vAlign w:val="center"/>
          </w:tcPr>
          <w:p w14:paraId="6589949C" w14:textId="62123C20" w:rsidR="00A95D7C" w:rsidRPr="00C02EB5" w:rsidRDefault="00A95D7C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zero</w:t>
            </w:r>
          </w:p>
        </w:tc>
        <w:tc>
          <w:tcPr>
            <w:tcW w:w="1619" w:type="pct"/>
            <w:vAlign w:val="center"/>
          </w:tcPr>
          <w:p w14:paraId="6589949D" w14:textId="4EF81679" w:rsidR="00A95D7C" w:rsidRPr="00C02EB5" w:rsidRDefault="00A95D7C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== 0</w:t>
            </w:r>
          </w:p>
        </w:tc>
        <w:tc>
          <w:tcPr>
            <w:tcW w:w="1095" w:type="pct"/>
            <w:vAlign w:val="center"/>
          </w:tcPr>
          <w:p w14:paraId="6589949E" w14:textId="21821B1C" w:rsidR="00A95D7C" w:rsidRPr="00C02EB5" w:rsidRDefault="00A95D7C" w:rsidP="00A04FBA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C02EB5">
              <w:rPr>
                <w:rFonts w:ascii="Arial" w:eastAsia="Arial" w:hAnsi="Arial" w:cs="Arial"/>
                <w:sz w:val="14"/>
                <w:szCs w:val="14"/>
              </w:rPr>
              <w:t>Não calcula valor justo; status = ERRO; declaredo_x_valorjusto = N/D; observação “Quantidade zero…”</w:t>
            </w:r>
          </w:p>
        </w:tc>
        <w:tc>
          <w:tcPr>
            <w:tcW w:w="1405" w:type="pct"/>
            <w:vAlign w:val="center"/>
          </w:tcPr>
          <w:p w14:paraId="6589949F" w14:textId="79A9D8EE" w:rsidR="00A95D7C" w:rsidRPr="00C02EB5" w:rsidRDefault="00A95D7C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Sem posição econômica a mensurar segundo a regra implementada</w:t>
            </w:r>
          </w:p>
        </w:tc>
      </w:tr>
      <w:tr w:rsidR="00AC19AD" w:rsidRPr="00C02EB5" w14:paraId="658994A5" w14:textId="4153EE62" w:rsidTr="003727D1">
        <w:tc>
          <w:tcPr>
            <w:tcW w:w="881" w:type="pct"/>
            <w:vAlign w:val="center"/>
          </w:tcPr>
          <w:p w14:paraId="658994A1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negativa</w:t>
            </w:r>
          </w:p>
        </w:tc>
        <w:tc>
          <w:tcPr>
            <w:tcW w:w="1619" w:type="pct"/>
            <w:vAlign w:val="center"/>
          </w:tcPr>
          <w:p w14:paraId="658994A2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quantidade &lt; 0</w:t>
            </w:r>
          </w:p>
        </w:tc>
        <w:tc>
          <w:tcPr>
            <w:tcW w:w="1095" w:type="pct"/>
            <w:vAlign w:val="center"/>
          </w:tcPr>
          <w:p w14:paraId="658994A3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Calcula com |quantidade|; registra observação</w:t>
            </w:r>
          </w:p>
        </w:tc>
        <w:tc>
          <w:tcPr>
            <w:tcW w:w="1405" w:type="pct"/>
            <w:vAlign w:val="center"/>
          </w:tcPr>
          <w:p w14:paraId="658994A4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Mantém magnitude e sinaliza para julgamento [REVISAR]</w:t>
            </w:r>
          </w:p>
        </w:tc>
      </w:tr>
      <w:tr w:rsidR="00AC19AD" w:rsidRPr="00C02EB5" w14:paraId="658994AA" w14:textId="0D1FE289" w:rsidTr="003727D1">
        <w:tc>
          <w:tcPr>
            <w:tcW w:w="881" w:type="pct"/>
            <w:vAlign w:val="center"/>
          </w:tcPr>
          <w:p w14:paraId="658994A6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Cálculo possível</w:t>
            </w:r>
          </w:p>
        </w:tc>
        <w:tc>
          <w:tcPr>
            <w:tcW w:w="1619" w:type="pct"/>
            <w:vAlign w:val="center"/>
          </w:tcPr>
          <w:p w14:paraId="658994A7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Preço Binance numérico e PTAX numérica e quantidade ≠ 0</w:t>
            </w:r>
          </w:p>
        </w:tc>
        <w:tc>
          <w:tcPr>
            <w:tcW w:w="1095" w:type="pct"/>
            <w:vAlign w:val="center"/>
          </w:tcPr>
          <w:p w14:paraId="658994A8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Calcula valor justo e métrica percentual</w:t>
            </w:r>
          </w:p>
        </w:tc>
        <w:tc>
          <w:tcPr>
            <w:tcW w:w="1405" w:type="pct"/>
            <w:vAlign w:val="center"/>
          </w:tcPr>
          <w:p w14:paraId="658994A9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Mensuração por preço de mercado e câmbio oficial</w:t>
            </w:r>
          </w:p>
        </w:tc>
      </w:tr>
      <w:tr w:rsidR="00AC19AD" w:rsidRPr="00C02EB5" w14:paraId="658994AF" w14:textId="003238A7" w:rsidTr="003727D1">
        <w:tc>
          <w:tcPr>
            <w:tcW w:w="881" w:type="pct"/>
            <w:vAlign w:val="center"/>
          </w:tcPr>
          <w:p w14:paraId="658994AB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ALERTA</w:t>
            </w:r>
          </w:p>
        </w:tc>
        <w:tc>
          <w:tcPr>
            <w:tcW w:w="1619" w:type="pct"/>
            <w:vAlign w:val="center"/>
          </w:tcPr>
          <w:p w14:paraId="658994AC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|valor_declarado_x_valor_justo| &gt; 1,5%</w:t>
            </w:r>
          </w:p>
        </w:tc>
        <w:tc>
          <w:tcPr>
            <w:tcW w:w="1095" w:type="pct"/>
            <w:vAlign w:val="center"/>
          </w:tcPr>
          <w:p w14:paraId="658994AD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Status ALERTA</w:t>
            </w:r>
          </w:p>
        </w:tc>
        <w:tc>
          <w:tcPr>
            <w:tcW w:w="1405" w:type="pct"/>
            <w:vAlign w:val="center"/>
          </w:tcPr>
          <w:p w14:paraId="658994AE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Divergência acima do limite fixo</w:t>
            </w:r>
          </w:p>
        </w:tc>
      </w:tr>
      <w:tr w:rsidR="00AC19AD" w:rsidRPr="00C02EB5" w14:paraId="658994B4" w14:textId="2DB2C56A" w:rsidTr="003727D1">
        <w:tc>
          <w:tcPr>
            <w:tcW w:w="881" w:type="pct"/>
            <w:vAlign w:val="center"/>
          </w:tcPr>
          <w:p w14:paraId="658994B0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APROVADO</w:t>
            </w:r>
          </w:p>
        </w:tc>
        <w:tc>
          <w:tcPr>
            <w:tcW w:w="1619" w:type="pct"/>
            <w:vAlign w:val="center"/>
          </w:tcPr>
          <w:p w14:paraId="658994B1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|valor_declarado_x_valor_justo| ≤ 1,5%</w:t>
            </w:r>
          </w:p>
        </w:tc>
        <w:tc>
          <w:tcPr>
            <w:tcW w:w="1095" w:type="pct"/>
            <w:vAlign w:val="center"/>
          </w:tcPr>
          <w:p w14:paraId="658994B2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Status APROVADO</w:t>
            </w:r>
          </w:p>
        </w:tc>
        <w:tc>
          <w:tcPr>
            <w:tcW w:w="1405" w:type="pct"/>
            <w:vAlign w:val="center"/>
          </w:tcPr>
          <w:p w14:paraId="658994B3" w14:textId="77777777" w:rsidR="00AC19AD" w:rsidRPr="00C02EB5" w:rsidRDefault="00AC19AD" w:rsidP="00A04FB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02EB5">
              <w:rPr>
                <w:rFonts w:ascii="Arial" w:eastAsia="Arial" w:hAnsi="Arial" w:cs="Arial"/>
                <w:sz w:val="18"/>
                <w:szCs w:val="18"/>
              </w:rPr>
              <w:t>Divergência dentro do limite fixo</w:t>
            </w:r>
          </w:p>
        </w:tc>
      </w:tr>
    </w:tbl>
    <w:p w14:paraId="658994BF" w14:textId="77777777" w:rsidR="00A82B2E" w:rsidRPr="00C02EB5" w:rsidRDefault="00A82B2E">
      <w:pPr>
        <w:rPr>
          <w:rFonts w:ascii="Arial" w:hAnsi="Arial" w:cs="Arial"/>
        </w:rPr>
      </w:pPr>
    </w:p>
    <w:p w14:paraId="07EA1901" w14:textId="77777777" w:rsidR="00AC3DAE" w:rsidRDefault="00AC3DAE" w:rsidP="00822554">
      <w:pPr>
        <w:spacing w:after="160" w:line="278" w:lineRule="auto"/>
        <w:rPr>
          <w:rFonts w:ascii="Arial" w:hAnsi="Arial" w:cs="Arial"/>
          <w:b/>
          <w:bCs/>
        </w:rPr>
      </w:pPr>
    </w:p>
    <w:p w14:paraId="16D4038F" w14:textId="09972EC6" w:rsidR="00822554" w:rsidRPr="00C02EB5" w:rsidRDefault="00822554" w:rsidP="00822554">
      <w:pPr>
        <w:spacing w:after="160" w:line="278" w:lineRule="auto"/>
        <w:rPr>
          <w:rFonts w:ascii="Arial" w:hAnsi="Arial" w:cs="Arial"/>
          <w:b/>
          <w:bCs/>
        </w:rPr>
      </w:pPr>
      <w:r w:rsidRPr="00C02EB5">
        <w:rPr>
          <w:rFonts w:ascii="Arial" w:hAnsi="Arial" w:cs="Arial"/>
          <w:b/>
          <w:bCs/>
        </w:rPr>
        <w:t>Cenários relevantes para auditoria que o código não cobre (mas podem ser importantes)</w:t>
      </w:r>
    </w:p>
    <w:p w14:paraId="5E993474" w14:textId="2A6E3F81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Depeg de stablecoins</w:t>
      </w:r>
      <w:r w:rsidRPr="00C02EB5">
        <w:rPr>
          <w:rFonts w:ascii="Arial" w:hAnsi="Arial" w:cs="Arial"/>
        </w:rPr>
        <w:t>: stablecoins USD recebem preço fixo 1,0 e não refletem preço observável; pode sub/superestimar valor justo. </w:t>
      </w:r>
    </w:p>
    <w:p w14:paraId="367E2620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Ativos com par mais líquido que USDT</w:t>
      </w:r>
      <w:r w:rsidRPr="00C02EB5">
        <w:rPr>
          <w:rFonts w:ascii="Arial" w:hAnsi="Arial" w:cs="Arial"/>
        </w:rPr>
        <w:t> (ex.: pares BRL, USD, USDC): a ferramenta sempre usa {TICKER}USDT (exceto stablecoin), sem alternativa de par.</w:t>
      </w:r>
    </w:p>
    <w:p w14:paraId="20896741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Hierarquia de valor justo (CPC 46)</w:t>
      </w:r>
      <w:r w:rsidRPr="00C02EB5">
        <w:rPr>
          <w:rFonts w:ascii="Arial" w:hAnsi="Arial" w:cs="Arial"/>
        </w:rPr>
        <w:t>: não há classificação/nível (Nível 1/2/3) nem critérios para ajuste por mercado principal/mais vantajoso.</w:t>
      </w:r>
    </w:p>
    <w:p w14:paraId="524AE2FB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Tratamento contábil de posições negativas</w:t>
      </w:r>
      <w:r w:rsidRPr="00C02EB5">
        <w:rPr>
          <w:rFonts w:ascii="Arial" w:hAnsi="Arial" w:cs="Arial"/>
        </w:rPr>
        <w:t>: o uso de </w:t>
      </w:r>
      <m:oMath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quantidade</m:t>
        </m:r>
        <m:r>
          <m:rPr>
            <m:sty m:val="p"/>
          </m:rPr>
          <w:rPr>
            <w:rFonts w:ascii="Cambria Math" w:hAnsi="Cambria Math" w:cs="Arial"/>
          </w:rPr>
          <m:t>∣</m:t>
        </m:r>
      </m:oMath>
      <w:r w:rsidRPr="00C02EB5">
        <w:rPr>
          <w:rFonts w:ascii="Arial" w:hAnsi="Arial" w:cs="Arial"/>
        </w:rPr>
        <w:t> pode conflitar com apresentação de passivos/posições vendidas; o sistema apenas sinaliza observação.</w:t>
      </w:r>
    </w:p>
    <w:p w14:paraId="008F63E1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Critério de materialidade parametrizável</w:t>
      </w:r>
      <w:r w:rsidRPr="00C02EB5">
        <w:rPr>
          <w:rFonts w:ascii="Arial" w:hAnsi="Arial" w:cs="Arial"/>
        </w:rPr>
        <w:t>: o threshold é fixo em 1,5% (não há parametrização por política de auditoria/cliente).</w:t>
      </w:r>
    </w:p>
    <w:p w14:paraId="17F752B5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Evidência de horário/captura</w:t>
      </w:r>
      <w:r w:rsidRPr="00C02EB5">
        <w:rPr>
          <w:rFonts w:ascii="Arial" w:hAnsi="Arial" w:cs="Arial"/>
        </w:rPr>
        <w:t>: não registra identificador de requisição, payload de resposta, nem trilha de auditoria detalhada da consulta (apenas valores e observações textuais).</w:t>
      </w:r>
    </w:p>
    <w:p w14:paraId="79ACB130" w14:textId="77777777" w:rsidR="00822554" w:rsidRPr="00C02EB5" w:rsidRDefault="00822554" w:rsidP="00822554">
      <w:pPr>
        <w:numPr>
          <w:ilvl w:val="0"/>
          <w:numId w:val="4"/>
        </w:numPr>
        <w:spacing w:after="160" w:line="278" w:lineRule="auto"/>
        <w:rPr>
          <w:rFonts w:ascii="Arial" w:hAnsi="Arial" w:cs="Arial"/>
        </w:rPr>
      </w:pPr>
      <w:r w:rsidRPr="00C02EB5">
        <w:rPr>
          <w:rFonts w:ascii="Arial" w:hAnsi="Arial" w:cs="Arial"/>
          <w:b/>
          <w:bCs/>
        </w:rPr>
        <w:t>Tratamento diferenciado para tokens não listados</w:t>
      </w:r>
      <w:r w:rsidRPr="00C02EB5">
        <w:rPr>
          <w:rFonts w:ascii="Arial" w:hAnsi="Arial" w:cs="Arial"/>
        </w:rPr>
        <w:t>: o sistema marca como ERRO por indisponibilidade, mas não aplica critério alternativo de mensuração (apenas sugere necessidade, em texto metodológico).</w:t>
      </w:r>
    </w:p>
    <w:p w14:paraId="0759F78D" w14:textId="77777777" w:rsidR="00822554" w:rsidRPr="00C02EB5" w:rsidRDefault="00822554" w:rsidP="00822554">
      <w:pPr>
        <w:rPr>
          <w:rFonts w:ascii="Arial" w:hAnsi="Arial" w:cs="Arial"/>
        </w:rPr>
      </w:pPr>
    </w:p>
    <w:p w14:paraId="46A15907" w14:textId="412DF441" w:rsidR="00A04FBA" w:rsidRPr="00C02EB5" w:rsidRDefault="00BC4D72" w:rsidP="00A04FBA">
      <w:pPr>
        <w:pStyle w:val="Heading1"/>
        <w:rPr>
          <w:rFonts w:ascii="Arial" w:eastAsia="Arial" w:hAnsi="Arial" w:cs="Arial"/>
          <w:b/>
          <w:bCs/>
          <w:color w:val="1B2A4A"/>
          <w:sz w:val="28"/>
          <w:szCs w:val="28"/>
        </w:rP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10</w:t>
      </w:r>
      <w:r w:rsidR="00A04FBA" w:rsidRPr="00C02EB5">
        <w:rPr>
          <w:rFonts w:ascii="Arial" w:eastAsia="Arial" w:hAnsi="Arial" w:cs="Arial"/>
          <w:b/>
          <w:bCs/>
          <w:color w:val="1B2A4A"/>
          <w:sz w:val="28"/>
          <w:szCs w:val="28"/>
        </w:rPr>
        <w:t>. Stack Tecnológica</w:t>
      </w:r>
    </w:p>
    <w:p w14:paraId="6AD7935C" w14:textId="77777777" w:rsidR="00A04FBA" w:rsidRPr="00C02EB5" w:rsidRDefault="00A04FBA" w:rsidP="00A04FBA">
      <w:pPr>
        <w:pStyle w:val="Heading1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A04FBA" w:rsidRPr="00C02EB5" w14:paraId="01B4CDBC" w14:textId="77777777" w:rsidTr="00CA37E4"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44AD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  <w:b/>
                <w:bCs/>
                <w:color w:val="FFFFFF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603C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  <w:b/>
                <w:bCs/>
                <w:color w:val="FFFFFF"/>
              </w:rPr>
              <w:t>Tecnologia</w:t>
            </w:r>
          </w:p>
        </w:tc>
        <w:tc>
          <w:tcPr>
            <w:tcW w:w="402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D143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  <w:b/>
                <w:bCs/>
                <w:color w:val="FFFFFF"/>
              </w:rPr>
              <w:t>Justificativa</w:t>
            </w:r>
          </w:p>
        </w:tc>
      </w:tr>
      <w:tr w:rsidR="00A04FBA" w:rsidRPr="00C02EB5" w14:paraId="24685C94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6956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B906" w14:textId="77777777" w:rsidR="00A04FBA" w:rsidRPr="00C02EB5" w:rsidRDefault="00A04FBA" w:rsidP="00CA37E4">
            <w:pPr>
              <w:rPr>
                <w:rFonts w:ascii="Arial" w:hAnsi="Arial" w:cs="Arial"/>
                <w:lang w:val="en-US"/>
              </w:rPr>
            </w:pPr>
            <w:r w:rsidRPr="00C02EB5">
              <w:rPr>
                <w:rFonts w:ascii="Arial" w:eastAsia="Arial" w:hAnsi="Arial" w:cs="Arial"/>
                <w:lang w:val="en-US"/>
              </w:rPr>
              <w:t>Next.js 15 (App Router) + TypeScript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EF2D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Tipagem estrita reduz erros em cálculos financeiros</w:t>
            </w:r>
          </w:p>
        </w:tc>
      </w:tr>
      <w:tr w:rsidR="00A04FBA" w:rsidRPr="00C02EB5" w14:paraId="4E301401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5B54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7CE1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Tailwind CSS + Shadcn/UI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BC00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Componentes acessíveis com Design System CLA</w:t>
            </w:r>
          </w:p>
        </w:tc>
      </w:tr>
      <w:tr w:rsidR="00A04FBA" w:rsidRPr="00C02EB5" w14:paraId="79B47A67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598F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8BB5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Next.js API Routes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608B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Lógica sensível exclusivamente no servidor</w:t>
            </w:r>
          </w:p>
        </w:tc>
      </w:tr>
      <w:tr w:rsidR="00A04FBA" w:rsidRPr="00C02EB5" w14:paraId="44A154E8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AD51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Exportação Excel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C57A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ExcelJS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DD58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Suporte nativo a estilos — cores, negrito, formatos numéricos</w:t>
            </w:r>
          </w:p>
        </w:tc>
      </w:tr>
      <w:tr w:rsidR="00A04FBA" w:rsidRPr="00C02EB5" w14:paraId="7354A0E5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1D3F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Progresso em tempo real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F957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Server-Sent Events (SSE)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5766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Transmissão de progresso linha a linha sem polling</w:t>
            </w:r>
          </w:p>
        </w:tc>
      </w:tr>
      <w:tr w:rsidR="00A04FBA" w:rsidRPr="00C02EB5" w14:paraId="712B4FBE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5DEA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Preços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A310" w14:textId="77777777" w:rsidR="00A04FBA" w:rsidRPr="00C02EB5" w:rsidRDefault="00A04FBA" w:rsidP="00CA37E4">
            <w:pPr>
              <w:rPr>
                <w:rFonts w:ascii="Arial" w:hAnsi="Arial" w:cs="Arial"/>
                <w:lang w:val="en-US"/>
              </w:rPr>
            </w:pPr>
            <w:r w:rsidRPr="00C02EB5">
              <w:rPr>
                <w:rFonts w:ascii="Arial" w:eastAsia="Arial" w:hAnsi="Arial" w:cs="Arial"/>
                <w:lang w:val="en-US"/>
              </w:rPr>
              <w:t>Binance API (GET /api/v3/klines, interval=1h)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7A7A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Fonte pública, sem autenticação para dados históricos</w:t>
            </w:r>
          </w:p>
        </w:tc>
      </w:tr>
      <w:tr w:rsidR="00A04FBA" w:rsidRPr="00C02EB5" w14:paraId="5CD1C5D6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196C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Câmbio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FF33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PTAX — Banco Central do Brasil (OData)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45DB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Taxa oficial BRL/USD</w:t>
            </w:r>
          </w:p>
        </w:tc>
      </w:tr>
      <w:tr w:rsidR="00A04FBA" w:rsidRPr="00C02EB5" w14:paraId="5D490855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966E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Integridade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52E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SHA-256 via Node.js crypto nativo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1338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Hash determinístico da aba Resultados para verificação de integridade</w:t>
            </w:r>
          </w:p>
        </w:tc>
      </w:tr>
      <w:tr w:rsidR="00A04FBA" w:rsidRPr="00C02EB5" w14:paraId="647DAE01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9F89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Hospedagem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31DE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Railway (instância contínua)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0F74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Necessário para SSE e jobs em memória</w:t>
            </w:r>
          </w:p>
        </w:tc>
      </w:tr>
      <w:tr w:rsidR="00A04FBA" w:rsidRPr="00C02EB5" w14:paraId="4B0C36D2" w14:textId="77777777" w:rsidTr="00CA37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4689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Design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DE5E" w14:textId="77777777" w:rsidR="00A04FBA" w:rsidRPr="00C02EB5" w:rsidRDefault="00A04FBA" w:rsidP="00CA37E4">
            <w:pPr>
              <w:rPr>
                <w:rFonts w:ascii="Arial" w:hAnsi="Arial" w:cs="Arial"/>
                <w:lang w:val="en-US"/>
              </w:rPr>
            </w:pPr>
            <w:r w:rsidRPr="00C02EB5">
              <w:rPr>
                <w:rFonts w:ascii="Arial" w:eastAsia="Arial" w:hAnsi="Arial" w:cs="Arial"/>
                <w:lang w:val="en-US"/>
              </w:rPr>
              <w:t>Design System CLA (tokens CSS)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ABDE" w14:textId="77777777" w:rsidR="00A04FBA" w:rsidRPr="00C02EB5" w:rsidRDefault="00A04FBA" w:rsidP="00CA37E4">
            <w:pPr>
              <w:rPr>
                <w:rFonts w:ascii="Arial" w:hAnsi="Arial" w:cs="Arial"/>
              </w:rPr>
            </w:pPr>
            <w:r w:rsidRPr="00C02EB5">
              <w:rPr>
                <w:rFonts w:ascii="Arial" w:eastAsia="Arial" w:hAnsi="Arial" w:cs="Arial"/>
              </w:rPr>
              <w:t>Identidade visual CLA aplicada a todos os componentes</w:t>
            </w:r>
          </w:p>
        </w:tc>
      </w:tr>
    </w:tbl>
    <w:p w14:paraId="2E9FE198" w14:textId="77777777" w:rsidR="00A04FBA" w:rsidRPr="00C02EB5" w:rsidRDefault="00A04FBA" w:rsidP="00A04FBA">
      <w:pPr>
        <w:spacing w:before="60" w:after="60"/>
        <w:rPr>
          <w:rFonts w:ascii="Arial" w:hAnsi="Arial" w:cs="Arial"/>
        </w:rPr>
      </w:pPr>
    </w:p>
    <w:p w14:paraId="04498A1D" w14:textId="3744D9C8" w:rsidR="003F660A" w:rsidRDefault="003F660A" w:rsidP="003F660A">
      <w:pPr>
        <w:pStyle w:val="Heading1"/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11. Sprint 1 — MVP Operacional (</w:t>
      </w:r>
      <w:r w:rsidR="00202506">
        <w:rPr>
          <w:rFonts w:ascii="Arial" w:eastAsia="Arial" w:hAnsi="Arial" w:cs="Arial"/>
          <w:b/>
          <w:bCs/>
          <w:color w:val="1B2A4A"/>
          <w:sz w:val="28"/>
          <w:szCs w:val="28"/>
        </w:rPr>
        <w:t>Implementado</w:t>
      </w:r>
      <w:r>
        <w:rPr>
          <w:rFonts w:ascii="Arial" w:eastAsia="Arial" w:hAnsi="Arial" w:cs="Arial"/>
          <w:b/>
          <w:bCs/>
          <w:color w:val="1B2A4A"/>
          <w:sz w:val="28"/>
          <w:szCs w:val="28"/>
        </w:rPr>
        <w:t>)</w:t>
      </w:r>
    </w:p>
    <w:p w14:paraId="140B2FC3" w14:textId="77777777" w:rsidR="003F660A" w:rsidRDefault="003F660A" w:rsidP="003F660A">
      <w:pPr>
        <w:spacing w:before="60" w:after="60"/>
      </w:pPr>
    </w:p>
    <w:p w14:paraId="0C3409EC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4.1 Infraestrutura e Setup</w:t>
      </w:r>
    </w:p>
    <w:p w14:paraId="436D55CC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Estrutura de pastas do projeto (Next.js App Router)</w:t>
      </w:r>
    </w:p>
    <w:p w14:paraId="54815800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Design System CLA: tokens CSS, componentes reutilizáveis, página /style-guides</w:t>
      </w:r>
    </w:p>
    <w:p w14:paraId="0119D4EA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Arquivo .env com variáveis de ambiente para chaves de API</w:t>
      </w:r>
    </w:p>
    <w:p w14:paraId="5709D179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CLAUDE.md com contexto e regras do projeto para o Claude Code</w:t>
      </w:r>
    </w:p>
    <w:p w14:paraId="2EB5FF34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README.md com instruções de instalação e uso</w:t>
      </w:r>
    </w:p>
    <w:p w14:paraId="170C3094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.env.example documentando variáveis sem expor valores</w:t>
      </w:r>
    </w:p>
    <w:p w14:paraId="49B06A91" w14:textId="77777777" w:rsidR="003F660A" w:rsidRDefault="003F660A" w:rsidP="003F660A">
      <w:pPr>
        <w:spacing w:before="60" w:after="60"/>
      </w:pPr>
    </w:p>
    <w:p w14:paraId="0FF51D7D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4.2 Validação de Entrada</w:t>
      </w:r>
    </w:p>
    <w:p w14:paraId="4978EB99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Validação de estrutura da planilha (4 colunas obrigatórias)</w:t>
      </w:r>
    </w:p>
    <w:p w14:paraId="3EF32659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Validação de tipos (numérico, formato de data AAAA-MM-DD)</w:t>
      </w:r>
    </w:p>
    <w:p w14:paraId="1112EF0A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Bloqueio de data-base futura ou igual a hoje</w:t>
      </w:r>
    </w:p>
    <w:p w14:paraId="1E6909C8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Aceitação de quantidade negativa com observação</w:t>
      </w:r>
    </w:p>
    <w:p w14:paraId="3EA90B82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Aceitação de valor declarado zero com processamento normal</w:t>
      </w:r>
    </w:p>
    <w:p w14:paraId="762B497F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Tratamento de quantidade zero como ERRO (impossibilidade de cálculo)</w:t>
      </w:r>
    </w:p>
    <w:p w14:paraId="75AF9414" w14:textId="77777777" w:rsidR="003F660A" w:rsidRDefault="003F660A" w:rsidP="003F660A">
      <w:pPr>
        <w:spacing w:before="60" w:after="60"/>
      </w:pPr>
    </w:p>
    <w:p w14:paraId="6BD0C8B6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4.3 Consulta de Preços e Câmbio</w:t>
      </w:r>
    </w:p>
    <w:p w14:paraId="43B0DB4A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Integração Binance API (candle 1h, janela 02:00–02:59 UTC D+1 = 23h59 BRT)</w:t>
      </w:r>
    </w:p>
    <w:p w14:paraId="72D97262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Integração Binance API para close_crypto21 (candle 1h às 21h UTC — evidência adicional)</w:t>
      </w:r>
    </w:p>
    <w:p w14:paraId="1B0604E7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Integração PTAX BCB (taxa de venda, OData)</w:t>
      </w:r>
    </w:p>
    <w:p w14:paraId="50F6C997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Retry com backoff exponencial (500ms, 1s, 2s — máx 3 tentativas)</w:t>
      </w:r>
    </w:p>
    <w:p w14:paraId="26A07E1F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Fallback retroativo de até 5 dias para Binance e PTAX</w:t>
      </w:r>
    </w:p>
    <w:p w14:paraId="7613440C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Arquitetura de resolução de tokens (4 categorias)</w:t>
      </w:r>
    </w:p>
    <w:p w14:paraId="5C2689ED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Stablecoins USD com preço fixo $1,0000</w:t>
      </w:r>
    </w:p>
    <w:p w14:paraId="4D8635D1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Aliases de rebranding (MATIC→POL, RNDR→RENDER)</w:t>
      </w:r>
    </w:p>
    <w:p w14:paraId="30CB8245" w14:textId="77777777" w:rsidR="003F660A" w:rsidRDefault="003F660A" w:rsidP="003F660A">
      <w:pPr>
        <w:spacing w:before="60" w:after="60"/>
      </w:pPr>
    </w:p>
    <w:p w14:paraId="0A5167C3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4.4 Cálculos e Classificação</w:t>
      </w:r>
    </w:p>
    <w:p w14:paraId="70065D62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valor_justo = close_USDT_BRT × |quantidade| × ptax_data_base</w:t>
      </w:r>
    </w:p>
    <w:p w14:paraId="3F39659F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valor_declarado_x_valor_justo com sinal (positivo/negativo)</w:t>
      </w:r>
    </w:p>
    <w:p w14:paraId="17FC69B1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Status APROVADO/ALERTA com threshold de 1,5% (valor absoluto)</w:t>
      </w:r>
    </w:p>
    <w:p w14:paraId="496F787A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Status ERRO quando insumo crítico indisponível</w:t>
      </w:r>
    </w:p>
    <w:p w14:paraId="546DBD9B" w14:textId="77777777" w:rsidR="003F660A" w:rsidRDefault="003F660A" w:rsidP="003F660A">
      <w:pPr>
        <w:spacing w:before="60" w:after="60"/>
      </w:pPr>
    </w:p>
    <w:p w14:paraId="110FC29F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4.5 Exportação e Evidência</w:t>
      </w:r>
    </w:p>
    <w:p w14:paraId="24AA030A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Planilha Excel com 2 abas: Resultados e Metadados</w:t>
      </w:r>
    </w:p>
    <w:p w14:paraId="29434FBB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Aba Resultados: 11 colunas com formatação por tipo (R$, $, %, número)</w:t>
      </w:r>
    </w:p>
    <w:p w14:paraId="16567C26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Aba Metadados: 6 seções (Identificação, Escopo, Base Técnica, Metodologia, Notas Técnicas, Integridade)</w:t>
      </w:r>
    </w:p>
    <w:p w14:paraId="0EE56EA9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Hash SHA-256 da aba Resultados para verificação de integridade</w:t>
      </w:r>
    </w:p>
    <w:p w14:paraId="12D30D5C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Planilha modelo para download pelo auditor</w:t>
      </w:r>
    </w:p>
    <w:p w14:paraId="45B42C3B" w14:textId="77777777" w:rsidR="003F660A" w:rsidRDefault="003F660A" w:rsidP="003F660A">
      <w:pPr>
        <w:spacing w:before="60" w:after="60"/>
      </w:pPr>
    </w:p>
    <w:p w14:paraId="2C11BAE9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4.6 Interface</w:t>
      </w:r>
    </w:p>
    <w:p w14:paraId="3F3C5091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Fluxo completo em 4 fases: Idle → Processando → Resultado → Erro</w:t>
      </w:r>
    </w:p>
    <w:p w14:paraId="07EB8EF0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Barra de progresso em tempo real via SSE</w:t>
      </w:r>
    </w:p>
    <w:p w14:paraId="72D752DE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Feedback visual de arquivo selecionado no dropzone</w:t>
      </w:r>
    </w:p>
    <w:p w14:paraId="49930C01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Download automático da planilha exportada</w:t>
      </w:r>
    </w:p>
    <w:p w14:paraId="294057DC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Timeout de segurança de 5 minutos para SSE</w:t>
      </w:r>
    </w:p>
    <w:p w14:paraId="24775011" w14:textId="77777777" w:rsidR="003F660A" w:rsidRDefault="003F660A" w:rsidP="003F660A">
      <w:pPr>
        <w:spacing w:before="60" w:after="60"/>
      </w:pPr>
    </w:p>
    <w:p w14:paraId="1047580C" w14:textId="77777777" w:rsidR="003F660A" w:rsidRDefault="003F660A" w:rsidP="003F660A">
      <w:pPr>
        <w:pStyle w:val="Heading2"/>
      </w:pPr>
      <w:r>
        <w:rPr>
          <w:rFonts w:ascii="Arial" w:eastAsia="Arial" w:hAnsi="Arial" w:cs="Arial"/>
          <w:b/>
          <w:bCs/>
          <w:color w:val="2D6DB4"/>
          <w:sz w:val="24"/>
          <w:szCs w:val="24"/>
        </w:rPr>
        <w:t>4.7 Segurança</w:t>
      </w:r>
    </w:p>
    <w:p w14:paraId="1C097CDC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Chaves de API exclusivamente via .env (nunca no frontend)</w:t>
      </w:r>
    </w:p>
    <w:p w14:paraId="3307B5C0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Chamadas a APIs externas exclusivamente no backend</w:t>
      </w:r>
    </w:p>
    <w:p w14:paraId="49D45892" w14:textId="77777777" w:rsidR="003F660A" w:rsidRPr="00DD62B0" w:rsidRDefault="003F660A" w:rsidP="003F660A">
      <w:pPr>
        <w:pStyle w:val="ListParagraph"/>
        <w:numPr>
          <w:ilvl w:val="0"/>
          <w:numId w:val="5"/>
        </w:numPr>
        <w:spacing w:before="40" w:after="40"/>
        <w:rPr>
          <w:lang w:val="en-US"/>
        </w:rPr>
      </w:pPr>
      <w:r w:rsidRPr="00DD62B0">
        <w:rPr>
          <w:rFonts w:ascii="Arial" w:eastAsia="Arial" w:hAnsi="Arial" w:cs="Arial"/>
          <w:sz w:val="22"/>
          <w:szCs w:val="22"/>
          <w:lang w:val="en-US"/>
        </w:rPr>
        <w:t>Headers de segurança globais (X-Content-Type-Options, X-Frame-Options, HSTS)</w:t>
      </w:r>
    </w:p>
    <w:p w14:paraId="7256C05D" w14:textId="77777777" w:rsidR="003F660A" w:rsidRDefault="003F660A" w:rsidP="003F660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Validação de UUID nas rotas dinâmicas de progresso e download</w:t>
      </w:r>
    </w:p>
    <w:p w14:paraId="051E9C23" w14:textId="77777777" w:rsidR="003F660A" w:rsidRDefault="003F660A" w:rsidP="003F660A">
      <w:pPr>
        <w:spacing w:before="60" w:after="60"/>
      </w:pPr>
    </w:p>
    <w:p w14:paraId="14A19B6B" w14:textId="77777777" w:rsidR="00822554" w:rsidRPr="00C02EB5" w:rsidRDefault="00822554">
      <w:pPr>
        <w:rPr>
          <w:rFonts w:ascii="Arial" w:hAnsi="Arial" w:cs="Arial"/>
        </w:rPr>
      </w:pPr>
    </w:p>
    <w:sectPr w:rsidR="00822554" w:rsidRPr="00C02E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lomar de Freitas Silva Junior" w:date="2026-05-06T13:59:00Z" w:initials="NJ">
    <w:p w14:paraId="33136076" w14:textId="281FD381" w:rsidR="00CA37E4" w:rsidRDefault="00CA37E4">
      <w:r>
        <w:annotationRef/>
      </w:r>
      <w:r w:rsidRPr="14AB8F56">
        <w:t>Temos que criar uma roda de rodapé explicando o porque da escolha (ex: maior mercado em volume segundo agregadores tal - metodologia da norma etc)</w:t>
      </w:r>
    </w:p>
  </w:comment>
  <w:comment w:id="1" w:author="Ohane França Cavalcante" w:date="2026-05-06T13:06:00Z" w:initials="OF">
    <w:p w14:paraId="00589180" w14:textId="77777777" w:rsidR="007E4934" w:rsidRDefault="007E4934" w:rsidP="007E4934">
      <w:pPr>
        <w:pStyle w:val="CommentText"/>
      </w:pPr>
      <w:r>
        <w:rPr>
          <w:rStyle w:val="CommentReference"/>
        </w:rPr>
        <w:annotationRef/>
      </w:r>
      <w:r>
        <w:t>Hoje a tabela que recebemos de audit fin. Não registra qtd menor q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136076" w15:done="0"/>
  <w15:commentEx w15:paraId="005891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5E7AD8" w16cex:dateUtc="2026-05-06T16:59:00Z"/>
  <w16cex:commentExtensible w16cex:durableId="214BF564" w16cex:dateUtc="2026-05-06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136076" w16cid:durableId="595E7AD8"/>
  <w16cid:commentId w16cid:paraId="00589180" w16cid:durableId="214BF5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2848"/>
    <w:multiLevelType w:val="multilevel"/>
    <w:tmpl w:val="28D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3F5DBD"/>
    <w:multiLevelType w:val="hybridMultilevel"/>
    <w:tmpl w:val="E6861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A4B80"/>
    <w:multiLevelType w:val="hybridMultilevel"/>
    <w:tmpl w:val="74741838"/>
    <w:lvl w:ilvl="0" w:tplc="A3DCC5F2">
      <w:start w:val="1"/>
      <w:numFmt w:val="bullet"/>
      <w:lvlText w:val="●"/>
      <w:lvlJc w:val="left"/>
      <w:pPr>
        <w:ind w:left="720" w:hanging="360"/>
      </w:pPr>
    </w:lvl>
    <w:lvl w:ilvl="1" w:tplc="84A29B74">
      <w:start w:val="1"/>
      <w:numFmt w:val="bullet"/>
      <w:lvlText w:val="○"/>
      <w:lvlJc w:val="left"/>
      <w:pPr>
        <w:ind w:left="1440" w:hanging="360"/>
      </w:pPr>
    </w:lvl>
    <w:lvl w:ilvl="2" w:tplc="610A1F7E">
      <w:start w:val="1"/>
      <w:numFmt w:val="bullet"/>
      <w:lvlText w:val="■"/>
      <w:lvlJc w:val="left"/>
      <w:pPr>
        <w:ind w:left="2160" w:hanging="360"/>
      </w:pPr>
    </w:lvl>
    <w:lvl w:ilvl="3" w:tplc="880E16A4">
      <w:start w:val="1"/>
      <w:numFmt w:val="bullet"/>
      <w:lvlText w:val="●"/>
      <w:lvlJc w:val="left"/>
      <w:pPr>
        <w:ind w:left="2880" w:hanging="360"/>
      </w:pPr>
    </w:lvl>
    <w:lvl w:ilvl="4" w:tplc="170EBCB6">
      <w:start w:val="1"/>
      <w:numFmt w:val="bullet"/>
      <w:lvlText w:val="○"/>
      <w:lvlJc w:val="left"/>
      <w:pPr>
        <w:ind w:left="3600" w:hanging="360"/>
      </w:pPr>
    </w:lvl>
    <w:lvl w:ilvl="5" w:tplc="082E133C">
      <w:start w:val="1"/>
      <w:numFmt w:val="bullet"/>
      <w:lvlText w:val="■"/>
      <w:lvlJc w:val="left"/>
      <w:pPr>
        <w:ind w:left="4320" w:hanging="360"/>
      </w:pPr>
    </w:lvl>
    <w:lvl w:ilvl="6" w:tplc="69206E86">
      <w:start w:val="1"/>
      <w:numFmt w:val="bullet"/>
      <w:lvlText w:val="●"/>
      <w:lvlJc w:val="left"/>
      <w:pPr>
        <w:ind w:left="5040" w:hanging="360"/>
      </w:pPr>
    </w:lvl>
    <w:lvl w:ilvl="7" w:tplc="827EA73A">
      <w:start w:val="1"/>
      <w:numFmt w:val="bullet"/>
      <w:lvlText w:val="●"/>
      <w:lvlJc w:val="left"/>
      <w:pPr>
        <w:ind w:left="5760" w:hanging="360"/>
      </w:pPr>
    </w:lvl>
    <w:lvl w:ilvl="8" w:tplc="F970E0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071D55"/>
    <w:multiLevelType w:val="hybridMultilevel"/>
    <w:tmpl w:val="D7626F56"/>
    <w:lvl w:ilvl="0" w:tplc="A66AA8B8">
      <w:start w:val="1"/>
      <w:numFmt w:val="bullet"/>
      <w:lvlText w:val="•"/>
      <w:lvlJc w:val="left"/>
      <w:pPr>
        <w:ind w:left="720" w:hanging="360"/>
      </w:pPr>
    </w:lvl>
    <w:lvl w:ilvl="1" w:tplc="34DC67C6">
      <w:numFmt w:val="decimal"/>
      <w:lvlText w:val=""/>
      <w:lvlJc w:val="left"/>
    </w:lvl>
    <w:lvl w:ilvl="2" w:tplc="A78889A6">
      <w:numFmt w:val="decimal"/>
      <w:lvlText w:val=""/>
      <w:lvlJc w:val="left"/>
    </w:lvl>
    <w:lvl w:ilvl="3" w:tplc="2E780AAC">
      <w:numFmt w:val="decimal"/>
      <w:lvlText w:val=""/>
      <w:lvlJc w:val="left"/>
    </w:lvl>
    <w:lvl w:ilvl="4" w:tplc="DB7A73FC">
      <w:numFmt w:val="decimal"/>
      <w:lvlText w:val=""/>
      <w:lvlJc w:val="left"/>
    </w:lvl>
    <w:lvl w:ilvl="5" w:tplc="2BE8BC98">
      <w:numFmt w:val="decimal"/>
      <w:lvlText w:val=""/>
      <w:lvlJc w:val="left"/>
    </w:lvl>
    <w:lvl w:ilvl="6" w:tplc="C670554C">
      <w:numFmt w:val="decimal"/>
      <w:lvlText w:val=""/>
      <w:lvlJc w:val="left"/>
    </w:lvl>
    <w:lvl w:ilvl="7" w:tplc="D6866B36">
      <w:numFmt w:val="decimal"/>
      <w:lvlText w:val=""/>
      <w:lvlJc w:val="left"/>
    </w:lvl>
    <w:lvl w:ilvl="8" w:tplc="798ECE5A">
      <w:numFmt w:val="decimal"/>
      <w:lvlText w:val=""/>
      <w:lvlJc w:val="left"/>
    </w:lvl>
  </w:abstractNum>
  <w:abstractNum w:abstractNumId="4" w15:restartNumberingAfterBreak="0">
    <w:nsid w:val="74140292"/>
    <w:multiLevelType w:val="hybridMultilevel"/>
    <w:tmpl w:val="A7248706"/>
    <w:lvl w:ilvl="0" w:tplc="792CFAA6">
      <w:start w:val="1"/>
      <w:numFmt w:val="bullet"/>
      <w:lvlText w:val="●"/>
      <w:lvlJc w:val="left"/>
      <w:pPr>
        <w:ind w:left="720" w:hanging="360"/>
      </w:pPr>
    </w:lvl>
    <w:lvl w:ilvl="1" w:tplc="76B68AC6">
      <w:start w:val="1"/>
      <w:numFmt w:val="bullet"/>
      <w:lvlText w:val="○"/>
      <w:lvlJc w:val="left"/>
      <w:pPr>
        <w:ind w:left="1440" w:hanging="360"/>
      </w:pPr>
    </w:lvl>
    <w:lvl w:ilvl="2" w:tplc="353EE3C0">
      <w:start w:val="1"/>
      <w:numFmt w:val="bullet"/>
      <w:lvlText w:val="■"/>
      <w:lvlJc w:val="left"/>
      <w:pPr>
        <w:ind w:left="2160" w:hanging="360"/>
      </w:pPr>
    </w:lvl>
    <w:lvl w:ilvl="3" w:tplc="E036345E">
      <w:start w:val="1"/>
      <w:numFmt w:val="bullet"/>
      <w:lvlText w:val="●"/>
      <w:lvlJc w:val="left"/>
      <w:pPr>
        <w:ind w:left="2880" w:hanging="360"/>
      </w:pPr>
    </w:lvl>
    <w:lvl w:ilvl="4" w:tplc="54CC86A4">
      <w:start w:val="1"/>
      <w:numFmt w:val="bullet"/>
      <w:lvlText w:val="○"/>
      <w:lvlJc w:val="left"/>
      <w:pPr>
        <w:ind w:left="3600" w:hanging="360"/>
      </w:pPr>
    </w:lvl>
    <w:lvl w:ilvl="5" w:tplc="CB786E0A">
      <w:start w:val="1"/>
      <w:numFmt w:val="bullet"/>
      <w:lvlText w:val="■"/>
      <w:lvlJc w:val="left"/>
      <w:pPr>
        <w:ind w:left="4320" w:hanging="360"/>
      </w:pPr>
    </w:lvl>
    <w:lvl w:ilvl="6" w:tplc="0B1EFEA8">
      <w:start w:val="1"/>
      <w:numFmt w:val="bullet"/>
      <w:lvlText w:val="●"/>
      <w:lvlJc w:val="left"/>
      <w:pPr>
        <w:ind w:left="5040" w:hanging="360"/>
      </w:pPr>
    </w:lvl>
    <w:lvl w:ilvl="7" w:tplc="2FE27B3A">
      <w:start w:val="1"/>
      <w:numFmt w:val="bullet"/>
      <w:lvlText w:val="●"/>
      <w:lvlJc w:val="left"/>
      <w:pPr>
        <w:ind w:left="5760" w:hanging="360"/>
      </w:pPr>
    </w:lvl>
    <w:lvl w:ilvl="8" w:tplc="E3526D9E">
      <w:start w:val="1"/>
      <w:numFmt w:val="bullet"/>
      <w:lvlText w:val="●"/>
      <w:lvlJc w:val="left"/>
      <w:pPr>
        <w:ind w:left="6480" w:hanging="360"/>
      </w:pPr>
    </w:lvl>
  </w:abstractNum>
  <w:num w:numId="1" w16cid:durableId="903757115">
    <w:abstractNumId w:val="4"/>
    <w:lvlOverride w:ilvl="0">
      <w:startOverride w:val="1"/>
    </w:lvlOverride>
  </w:num>
  <w:num w:numId="2" w16cid:durableId="386301590">
    <w:abstractNumId w:val="2"/>
    <w:lvlOverride w:ilvl="0">
      <w:startOverride w:val="1"/>
    </w:lvlOverride>
  </w:num>
  <w:num w:numId="3" w16cid:durableId="1816755603">
    <w:abstractNumId w:val="1"/>
  </w:num>
  <w:num w:numId="4" w16cid:durableId="812867629">
    <w:abstractNumId w:val="0"/>
  </w:num>
  <w:num w:numId="5" w16cid:durableId="1102146709">
    <w:abstractNumId w:val="3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lomar de Freitas Silva Junior">
    <w15:presenceInfo w15:providerId="AD" w15:userId="S::nilomar.junior@claglobal.com.br::7200f60a-3709-4396-a7fe-7e37e62bb1d5"/>
  </w15:person>
  <w15:person w15:author="Ohane França Cavalcante">
    <w15:presenceInfo w15:providerId="AD" w15:userId="S::ohane.cavalcante@claglobal.com.br::5c774b15-6903-4385-b910-916c931993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238"/>
    <w:rsid w:val="000217D1"/>
    <w:rsid w:val="0007000C"/>
    <w:rsid w:val="0011339C"/>
    <w:rsid w:val="0017225B"/>
    <w:rsid w:val="00183B06"/>
    <w:rsid w:val="001A00F6"/>
    <w:rsid w:val="001A4807"/>
    <w:rsid w:val="001B26D6"/>
    <w:rsid w:val="00202506"/>
    <w:rsid w:val="0023403C"/>
    <w:rsid w:val="002777C4"/>
    <w:rsid w:val="002C7910"/>
    <w:rsid w:val="002E1558"/>
    <w:rsid w:val="0035667C"/>
    <w:rsid w:val="003727D1"/>
    <w:rsid w:val="00377F6D"/>
    <w:rsid w:val="003F3A95"/>
    <w:rsid w:val="003F660A"/>
    <w:rsid w:val="0040287C"/>
    <w:rsid w:val="00425021"/>
    <w:rsid w:val="004605A0"/>
    <w:rsid w:val="00494765"/>
    <w:rsid w:val="004A1DA9"/>
    <w:rsid w:val="004A2133"/>
    <w:rsid w:val="004B22AC"/>
    <w:rsid w:val="0051313F"/>
    <w:rsid w:val="00554AF9"/>
    <w:rsid w:val="005A2893"/>
    <w:rsid w:val="005A71D8"/>
    <w:rsid w:val="005B78E1"/>
    <w:rsid w:val="006057F2"/>
    <w:rsid w:val="00616987"/>
    <w:rsid w:val="00674724"/>
    <w:rsid w:val="007E4934"/>
    <w:rsid w:val="008036F1"/>
    <w:rsid w:val="00821241"/>
    <w:rsid w:val="00822554"/>
    <w:rsid w:val="00970101"/>
    <w:rsid w:val="0097759E"/>
    <w:rsid w:val="009A1238"/>
    <w:rsid w:val="00A04FBA"/>
    <w:rsid w:val="00A07539"/>
    <w:rsid w:val="00A1351F"/>
    <w:rsid w:val="00A6426B"/>
    <w:rsid w:val="00A73C31"/>
    <w:rsid w:val="00A82B2E"/>
    <w:rsid w:val="00A95D7C"/>
    <w:rsid w:val="00AC19AD"/>
    <w:rsid w:val="00AC3DAE"/>
    <w:rsid w:val="00B74B38"/>
    <w:rsid w:val="00BA1205"/>
    <w:rsid w:val="00BC4D72"/>
    <w:rsid w:val="00BF09F7"/>
    <w:rsid w:val="00BF1B20"/>
    <w:rsid w:val="00C02EB5"/>
    <w:rsid w:val="00C630CC"/>
    <w:rsid w:val="00C7405A"/>
    <w:rsid w:val="00CA37E4"/>
    <w:rsid w:val="00D36811"/>
    <w:rsid w:val="00D40478"/>
    <w:rsid w:val="00D47FAF"/>
    <w:rsid w:val="00D82B23"/>
    <w:rsid w:val="00DD2A11"/>
    <w:rsid w:val="00E10D22"/>
    <w:rsid w:val="00E531FA"/>
    <w:rsid w:val="00E55AE8"/>
    <w:rsid w:val="00E75B60"/>
    <w:rsid w:val="00EB6DCC"/>
    <w:rsid w:val="00EF694A"/>
    <w:rsid w:val="00F603C1"/>
    <w:rsid w:val="00FA4BDE"/>
    <w:rsid w:val="00FB6DC1"/>
    <w:rsid w:val="1C909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944D"/>
  <w15:docId w15:val="{54038DA8-5E6A-43EF-8778-814C910B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E49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4934"/>
  </w:style>
  <w:style w:type="character" w:customStyle="1" w:styleId="CommentTextChar">
    <w:name w:val="Comment Text Char"/>
    <w:basedOn w:val="DefaultParagraphFont"/>
    <w:link w:val="CommentText"/>
    <w:uiPriority w:val="99"/>
    <w:rsid w:val="007E49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9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934"/>
    <w:rPr>
      <w:b/>
      <w:bCs/>
    </w:rPr>
  </w:style>
  <w:style w:type="table" w:styleId="PlainTable3">
    <w:name w:val="Plain Table 3"/>
    <w:basedOn w:val="TableNormal"/>
    <w:uiPriority w:val="43"/>
    <w:rsid w:val="00BF09F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F0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3650AF5E7044186EA8321ACFAC10A" ma:contentTypeVersion="13" ma:contentTypeDescription="Create a new document." ma:contentTypeScope="" ma:versionID="686d348b3869fd0260243e4ebf9eb46a">
  <xsd:schema xmlns:xsd="http://www.w3.org/2001/XMLSchema" xmlns:xs="http://www.w3.org/2001/XMLSchema" xmlns:p="http://schemas.microsoft.com/office/2006/metadata/properties" xmlns:ns2="a3b453bc-c24f-41be-b740-a4183b313a53" xmlns:ns3="fb698544-796c-4388-a554-e2b8dc72b864" targetNamespace="http://schemas.microsoft.com/office/2006/metadata/properties" ma:root="true" ma:fieldsID="a075203a97d51851cadb502b9e07edcc" ns2:_="" ns3:_="">
    <xsd:import namespace="a3b453bc-c24f-41be-b740-a4183b313a53"/>
    <xsd:import namespace="fb698544-796c-4388-a554-e2b8dc72b8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az_x00e3_o_x0020_Social" minOccurs="0"/>
                <xsd:element ref="ns2:CNPJ" minOccurs="0"/>
                <xsd:element ref="ns2:Qual_x0020__x00e9__x0020_a_x0020_tipologia_x0020_do_x0020_neg_x00f3_cio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453bc-c24f-41be-b740-a4183b313a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z_x00e3_o_x0020_Social" ma:index="11" nillable="true" ma:displayName="Razão Social" ma:internalName="Raz_x00e3_o_x0020_Social">
      <xsd:simpleType>
        <xsd:restriction base="dms:Text"/>
      </xsd:simpleType>
    </xsd:element>
    <xsd:element name="CNPJ" ma:index="12" nillable="true" ma:displayName="CNPJ" ma:internalName="CNPJ">
      <xsd:simpleType>
        <xsd:restriction base="dms:Text"/>
      </xsd:simpleType>
    </xsd:element>
    <xsd:element name="Qual_x0020__x00e9__x0020_a_x0020_tipologia_x0020_do_x0020_neg_x00f3_cio" ma:index="13" nillable="true" ma:displayName="Qual é a tipologia do negócio" ma:format="Dropdown" ma:internalName="Qual_x0020__x00e9__x0020_a_x0020_tipologia_x0020_do_x0020_neg_x00f3_cio">
      <xsd:simpleType>
        <xsd:restriction base="dms:Choice">
          <xsd:enumeration value="Custodiante"/>
          <xsd:enumeration value="Intermediária"/>
          <xsd:enumeration value="Corretora"/>
          <xsd:enumeration value="Instituição regulada pelo BACEN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6b9a89d-d12a-4c50-a0c9-d06604afc2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98544-796c-4388-a554-e2b8dc72b86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bb0f04e-9b81-4396-90de-a59917bee501}" ma:internalName="TaxCatchAll" ma:showField="CatchAllData" ma:web="fb698544-796c-4388-a554-e2b8dc72b8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NPJ xmlns="a3b453bc-c24f-41be-b740-a4183b313a53" xsi:nil="true"/>
    <TaxCatchAll xmlns="fb698544-796c-4388-a554-e2b8dc72b864" xsi:nil="true"/>
    <lcf76f155ced4ddcb4097134ff3c332f xmlns="a3b453bc-c24f-41be-b740-a4183b313a53">
      <Terms xmlns="http://schemas.microsoft.com/office/infopath/2007/PartnerControls"/>
    </lcf76f155ced4ddcb4097134ff3c332f>
    <Qual_x0020__x00e9__x0020_a_x0020_tipologia_x0020_do_x0020_neg_x00f3_cio xmlns="a3b453bc-c24f-41be-b740-a4183b313a53" xsi:nil="true"/>
    <Raz_x00e3_o_x0020_Social xmlns="a3b453bc-c24f-41be-b740-a4183b313a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667F2B-6A86-4A0F-8E4E-742A74598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453bc-c24f-41be-b740-a4183b313a53"/>
    <ds:schemaRef ds:uri="fb698544-796c-4388-a554-e2b8dc72b8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26FB90-B586-47F3-8C0B-9871217F68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FD86E8-0F55-4B24-B8C0-B2E306E0110B}">
  <ds:schemaRefs>
    <ds:schemaRef ds:uri="http://schemas.microsoft.com/office/2006/metadata/properties"/>
    <ds:schemaRef ds:uri="http://schemas.microsoft.com/office/infopath/2007/PartnerControls"/>
    <ds:schemaRef ds:uri="a3b453bc-c24f-41be-b740-a4183b313a53"/>
    <ds:schemaRef ds:uri="fb698544-796c-4388-a554-e2b8dc72b864"/>
  </ds:schemaRefs>
</ds:datastoreItem>
</file>

<file path=customXml/itemProps4.xml><?xml version="1.0" encoding="utf-8"?>
<ds:datastoreItem xmlns:ds="http://schemas.openxmlformats.org/officeDocument/2006/customXml" ds:itemID="{61E37DF4-ACEA-4754-B477-BCFF1E34CA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1751</Words>
  <Characters>9987</Characters>
  <Application>Microsoft Office Word</Application>
  <DocSecurity>4</DocSecurity>
  <Lines>83</Lines>
  <Paragraphs>23</Paragraphs>
  <ScaleCrop>false</ScaleCrop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Nilomar de Freitas Silva Junior</cp:lastModifiedBy>
  <cp:revision>64</cp:revision>
  <dcterms:created xsi:type="dcterms:W3CDTF">2026-05-06T15:54:00Z</dcterms:created>
  <dcterms:modified xsi:type="dcterms:W3CDTF">2026-05-06T16:59:00Z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0x010100BA43650AF5E7044186EA8321ACFAC10A</vt:lpwstr>
  </property>
  <property fmtid="{D5CDD505-2E9C-101B-9397-08002B2CF9AE}" pid="3" name="MediaServiceImageTags">
    <vt:lpwstr/>
  </property>
</Properties>
</file>