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HouseNet Billing Department</w:t>
        <w:br/>
        <w:t>Տարեկան Roadmap 2026</w:t>
      </w:r>
    </w:p>
    <w:p>
      <w:pPr>
        <w:pStyle w:val="Subtitle"/>
        <w:jc w:val="center"/>
      </w:pPr>
      <w:r>
        <w:t>Executive-ready տարբերակ՝ պատրաստված Maga-ի սկզբնական առաջարկների, HouseNet-ի ընթացիկ համակարգային միջավայրի և ղեկավարական քննարկման հիման վրա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4EA"/>
          <w:left w:val="single" w:sz="6" w:space="0" w:color="C7D4EA"/>
          <w:bottom w:val="single" w:sz="6" w:space="0" w:color="C7D4EA"/>
          <w:right w:val="single" w:sz="6" w:space="0" w:color="C7D4EA"/>
          <w:insideH w:val="single" w:sz="6" w:space="0" w:color="C7D4EA"/>
          <w:insideV w:val="single" w:sz="6" w:space="0" w:color="C7D4EA"/>
        </w:tblBorders>
      </w:tblPr>
      <w:tblGrid>
        <w:gridCol w:w="5156"/>
        <w:gridCol w:w="5156"/>
      </w:tblGrid>
      <w:t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1FB"/>
          </w:tcPr>
          <w:p>
            <w:pPr>
              <w:spacing w:after="0"/>
            </w:pPr>
            <w:r>
              <w:rPr>
                <w:rFonts w:ascii="DejaVu Serif" w:hAnsi="DejaVu Serif" w:eastAsia="DejaVu Serif"/>
                <w:b/>
                <w:sz w:val="20"/>
              </w:rPr>
              <w:t>Ընկերություն</w:t>
            </w:r>
          </w:p>
        </w:tc>
        <w:tc>
          <w:tcPr>
            <w:tcW w:type="dxa" w:w="612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20"/>
              </w:rPr>
              <w:t>HouseNet LLC</w:t>
            </w:r>
          </w:p>
        </w:tc>
      </w:tr>
      <w:t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1FB"/>
          </w:tcPr>
          <w:p>
            <w:pPr>
              <w:spacing w:after="0"/>
            </w:pPr>
            <w:r>
              <w:rPr>
                <w:rFonts w:ascii="DejaVu Serif" w:hAnsi="DejaVu Serif" w:eastAsia="DejaVu Serif"/>
                <w:b/>
                <w:sz w:val="20"/>
              </w:rPr>
              <w:t>Բաժին</w:t>
            </w:r>
          </w:p>
        </w:tc>
        <w:tc>
          <w:tcPr>
            <w:tcW w:type="dxa" w:w="612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20"/>
              </w:rPr>
              <w:t>Billing Department</w:t>
            </w:r>
          </w:p>
        </w:tc>
      </w:tr>
      <w:t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1FB"/>
          </w:tcPr>
          <w:p>
            <w:pPr>
              <w:spacing w:after="0"/>
            </w:pPr>
            <w:r>
              <w:rPr>
                <w:rFonts w:ascii="DejaVu Serif" w:hAnsi="DejaVu Serif" w:eastAsia="DejaVu Serif"/>
                <w:b/>
                <w:sz w:val="20"/>
              </w:rPr>
              <w:t>Report line</w:t>
            </w:r>
          </w:p>
        </w:tc>
        <w:tc>
          <w:tcPr>
            <w:tcW w:type="dxa" w:w="612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20"/>
              </w:rPr>
              <w:t>CEO - գլոբալ հաշվետվություններ, COO և CFO - ընթացիկ վերահսկում</w:t>
            </w:r>
          </w:p>
        </w:tc>
      </w:tr>
      <w:t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1FB"/>
          </w:tcPr>
          <w:p>
            <w:pPr>
              <w:spacing w:after="0"/>
            </w:pPr>
            <w:r>
              <w:rPr>
                <w:rFonts w:ascii="DejaVu Serif" w:hAnsi="DejaVu Serif" w:eastAsia="DejaVu Serif"/>
                <w:b/>
                <w:sz w:val="20"/>
              </w:rPr>
              <w:t>Հիմնական համակարգեր</w:t>
            </w:r>
          </w:p>
        </w:tc>
        <w:tc>
          <w:tcPr>
            <w:tcW w:type="dxa" w:w="612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20"/>
              </w:rPr>
              <w:t>MikroBill, Bitrix24, HouseNet Portal, Network data sources</w:t>
            </w:r>
          </w:p>
        </w:tc>
      </w:tr>
      <w:tr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1FB"/>
          </w:tcPr>
          <w:p>
            <w:pPr>
              <w:spacing w:after="0"/>
            </w:pPr>
            <w:r>
              <w:rPr>
                <w:rFonts w:ascii="DejaVu Serif" w:hAnsi="DejaVu Serif" w:eastAsia="DejaVu Serif"/>
                <w:b/>
                <w:sz w:val="20"/>
              </w:rPr>
              <w:t>Փաստաթղթի ամսաթիվ</w:t>
            </w:r>
          </w:p>
        </w:tc>
        <w:tc>
          <w:tcPr>
            <w:tcW w:type="dxa" w:w="612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20"/>
              </w:rPr>
              <w:t>17 մարտի 2026</w:t>
            </w:r>
          </w:p>
        </w:tc>
      </w:tr>
    </w:tbl>
    <w:p/>
    <w:p>
      <w:pPr>
        <w:pStyle w:val="Heading1"/>
      </w:pPr>
      <w:r>
        <w:t>Գործադիր ամփոփում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Billing Department-ը սահմանվում է ոչ միայն որպես հաշվարկային/գանձման օպերացիոն ֆունկցիա, այլ որպես revenue protection, billing accuracy, debt orchestration, reporting և intelligence/analytics կենտրոն։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Տարեկան roadmap-ի գլխավոր նպատակը HouseNet-ում կառուցել է կառավարվող, չափելի և audit-able Billing ֆունկցիա, որը կրճատում է revenue leakage-ը, բարձրացնում է billing accuracy-ն և ղեկավարությանը տրամադրում է ժամանակին ու actionable analytics։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Roadmap-ի հիմքում դրվում է Billing Intelligence System մոտեցումը, որը միավորում է Billing (MikroBill), CRM/Tasks (Bitrix24), HouseNet Portal և Network data շերտերը մեկ կառավարչական ու վերլուծական շրջանակի մեջ։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Collections calls-ը կատարվելու է Call Center-ի միջոցով, սակայն debt prioritization-ը, task orchestration-ը, promise-to-pay logic-ը և վերահսկողական հաշվետվությունները մնում են Billing Department-ի պատասխանատվության ներքո։</w:t>
      </w:r>
    </w:p>
    <w:p/>
    <w:p>
      <w:r>
        <w:br w:type="page"/>
      </w:r>
    </w:p>
    <w:p>
      <w:pPr>
        <w:pStyle w:val="Heading2"/>
      </w:pPr>
      <w:r>
        <w:t>Հաստատված հիմնական KPI-ներ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BE6"/>
          <w:left w:val="single" w:sz="6" w:space="0" w:color="B9CBE6"/>
          <w:bottom w:val="single" w:sz="6" w:space="0" w:color="B9CBE6"/>
          <w:right w:val="single" w:sz="6" w:space="0" w:color="B9CBE6"/>
          <w:insideH w:val="single" w:sz="6" w:space="0" w:color="B9CBE6"/>
          <w:insideV w:val="single" w:sz="6" w:space="0" w:color="B9CBE6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DCE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DejaVu Serif" w:hAnsi="DejaVu Serif" w:eastAsia="DejaVu Serif"/>
                <w:b/>
                <w:sz w:val="20"/>
              </w:rPr>
              <w:t>KPI ուղղություն</w:t>
            </w:r>
          </w:p>
        </w:tc>
        <w:tc>
          <w:tcPr>
            <w:tcW w:type="dxa" w:w="3515"/>
            <w:shd w:fill="DCE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DejaVu Serif" w:hAnsi="DejaVu Serif" w:eastAsia="DejaVu Serif"/>
                <w:b/>
                <w:sz w:val="20"/>
              </w:rPr>
              <w:t>Նպատակային իմաստ</w:t>
            </w:r>
          </w:p>
        </w:tc>
        <w:tc>
          <w:tcPr>
            <w:tcW w:type="dxa" w:w="1587"/>
            <w:shd w:fill="DCE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DejaVu Serif" w:hAnsi="DejaVu Serif" w:eastAsia="DejaVu Serif"/>
                <w:b/>
                <w:sz w:val="20"/>
              </w:rPr>
              <w:t>Սեփականատեր</w:t>
            </w:r>
          </w:p>
        </w:tc>
        <w:tc>
          <w:tcPr>
            <w:tcW w:type="dxa" w:w="2551"/>
            <w:shd w:fill="DCE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DejaVu Serif" w:hAnsi="DejaVu Serif" w:eastAsia="DejaVu Serif"/>
                <w:b/>
                <w:sz w:val="20"/>
              </w:rPr>
              <w:t>Կառավարման նշանակություն</w:t>
            </w:r>
          </w:p>
        </w:tc>
      </w:tr>
      <w:t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F5F8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Revenue leakage control</w:t>
            </w:r>
          </w:p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Հայտնաբերել, կանխել և փակել revenue կորուստների աղբյուրները</w:t>
            </w:r>
          </w:p>
        </w:tc>
        <w:tc>
          <w:tcPr>
            <w:tcW w:type="dxa" w:w="15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Billing Head</w:t>
            </w:r>
          </w:p>
        </w:tc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COO/CFO-ի համար առաջնային վերահսկողական ցուցիչ</w:t>
            </w:r>
          </w:p>
        </w:tc>
      </w:tr>
      <w:t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F5F8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Billing accuracy</w:t>
            </w:r>
          </w:p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Նվազեցնել սխալ հաշվարկները, սխալ bill-երը և manual error-ները</w:t>
            </w:r>
          </w:p>
        </w:tc>
        <w:tc>
          <w:tcPr>
            <w:tcW w:type="dxa" w:w="15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Billing Head</w:t>
            </w:r>
          </w:p>
        </w:tc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Ֆինանսական ճշտություն և customer trust</w:t>
            </w:r>
          </w:p>
        </w:tc>
      </w:tr>
      <w:tr>
        <w:tc>
          <w:tcPr>
            <w:tcW w:type="dxa" w:w="226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F5F8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Reporting &amp; intelligence</w:t>
            </w:r>
          </w:p>
        </w:tc>
        <w:tc>
          <w:tcPr>
            <w:tcW w:type="dxa" w:w="351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Կառուցել պարբերական, որոշում-ստեղծող analytics և executive reporting</w:t>
            </w:r>
          </w:p>
        </w:tc>
        <w:tc>
          <w:tcPr>
            <w:tcW w:type="dxa" w:w="158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Billing Head</w:t>
            </w:r>
          </w:p>
        </w:tc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9"/>
              </w:rPr>
              <w:t>CEO/COO/CFO որոշումների հիմք</w:t>
            </w:r>
          </w:p>
        </w:tc>
      </w:tr>
    </w:tbl>
    <w:p>
      <w:r>
        <w:br w:type="page"/>
      </w:r>
    </w:p>
    <w:p>
      <w:pPr>
        <w:pStyle w:val="Heading1"/>
      </w:pPr>
      <w:r>
        <w:t>Տարեկան Roadmap-ի հիմնական աղյուսակ</w:t>
      </w:r>
    </w:p>
    <w:p>
      <w:pPr>
        <w:pStyle w:val="Small"/>
      </w:pPr>
      <w:r>
        <w:t>Նշում. Q1-Q4 հերթականությունը ցույց է տալիս հիմնական rollout փուլը. որոշ աշխատանքներ շարունակական են և ունեն control/reporting cadence ամբողջ տարվա ընթացքում.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FC3E5"/>
          <w:left w:val="single" w:sz="5" w:space="0" w:color="AFC3E5"/>
          <w:bottom w:val="single" w:sz="5" w:space="0" w:color="AFC3E5"/>
          <w:right w:val="single" w:sz="5" w:space="0" w:color="AFC3E5"/>
          <w:insideH w:val="single" w:sz="5" w:space="0" w:color="AFC3E5"/>
          <w:insideV w:val="single" w:sz="5" w:space="0" w:color="AFC3E5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814"/>
            <w:shd w:fill="D9E6F7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sz w:val="17"/>
              </w:rPr>
              <w:t>Workstream</w:t>
            </w:r>
          </w:p>
        </w:tc>
        <w:tc>
          <w:tcPr>
            <w:tcW w:type="dxa" w:w="2381"/>
            <w:shd w:fill="D9E6F7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sz w:val="17"/>
              </w:rPr>
              <w:t>Նպատակ</w:t>
            </w:r>
          </w:p>
        </w:tc>
        <w:tc>
          <w:tcPr>
            <w:tcW w:type="dxa" w:w="1247"/>
            <w:shd w:fill="D9E6F7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sz w:val="17"/>
              </w:rPr>
              <w:t>Q1</w:t>
            </w:r>
          </w:p>
        </w:tc>
        <w:tc>
          <w:tcPr>
            <w:tcW w:type="dxa" w:w="1247"/>
            <w:shd w:fill="D9E6F7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sz w:val="17"/>
              </w:rPr>
              <w:t>Q2</w:t>
            </w:r>
          </w:p>
        </w:tc>
        <w:tc>
          <w:tcPr>
            <w:tcW w:type="dxa" w:w="1247"/>
            <w:shd w:fill="D9E6F7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sz w:val="17"/>
              </w:rPr>
              <w:t>Q3</w:t>
            </w:r>
          </w:p>
        </w:tc>
        <w:tc>
          <w:tcPr>
            <w:tcW w:type="dxa" w:w="1247"/>
            <w:shd w:fill="D9E6F7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sz w:val="17"/>
              </w:rPr>
              <w:t>Q4</w:t>
            </w:r>
          </w:p>
        </w:tc>
        <w:tc>
          <w:tcPr>
            <w:tcW w:type="dxa" w:w="1474"/>
            <w:shd w:fill="D9E6F7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sz w:val="17"/>
              </w:rPr>
              <w:t>Սեփականատեր</w:t>
            </w:r>
          </w:p>
        </w:tc>
        <w:tc>
          <w:tcPr>
            <w:tcW w:type="dxa" w:w="1701"/>
            <w:shd w:fill="D9E6F7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sz w:val="17"/>
              </w:rPr>
              <w:t>Հաջողության չափիչ</w:t>
            </w:r>
          </w:p>
        </w:tc>
      </w:tr>
      <w:tr>
        <w:tc>
          <w:tcPr>
            <w:tcW w:type="dxa" w:w="181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shd w:fill="F3F7FD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1. Governance &amp; Operating Model</w:t>
            </w:r>
          </w:p>
        </w:tc>
        <w:tc>
          <w:tcPr>
            <w:tcW w:type="dxa" w:w="238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Սահմանել բաժնի մանդատը, SOP-ները, RACI-ն, approval matrix-ը, KPI dictionary-ն և report cadence-ը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Department charter, RACI, KPI dictionary, reporting calendar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SLA-ների և exception policy-ների հաստատում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Quarterly process review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Տարեվերջյան policy refresh</w:t>
            </w:r>
          </w:p>
        </w:tc>
        <w:tc>
          <w:tcPr>
            <w:tcW w:type="dxa" w:w="147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Գործարկված SOP-ների % և հաստատված KPI dictionary</w:t>
            </w:r>
          </w:p>
        </w:tc>
      </w:tr>
      <w:tr>
        <w:tc>
          <w:tcPr>
            <w:tcW w:type="dxa" w:w="181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shd w:fill="F3F7FD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2. Billing Accuracy &amp; Revenue Leakage Control</w:t>
            </w:r>
          </w:p>
        </w:tc>
        <w:tc>
          <w:tcPr>
            <w:tcW w:type="dxa" w:w="238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Հայտնաբերել unbilled active, billed inactive, wrong tariff, unauthorized discount, correction anomalies և reconciliation issues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Leakage map, mismatch reports, root-cause register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Control rules + review workflow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Trend analytics + prevention controls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Annual leakage reduction review</w:t>
            </w:r>
          </w:p>
        </w:tc>
        <w:tc>
          <w:tcPr>
            <w:tcW w:type="dxa" w:w="147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Billing Head / Portal / MikroBill owners</w:t>
            </w:r>
          </w:p>
        </w:tc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Leakage cases found, fixed rate, estimated leakage amount</w:t>
            </w:r>
          </w:p>
        </w:tc>
      </w:tr>
      <w:tr>
        <w:tc>
          <w:tcPr>
            <w:tcW w:type="dxa" w:w="181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shd w:fill="F3F7FD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3. Debt Logic &amp; Call Center Orchestration</w:t>
            </w:r>
          </w:p>
        </w:tc>
        <w:tc>
          <w:tcPr>
            <w:tcW w:type="dxa" w:w="238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Կառուցել overdue buckets, tasking logic, promise-to-pay tracking, suspension/restoration կանոններ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Overdue segmentation, task rules, grace policy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Bitrix24 task automation, PTP tracking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Collections effectiveness optimization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Annual recovery and discipline review</w:t>
            </w:r>
          </w:p>
        </w:tc>
        <w:tc>
          <w:tcPr>
            <w:tcW w:type="dxa" w:w="147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Billing Head + Call Center Lead</w:t>
            </w:r>
          </w:p>
        </w:tc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Recovery rate, overdue mix, task completion rate</w:t>
            </w:r>
          </w:p>
        </w:tc>
      </w:tr>
      <w:tr>
        <w:tc>
          <w:tcPr>
            <w:tcW w:type="dxa" w:w="181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shd w:fill="F3F7FD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4. Workflow Digitization via Bitrix24</w:t>
            </w:r>
          </w:p>
        </w:tc>
        <w:tc>
          <w:tcPr>
            <w:tcW w:type="dxa" w:w="238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Manual operations-ը դարձնել traceable և approval-based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Discount, correction, reactivation exception workflows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Tariff change / anomaly review workflows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Workflow KPI dashboard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Audit readiness &amp; enhancement</w:t>
            </w:r>
          </w:p>
        </w:tc>
        <w:tc>
          <w:tcPr>
            <w:tcW w:type="dxa" w:w="147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Billing Head + Bitrix24 admin</w:t>
            </w:r>
          </w:p>
        </w:tc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Approval trail completeness, manual exceptions under workflow</w:t>
            </w:r>
          </w:p>
        </w:tc>
      </w:tr>
      <w:tr>
        <w:tc>
          <w:tcPr>
            <w:tcW w:type="dxa" w:w="181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shd w:fill="F3F7FD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5. Billing Intelligence &amp; Analytics</w:t>
            </w:r>
          </w:p>
        </w:tc>
        <w:tc>
          <w:tcPr>
            <w:tcW w:type="dxa" w:w="238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Կառուցել actionable dashboards և analytical packs CEO/COO/CFO-ի համար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Base daily/weekly/monthly reports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Tariff, payment behavior, debt analytics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Area / segment / profitability analytics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Management intelligence maturity review</w:t>
            </w:r>
          </w:p>
        </w:tc>
        <w:tc>
          <w:tcPr>
            <w:tcW w:type="dxa" w:w="147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Report availability, decision usage, data completeness</w:t>
            </w:r>
          </w:p>
        </w:tc>
      </w:tr>
      <w:tr>
        <w:tc>
          <w:tcPr>
            <w:tcW w:type="dxa" w:w="181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shd w:fill="F3F7FD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6. Predictive Billing Analytics</w:t>
            </w:r>
          </w:p>
        </w:tc>
        <w:tc>
          <w:tcPr>
            <w:tcW w:type="dxa" w:w="238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Ներդնել churn risk, late payment risk, revenue forecast և revenue-at-risk հաշվարկներ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Rule-based model design + required datasets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Late payment risk pilot, churn score v1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Revenue forecast &amp; revenue-at-risk v1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Model calibration and governance</w:t>
            </w:r>
          </w:p>
        </w:tc>
        <w:tc>
          <w:tcPr>
            <w:tcW w:type="dxa" w:w="147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Billing Head + Analytics support</w:t>
            </w:r>
          </w:p>
        </w:tc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Prediction coverage, forecast variance, action conversion</w:t>
            </w:r>
          </w:p>
        </w:tc>
      </w:tr>
      <w:tr>
        <w:tc>
          <w:tcPr>
            <w:tcW w:type="dxa" w:w="181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  <w:shd w:fill="F3F7FD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7. Integration Layer: MikroBill + Bitrix24 + Portal + Network</w:t>
            </w:r>
          </w:p>
        </w:tc>
        <w:tc>
          <w:tcPr>
            <w:tcW w:type="dxa" w:w="238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Միավորել source-of-truth logic-ը և ավտոմատ trigger-ները cross-system control-ի համար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System map, field mapping, unified subscriber reference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Event-based task triggers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Cross-system dashboards and alerts</w:t>
            </w:r>
          </w:p>
        </w:tc>
        <w:tc>
          <w:tcPr>
            <w:tcW w:type="dxa" w:w="124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Integration stabilization review</w:t>
            </w:r>
          </w:p>
        </w:tc>
        <w:tc>
          <w:tcPr>
            <w:tcW w:type="dxa" w:w="1474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Billing Head + Portal/Tech owners</w:t>
            </w:r>
          </w:p>
        </w:tc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Sync completeness, alert quality, cross-system mismatch reduction</w:t>
            </w:r>
          </w:p>
        </w:tc>
      </w:tr>
    </w:tbl>
    <w:p/>
    <w:p>
      <w:pPr>
        <w:pStyle w:val="Heading1"/>
      </w:pPr>
      <w:r>
        <w:t>Հաստատված Reporting &amp; Prediction Governance</w:t>
      </w:r>
    </w:p>
    <w:p>
      <w:pPr>
        <w:pStyle w:val="Heading2"/>
      </w:pPr>
      <w:r>
        <w:t>1. Reporting 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8E3"/>
          <w:left w:val="single" w:sz="5" w:space="0" w:color="B7C8E3"/>
          <w:bottom w:val="single" w:sz="5" w:space="0" w:color="B7C8E3"/>
          <w:right w:val="single" w:sz="5" w:space="0" w:color="B7C8E3"/>
          <w:insideH w:val="single" w:sz="5" w:space="0" w:color="B7C8E3"/>
          <w:insideV w:val="single" w:sz="5" w:space="0" w:color="B7C8E3"/>
        </w:tblBorders>
      </w:tblPr>
      <w:tblGrid>
        <w:gridCol w:w="2063"/>
        <w:gridCol w:w="2063"/>
        <w:gridCol w:w="2063"/>
        <w:gridCol w:w="2063"/>
        <w:gridCol w:w="2063"/>
      </w:tblGrid>
      <w:tr>
        <w:trPr>
          <w:tblHeader w:val="true"/>
        </w:trPr>
        <w:tc>
          <w:tcPr>
            <w:tcW w:type="dxa" w:w="2381"/>
            <w:shd w:fill="DCE6F8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Հաշվետվություն</w:t>
            </w:r>
          </w:p>
        </w:tc>
        <w:tc>
          <w:tcPr>
            <w:tcW w:type="dxa" w:w="2268"/>
            <w:shd w:fill="DCE6F8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Ստացողներ</w:t>
            </w:r>
          </w:p>
        </w:tc>
        <w:tc>
          <w:tcPr>
            <w:tcW w:type="dxa" w:w="1134"/>
            <w:shd w:fill="DCE6F8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Հաճախություն</w:t>
            </w:r>
          </w:p>
        </w:tc>
        <w:tc>
          <w:tcPr>
            <w:tcW w:type="dxa" w:w="1814"/>
            <w:shd w:fill="DCE6F8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Նպատակ</w:t>
            </w:r>
          </w:p>
        </w:tc>
        <w:tc>
          <w:tcPr>
            <w:tcW w:type="dxa" w:w="2835"/>
            <w:shd w:fill="DCE6F8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Հիմնական բովանդակություն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Daily Billing Control Report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Billing Head, COO, CFO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Daily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Օպերացիոն վերահսկում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Daily billed/collected, suspension/restoration, posting issues, anomalies, mismatch count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Daily Collections Tasking Report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Billing Head, Call Center Lead, COO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Daily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Collections orchestration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Priority overdue list, near-suspension cases, PTP follow-ups, unresolved tasks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Weekly Billing Accuracy &amp; Leakage Report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COO, CFO, CEO summary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Weekly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Revenue protection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Leakage cases, root causes, unauthorized discounts, corrections, mismatch trends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Weekly Debt &amp; Collections Effectiveness Report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COO, CFO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Weekly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Debt control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Overdue buckets, recovery rate, task completion, chronic late payers, escalations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Weekly Churn Risk Report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COO, CEO summary, Support/Sales actions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Weekly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Retention actioning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High-risk customers, drivers, save list, repeated suspension cohort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Monthly Executive Billing Pack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CEO, COO, CFO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Monthly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Executive management view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Billed vs collected, overdue, leakage, accuracy trend, decisions needed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Monthly Revenue Forecast Report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CEO, CFO, COO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Monthly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Forward-looking finance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Next-month billed revenue, collections forecast, revenue-at-risk, scenarios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Monthly Tariff &amp; Revenue Analytics Report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CEO, COO, Commercial stakeholders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Monthly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Commercial analytics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ARPU, tariff performance, upgrade candidates, payment behavior, discount impact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Monthly Billing Intelligence Report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CEO, COO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Monthly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Cross-functional analytics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Segmentation, churn trends, area profitability, network-revenue insights</w:t>
            </w:r>
          </w:p>
        </w:tc>
      </w:tr>
      <w:tr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AFE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Quarterly Billing Strategy Review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CEO, COO, CFO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Quarterly</w:t>
            </w:r>
          </w:p>
        </w:tc>
        <w:tc>
          <w:tcPr>
            <w:tcW w:type="dxa" w:w="181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Roadmap governance</w:t>
            </w:r>
          </w:p>
        </w:tc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KPI performance, completed improvements, risks, next-quarter priorities</w:t>
            </w:r>
          </w:p>
        </w:tc>
      </w:tr>
    </w:tbl>
    <w:p/>
    <w:p>
      <w:pPr>
        <w:pStyle w:val="Heading2"/>
      </w:pPr>
      <w:r>
        <w:t>2. Prediction streams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Late Payment Risk - daily/weekly operational risk segmentation՝ collections prioritization-ի համար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Churn Risk - weekly tactical scoring և save-list generation՝ complaints, overdue, usage drop, repeated suspension և network exposure ազդակներով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Revenue Forecast - monthly executive forecast՝ billed revenue, collections և scenario view-ով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Revenue-at-Risk - weekly/monthly risk estimate՝ churn, overdue, leakage և billing error drivers-ի հիման վրա</w:t>
      </w:r>
    </w:p>
    <w:p>
      <w:r>
        <w:br w:type="page"/>
      </w:r>
    </w:p>
    <w:p>
      <w:pPr>
        <w:pStyle w:val="Heading1"/>
      </w:pPr>
      <w:r>
        <w:t>Հավելված A - Մանրամասն բացատրություններ և deliverables</w:t>
      </w:r>
    </w:p>
    <w:p>
      <w:pPr>
        <w:pStyle w:val="Heading2"/>
      </w:pPr>
      <w:r>
        <w:t>A1. Billing Department-ի մանդատը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Revenue protection - revenue leakage-ի հայտնաբերում, փակման վերահսկում և կանխարգելիչ rule-երի ներդրում։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Billing accuracy - bill generation, correction, discount, reactivation և status logic-ի ճշտության պահպանում։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Debt orchestration - overdue segmentation, collections prioritization և Call Center tasking framework։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Reporting &amp; intelligence - ղեկավարությանը periodic և actionable analytics տրամադրում։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Workflow governance - manual operation-ները դարձնել approval-based, traceable և audit-ready։</w:t>
      </w:r>
    </w:p>
    <w:p/>
    <w:p>
      <w:pPr>
        <w:pStyle w:val="Heading2"/>
      </w:pPr>
      <w:r>
        <w:t>A2. Current-state architecture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MikroBill - execution system, financial records, suspension/restoration, manual billing actions։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Bitrix24 - CRM/tasks layer, որը roadmap-ով պետք է աճի դեպի workflow, approval, SLA և audit trail management։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HouseNet Portal - integration bridge տարբեր պրոդուկտների և ապագա rule/event orchestration-ի համար։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Network data sources - OLT/node, disconnect logs, usage և network incident context՝ analytics enrichment-ի համար։</w:t>
      </w:r>
    </w:p>
    <w:p/>
    <w:p>
      <w:pPr>
        <w:pStyle w:val="Heading2"/>
      </w:pPr>
      <w:r>
        <w:t>A3. Q1 հիմնական deliverables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Department charter, ownership boundaries և report line-ի հաստատում։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KPI dictionary և metric definitions։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Daily/weekly/monthly reporting calendar։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Revenue leakage map և top mismatch report-ներ։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Overdue bucket logic և Call Center tasking rules։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Discount, correction և reactivation exception workflow designs Bitrix24-ում։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Predictive analytics-ի համար data requirement list և model input fields։</w:t>
      </w:r>
    </w:p>
    <w:p/>
    <w:p>
      <w:pPr>
        <w:pStyle w:val="Heading2"/>
      </w:pPr>
      <w:r>
        <w:t>A4. Q2 հիմնական deliverables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Bitrix24-ում discount, correction, reactivation exception և promise-to-pay workflow-ների rollout։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Late payment risk pilot report և weekly debt effectiveness report-ի ստաբիլացում։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Billing vs payments reconciliation control-ների ներդրում։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Event-based task creation Portal/Bitrix24 ինտեգրացիայով։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Base analytical dashboards՝ tariff, payment behavior, debt trend թեմաներով։</w:t>
      </w:r>
    </w:p>
    <w:p/>
    <w:p>
      <w:pPr>
        <w:pStyle w:val="Heading2"/>
      </w:pPr>
      <w:r>
        <w:t>A5. Q3 հիմնական deliverables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Revenue forecast v1 և revenue-at-risk հաշվարկի ներդրում։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Churn risk v1՝ rule-based scoring-ով և weekly save list-երով։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Area / segment / tariff profitability analytics։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Cross-system dashboards՝ Billing + CRM + Network composite views-ով։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Workflow KPI dashboard և audit review pack։</w:t>
      </w:r>
    </w:p>
    <w:p/>
    <w:p>
      <w:pPr>
        <w:pStyle w:val="Heading2"/>
      </w:pPr>
      <w:r>
        <w:t>A6. Q4 հիմնական deliverables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Model calibration, false positive/false negative review և governance refresh։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Annual leakage reduction review և top root-cause remediation plan։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Executive intelligence maturity assessment։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Next-year roadmap backlog՝ predictive model refinement, automation expansion և integration hardening համար։</w:t>
      </w:r>
    </w:p>
    <w:p/>
    <w:p>
      <w:pPr>
        <w:pStyle w:val="Heading1"/>
      </w:pPr>
      <w:r>
        <w:t>Հավելված B - Bitrix24 workflow-ների մանրամասն փաթեթ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9CBE6"/>
          <w:left w:val="single" w:sz="5" w:space="0" w:color="B9CBE6"/>
          <w:bottom w:val="single" w:sz="5" w:space="0" w:color="B9CBE6"/>
          <w:right w:val="single" w:sz="5" w:space="0" w:color="B9CBE6"/>
          <w:insideH w:val="single" w:sz="5" w:space="0" w:color="B9CBE6"/>
          <w:insideV w:val="single" w:sz="5" w:space="0" w:color="B9CBE6"/>
        </w:tblBorders>
      </w:tblPr>
      <w:tblGrid>
        <w:gridCol w:w="2063"/>
        <w:gridCol w:w="2063"/>
        <w:gridCol w:w="2063"/>
        <w:gridCol w:w="2063"/>
        <w:gridCol w:w="2063"/>
      </w:tblGrid>
      <w:tr>
        <w:trPr>
          <w:tblHeader w:val="true"/>
        </w:trPr>
        <w:tc>
          <w:tcPr>
            <w:tcW w:type="dxa" w:w="2041"/>
            <w:shd w:fill="DCE6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Workflow</w:t>
            </w:r>
          </w:p>
        </w:tc>
        <w:tc>
          <w:tcPr>
            <w:tcW w:type="dxa" w:w="1984"/>
            <w:shd w:fill="DCE6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Սկիզբ</w:t>
            </w:r>
          </w:p>
        </w:tc>
        <w:tc>
          <w:tcPr>
            <w:tcW w:type="dxa" w:w="1814"/>
            <w:shd w:fill="DCE6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Approve/Route</w:t>
            </w:r>
          </w:p>
        </w:tc>
        <w:tc>
          <w:tcPr>
            <w:tcW w:type="dxa" w:w="1474"/>
            <w:shd w:fill="DCE6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Execution layer</w:t>
            </w:r>
          </w:p>
        </w:tc>
        <w:tc>
          <w:tcPr>
            <w:tcW w:type="dxa" w:w="2324"/>
            <w:shd w:fill="DCE6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Կառավարողական արդյունք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Discount / special condition approval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Request in Bitrix24 with subscriber, period, reason, requested discount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By threshold: Billing Head / COO / CFO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MikroBill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Approval history, exception register, monthly discount report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correction / adjustment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Manual correction request with reason code and amount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 or delegated approver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MikroBill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Audit trail, correction register, accuracy control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Reactivation / suspension exception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Overdue or disputed case flagged by rule/task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 + exception logic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MikroBill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Controlled grace policy and VIP/complaint handling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Promise-to-pay tracking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Call Center outcome captured in task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Auto follow-up by due date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Bitrix24 + MikroBill status check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Higher collections discipline and broken-promise visibility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Tariff change / package migration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Customer or internal request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Approval by policy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MikroBill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Reduced disputes, change traceability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anomaly review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System-generated anomaly task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review queue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MikroBill / Portal data checks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Faster leakage closure and root-cause management</w:t>
            </w:r>
          </w:p>
        </w:tc>
      </w:tr>
    </w:tbl>
    <w:p/>
    <w:p>
      <w:pPr>
        <w:pStyle w:val="Heading1"/>
      </w:pPr>
      <w:r>
        <w:t>Հավելված C - KPI Dictionary (initial version)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BE6"/>
          <w:left w:val="single" w:sz="5" w:space="0" w:color="B8CBE6"/>
          <w:bottom w:val="single" w:sz="5" w:space="0" w:color="B8CBE6"/>
          <w:right w:val="single" w:sz="5" w:space="0" w:color="B8CBE6"/>
          <w:insideH w:val="single" w:sz="5" w:space="0" w:color="B8CBE6"/>
          <w:insideV w:val="single" w:sz="5" w:space="0" w:color="B8CBE6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268"/>
            <w:shd w:fill="DCE6F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Ցուցիչ</w:t>
            </w:r>
          </w:p>
        </w:tc>
        <w:tc>
          <w:tcPr>
            <w:tcW w:type="dxa" w:w="4535"/>
            <w:shd w:fill="DCE6F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Սահմանում</w:t>
            </w:r>
          </w:p>
        </w:tc>
        <w:tc>
          <w:tcPr>
            <w:tcW w:type="dxa" w:w="1701"/>
            <w:shd w:fill="DCE6F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Owner</w:t>
            </w:r>
          </w:p>
        </w:tc>
        <w:tc>
          <w:tcPr>
            <w:tcW w:type="dxa" w:w="1984"/>
            <w:shd w:fill="DCE6F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r>
              <w:rPr>
                <w:rFonts w:ascii="DejaVu Serif" w:hAnsi="DejaVu Serif" w:eastAsia="DejaVu Serif"/>
                <w:b/>
                <w:sz w:val="17"/>
              </w:rPr>
              <w:t>Հաշվետու հաճախություն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Billed Revenue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Ամսվա ընթացքում bill արված գումարը ըստ հաստատված billing logic-ի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Daily / Monthly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Collected Revenue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Փաստացի ստացված վճարումները՝ channel-ներով և posting validation-ով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Daily / Monthly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Revenue Leakage Cases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Unbilled active, billed inactive, wrong tariff, unauthorized discount և նման դեպքեր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Weekly / Monthly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Accuracy Rate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Սխալ billing դեպքերի նվազման/ճշտության հարաբերական ցուցիչ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Weekly / Monthly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Overdue Portfolio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Ժամկետանց պարտքերի ընդհանուր մնացորդը bucket-ներով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Daily / Weekly / Monthly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Recovery Rate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Ժամկետանց bucket-երից վերականգնված գումարի բաժինը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Weekly / Monthly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Reactivation SLA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Վճարումից հետո ծառայության վերագործարկման ժամանակային կարգապահություն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Weekly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Churn Risk Coverage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Risk-scoring տակ ընկած ակտիվ բաժանորդների բաժինը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Weekly / Monthly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shd w:fill="F7FAFE"/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Forecast Variance</w:t>
            </w:r>
          </w:p>
        </w:tc>
        <w:tc>
          <w:tcPr>
            <w:tcW w:type="dxa" w:w="4535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Revenue forecast-ի և actual-ի տարբերությունը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Billing Head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DejaVu Serif" w:hAnsi="DejaVu Serif" w:eastAsia="DejaVu Serif"/>
                <w:sz w:val="16"/>
              </w:rPr>
              <w:t>Monthly</w:t>
            </w:r>
          </w:p>
        </w:tc>
      </w:tr>
    </w:tbl>
    <w:p/>
    <w:p>
      <w:pPr>
        <w:pStyle w:val="Heading1"/>
      </w:pPr>
      <w:r>
        <w:t>Հավելված D - Նախնական ռիսկեր և dependencies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Data quality - source համակարգերում incomplete, inconsistent կամ ուշացած sync-եր կարող են թուլացնել control և prediction արդյունքները։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Owner ambiguity - Billing, Call Center, Support, Finance, Tech թիմերի միջև ownership-ի չֆիքսվածությունը կդանդաղեցնի execution-ը։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Workflow discipline - եթե Bitrix24 approval-ները bypass արվեն, auditability-ն և accuracy-ն կնվազեն։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Model readiness - predictive reporting-ը արդյունավետ է միայն այն դեպքում, երբ historical data-ն և outcome labeling-ը բավարար են։</w:t>
      </w:r>
    </w:p>
    <w:p>
      <w:pPr>
        <w:spacing w:after="60"/>
        <w:ind w:left="0"/>
      </w:pPr>
      <w:r>
        <w:rPr>
          <w:rFonts w:ascii="DejaVu Serif" w:hAnsi="DejaVu Serif" w:eastAsia="DejaVu Serif"/>
        </w:rPr>
        <w:t>• Integration capacity - Portal/Bitrix24/MikroBill փոփոխությունների համար պահանջվելու է տեխնիկական թողունակություն և release discipline։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erif" w:hAnsi="DejaVu Serif" w:eastAsia="DejaVu Serif"/>
        <w:sz w:val="18"/>
      </w:rPr>
      <w:t xml:space="preserve">Billing Department Yearly Roadmap 2026 | Էջ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erif" w:hAnsi="DejaVu Serif" w:eastAsia="DejaVu Serif"/>
        <w:color w:val="5A5A5A"/>
        <w:sz w:val="18"/>
      </w:rPr>
      <w:t>HouseNet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142F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142F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142F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pPr>
      <w:spacing w:after="200"/>
    </w:pPr>
    <w:rPr>
      <w:rFonts w:ascii="DejaVu Serif" w:hAnsi="DejaVu Serif" w:eastAsia="DejaVu Serif"/>
      <w:b/>
      <w:color w:val="142F60"/>
      <w:sz w:val="44"/>
    </w:rPr>
  </w:style>
  <w:style w:type="paragraph" w:customStyle="1" w:styleId="Small">
    <w:name w:val="Small"/>
    <w:basedOn w:val="Normal"/>
    <w:rPr>
      <w:rFonts w:ascii="DejaVu Serif" w:hAnsi="DejaVu Serif" w:eastAsia="DejaVu Serif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