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CAED" w14:textId="77777777" w:rsidR="008E404F" w:rsidRDefault="001064AF">
      <w:pPr>
        <w:pStyle w:val="Heading1"/>
      </w:pPr>
      <w:r>
        <w:t>CA4003 – Compiler Construction Assignment 1</w:t>
      </w:r>
    </w:p>
    <w:p w14:paraId="792FA40F" w14:textId="77777777" w:rsidR="008E404F" w:rsidRDefault="008E404F"/>
    <w:p w14:paraId="33B5DBF8" w14:textId="77777777" w:rsidR="008E404F" w:rsidRDefault="001064AF">
      <w:pPr>
        <w:spacing w:after="223" w:line="240" w:lineRule="auto"/>
        <w:ind w:right="4" w:hanging="10"/>
        <w:jc w:val="center"/>
      </w:pPr>
      <w:r>
        <w:rPr>
          <w:rFonts w:eastAsia="Times New Roman" w:cs="Calibri"/>
          <w:b/>
          <w:bCs/>
          <w:color w:val="000000"/>
          <w:sz w:val="28"/>
          <w:szCs w:val="28"/>
          <w:lang w:eastAsia="en-IE"/>
        </w:rPr>
        <w:t>Declaration on Plagiarism </w:t>
      </w:r>
    </w:p>
    <w:p w14:paraId="62C49122" w14:textId="77777777" w:rsidR="008E404F" w:rsidRDefault="001064AF">
      <w:pPr>
        <w:spacing w:after="223" w:line="240" w:lineRule="auto"/>
        <w:ind w:left="59"/>
        <w:jc w:val="center"/>
      </w:pPr>
      <w:r>
        <w:rPr>
          <w:rFonts w:eastAsia="Times New Roman" w:cs="Calibri"/>
          <w:b/>
          <w:bCs/>
          <w:color w:val="000000"/>
          <w:sz w:val="28"/>
          <w:szCs w:val="28"/>
          <w:lang w:eastAsia="en-IE"/>
        </w:rPr>
        <w:t> </w:t>
      </w:r>
    </w:p>
    <w:p w14:paraId="2A00AF9A" w14:textId="77777777" w:rsidR="008E404F" w:rsidRDefault="001064AF">
      <w:pPr>
        <w:spacing w:after="189" w:line="240" w:lineRule="auto"/>
        <w:ind w:right="1" w:hanging="10"/>
        <w:jc w:val="center"/>
      </w:pPr>
      <w:r>
        <w:rPr>
          <w:rFonts w:eastAsia="Times New Roman" w:cs="Calibri"/>
          <w:b/>
          <w:bCs/>
          <w:color w:val="000000"/>
          <w:sz w:val="28"/>
          <w:szCs w:val="28"/>
          <w:lang w:eastAsia="en-IE"/>
        </w:rPr>
        <w:t>Assignment Submission Form </w:t>
      </w:r>
    </w:p>
    <w:p w14:paraId="775D7026" w14:textId="77777777" w:rsidR="008E404F" w:rsidRDefault="001064AF">
      <w:pPr>
        <w:spacing w:after="224" w:line="240" w:lineRule="auto"/>
      </w:pPr>
      <w:r>
        <w:rPr>
          <w:rFonts w:eastAsia="Times New Roman" w:cs="Calibri"/>
          <w:color w:val="000000"/>
          <w:lang w:eastAsia="en-IE"/>
        </w:rPr>
        <w:t> </w:t>
      </w:r>
      <w:r>
        <w:rPr>
          <w:rFonts w:eastAsia="Times New Roman" w:cs="Calibri"/>
          <w:color w:val="000000"/>
          <w:sz w:val="24"/>
          <w:szCs w:val="24"/>
          <w:lang w:eastAsia="en-IE"/>
        </w:rPr>
        <w:t> This form must be filled in and completed by the student(s) submitting an assignment </w:t>
      </w:r>
    </w:p>
    <w:p w14:paraId="56A44D67" w14:textId="77777777" w:rsidR="008E404F" w:rsidRDefault="001064AF">
      <w:pPr>
        <w:spacing w:after="0" w:line="240" w:lineRule="auto"/>
      </w:pPr>
      <w:r>
        <w:rPr>
          <w:rFonts w:eastAsia="Times New Roman" w:cs="Calibri"/>
          <w:color w:val="000000"/>
          <w:sz w:val="24"/>
          <w:szCs w:val="24"/>
          <w:lang w:eastAsia="en-IE"/>
        </w:rPr>
        <w:t> </w:t>
      </w:r>
    </w:p>
    <w:tbl>
      <w:tblPr>
        <w:tblW w:w="50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2"/>
      </w:tblGrid>
      <w:tr w:rsidR="008E404F" w14:paraId="6D1B3A8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3" w:type="dxa"/>
              <w:left w:w="108" w:type="dxa"/>
              <w:bottom w:w="0" w:type="dxa"/>
              <w:right w:w="115" w:type="dxa"/>
            </w:tcMar>
          </w:tcPr>
          <w:p w14:paraId="783A3BF6" w14:textId="77777777" w:rsidR="008E404F" w:rsidRDefault="001064A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E"/>
              </w:rPr>
              <w:t xml:space="preserve">Name(s): 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E"/>
              </w:rPr>
              <w:t>Michael O’Hara</w:t>
            </w:r>
          </w:p>
        </w:tc>
      </w:tr>
      <w:tr w:rsidR="008E404F" w14:paraId="527585AC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3" w:type="dxa"/>
              <w:left w:w="108" w:type="dxa"/>
              <w:bottom w:w="0" w:type="dxa"/>
              <w:right w:w="115" w:type="dxa"/>
            </w:tcMar>
          </w:tcPr>
          <w:p w14:paraId="48A08E07" w14:textId="77777777" w:rsidR="008E404F" w:rsidRDefault="001064A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E"/>
              </w:rPr>
              <w:t xml:space="preserve">Programme: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E"/>
              </w:rPr>
              <w:t>Compiler Construction Assignment </w:t>
            </w:r>
          </w:p>
        </w:tc>
      </w:tr>
      <w:tr w:rsidR="008E404F" w14:paraId="7220DA4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3" w:type="dxa"/>
              <w:left w:w="108" w:type="dxa"/>
              <w:bottom w:w="0" w:type="dxa"/>
              <w:right w:w="115" w:type="dxa"/>
            </w:tcMar>
          </w:tcPr>
          <w:p w14:paraId="0195FD3E" w14:textId="77777777" w:rsidR="008E404F" w:rsidRDefault="001064A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E"/>
              </w:rPr>
              <w:t xml:space="preserve">Module Code: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E"/>
              </w:rPr>
              <w:t>CA4003</w:t>
            </w:r>
          </w:p>
        </w:tc>
      </w:tr>
      <w:tr w:rsidR="008E404F" w14:paraId="5A72A60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3" w:type="dxa"/>
              <w:left w:w="108" w:type="dxa"/>
              <w:bottom w:w="0" w:type="dxa"/>
              <w:right w:w="115" w:type="dxa"/>
            </w:tcMar>
          </w:tcPr>
          <w:p w14:paraId="716212A8" w14:textId="77777777" w:rsidR="008E404F" w:rsidRDefault="001064A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E"/>
              </w:rPr>
              <w:t>Assignment Title: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E"/>
              </w:rPr>
              <w:t xml:space="preserve"> CCALL Language Parser</w:t>
            </w:r>
          </w:p>
        </w:tc>
      </w:tr>
      <w:tr w:rsidR="008E404F" w14:paraId="59B1740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3" w:type="dxa"/>
              <w:left w:w="108" w:type="dxa"/>
              <w:bottom w:w="0" w:type="dxa"/>
              <w:right w:w="115" w:type="dxa"/>
            </w:tcMar>
          </w:tcPr>
          <w:p w14:paraId="7B572849" w14:textId="77777777" w:rsidR="008E404F" w:rsidRDefault="001064A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E"/>
              </w:rPr>
              <w:t>Submission Date: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E"/>
              </w:rPr>
              <w:t xml:space="preserve"> 3/11/2019</w:t>
            </w:r>
          </w:p>
        </w:tc>
      </w:tr>
      <w:tr w:rsidR="008E404F" w14:paraId="53FFDC0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5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3" w:type="dxa"/>
              <w:left w:w="108" w:type="dxa"/>
              <w:bottom w:w="0" w:type="dxa"/>
              <w:right w:w="115" w:type="dxa"/>
            </w:tcMar>
          </w:tcPr>
          <w:p w14:paraId="07BC0B08" w14:textId="77777777" w:rsidR="008E404F" w:rsidRDefault="001064AF">
            <w:pPr>
              <w:spacing w:after="0" w:line="240" w:lineRule="auto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E"/>
              </w:rPr>
              <w:t xml:space="preserve">Module Coordinator: 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E"/>
              </w:rPr>
              <w:t>David Sinclair</w:t>
            </w:r>
          </w:p>
        </w:tc>
      </w:tr>
    </w:tbl>
    <w:p w14:paraId="19A86271" w14:textId="77777777" w:rsidR="008E404F" w:rsidRDefault="001064AF">
      <w:pPr>
        <w:spacing w:after="221" w:line="240" w:lineRule="auto"/>
      </w:pPr>
      <w:r>
        <w:rPr>
          <w:rFonts w:eastAsia="Times New Roman" w:cs="Calibri"/>
          <w:color w:val="000000"/>
          <w:sz w:val="24"/>
          <w:szCs w:val="24"/>
          <w:lang w:eastAsia="en-IE"/>
        </w:rPr>
        <w:t> </w:t>
      </w:r>
    </w:p>
    <w:p w14:paraId="6BD54C7C" w14:textId="77777777" w:rsidR="008E404F" w:rsidRDefault="001064AF">
      <w:pPr>
        <w:spacing w:after="211" w:line="240" w:lineRule="auto"/>
        <w:ind w:left="-5" w:firstLine="5"/>
        <w:jc w:val="both"/>
      </w:pPr>
      <w:r>
        <w:rPr>
          <w:rFonts w:eastAsia="Times New Roman" w:cs="Calibri"/>
          <w:color w:val="000000"/>
          <w:sz w:val="24"/>
          <w:szCs w:val="24"/>
          <w:lang w:eastAsia="en-IE"/>
        </w:rPr>
        <w:t>I/We declare that this material, which I/We now submit for assessment, is entirely my/our ow</w:t>
      </w:r>
      <w:r>
        <w:rPr>
          <w:rFonts w:eastAsia="Times New Roman" w:cs="Calibri"/>
          <w:color w:val="000000"/>
          <w:sz w:val="24"/>
          <w:szCs w:val="24"/>
          <w:lang w:eastAsia="en-IE"/>
        </w:rPr>
        <w:t>n work and has not been taken from the work of others, save and to the extent that such work has been cited and acknowledged within the text of my/our work. I/We understand that plagiarism, collusion, and copying are grave and serious offences in the unive</w:t>
      </w:r>
      <w:r>
        <w:rPr>
          <w:rFonts w:eastAsia="Times New Roman" w:cs="Calibri"/>
          <w:color w:val="000000"/>
          <w:sz w:val="24"/>
          <w:szCs w:val="24"/>
          <w:lang w:eastAsia="en-IE"/>
        </w:rPr>
        <w:t>rsity and accept the penalties that would be imposed should I engage in plagiarism, collusion or copying. I/We have read and understood the Assignment Regulations. I/We have identified and included the source of all predicates, ideas, opinions, and viewpoi</w:t>
      </w:r>
      <w:r>
        <w:rPr>
          <w:rFonts w:eastAsia="Times New Roman" w:cs="Calibri"/>
          <w:color w:val="000000"/>
          <w:sz w:val="24"/>
          <w:szCs w:val="24"/>
          <w:lang w:eastAsia="en-IE"/>
        </w:rPr>
        <w:t xml:space="preserve">nts of others in the assignment references. Direct quotations from books, journal articles, internet sources, module text, or any other source whatsoever are </w:t>
      </w:r>
      <w:proofErr w:type="gramStart"/>
      <w:r>
        <w:rPr>
          <w:rFonts w:eastAsia="Times New Roman" w:cs="Calibri"/>
          <w:color w:val="000000"/>
          <w:sz w:val="24"/>
          <w:szCs w:val="24"/>
          <w:lang w:eastAsia="en-IE"/>
        </w:rPr>
        <w:t>acknowledged</w:t>
      </w:r>
      <w:proofErr w:type="gramEnd"/>
      <w:r>
        <w:rPr>
          <w:rFonts w:eastAsia="Times New Roman" w:cs="Calibri"/>
          <w:color w:val="000000"/>
          <w:sz w:val="24"/>
          <w:szCs w:val="24"/>
          <w:lang w:eastAsia="en-IE"/>
        </w:rPr>
        <w:t xml:space="preserve"> and the source cited are identified in the assignment references. This assignment, or</w:t>
      </w:r>
      <w:r>
        <w:rPr>
          <w:rFonts w:eastAsia="Times New Roman" w:cs="Calibri"/>
          <w:color w:val="000000"/>
          <w:sz w:val="24"/>
          <w:szCs w:val="24"/>
          <w:lang w:eastAsia="en-IE"/>
        </w:rPr>
        <w:t xml:space="preserve"> any part of it, has not been previously submitted by me/us or any other person for assessment on this or any other course of study.  </w:t>
      </w:r>
    </w:p>
    <w:p w14:paraId="70E41D2A" w14:textId="77777777" w:rsidR="008E404F" w:rsidRDefault="001064AF">
      <w:pPr>
        <w:spacing w:after="219" w:line="240" w:lineRule="auto"/>
      </w:pPr>
      <w:r>
        <w:rPr>
          <w:rFonts w:eastAsia="Times New Roman" w:cs="Calibri"/>
          <w:color w:val="000000"/>
          <w:sz w:val="24"/>
          <w:szCs w:val="24"/>
          <w:lang w:eastAsia="en-IE"/>
        </w:rPr>
        <w:t>  </w:t>
      </w:r>
    </w:p>
    <w:p w14:paraId="7A3FD8A7" w14:textId="77777777" w:rsidR="008E404F" w:rsidRDefault="001064AF">
      <w:pPr>
        <w:spacing w:after="0" w:line="240" w:lineRule="auto"/>
        <w:ind w:left="-5" w:firstLine="5"/>
        <w:jc w:val="both"/>
      </w:pPr>
      <w:r>
        <w:rPr>
          <w:rFonts w:eastAsia="Times New Roman" w:cs="Calibri"/>
          <w:color w:val="000000"/>
          <w:sz w:val="24"/>
          <w:szCs w:val="24"/>
          <w:lang w:eastAsia="en-IE"/>
        </w:rPr>
        <w:t>I/We have read and understood the referencing guidelines found at </w:t>
      </w:r>
    </w:p>
    <w:p w14:paraId="7E677D5E" w14:textId="77777777" w:rsidR="008E404F" w:rsidRDefault="001064AF">
      <w:pPr>
        <w:spacing w:after="10" w:line="480" w:lineRule="auto"/>
      </w:pPr>
      <w:hyperlink r:id="rId7" w:history="1">
        <w:r>
          <w:rPr>
            <w:rFonts w:eastAsia="Times New Roman" w:cs="Calibri"/>
            <w:color w:val="0000FF"/>
            <w:u w:val="single"/>
            <w:lang w:eastAsia="en-IE"/>
          </w:rPr>
          <w:t xml:space="preserve">http://www.dcu.ie/info/regulations/plagiarism.shtml </w:t>
        </w:r>
      </w:hyperlink>
      <w:r>
        <w:rPr>
          <w:rFonts w:eastAsia="Times New Roman" w:cs="Calibri"/>
          <w:color w:val="0000FF"/>
          <w:lang w:eastAsia="en-IE"/>
        </w:rPr>
        <w:t xml:space="preserve">, </w:t>
      </w:r>
      <w:hyperlink r:id="rId8" w:history="1">
        <w:r>
          <w:rPr>
            <w:rFonts w:eastAsia="Times New Roman" w:cs="Calibri"/>
            <w:color w:val="0000FF"/>
            <w:u w:val="single"/>
            <w:lang w:eastAsia="en-IE"/>
          </w:rPr>
          <w:t xml:space="preserve">https://www4.dcu.ie/students/az/plagiarism </w:t>
        </w:r>
      </w:hyperlink>
      <w:r>
        <w:rPr>
          <w:rFonts w:eastAsia="Times New Roman" w:cs="Calibri"/>
          <w:color w:val="000000"/>
          <w:sz w:val="24"/>
          <w:szCs w:val="24"/>
          <w:lang w:eastAsia="en-IE"/>
        </w:rPr>
        <w:t>and/or recommended in the assignment guidelines.</w:t>
      </w:r>
    </w:p>
    <w:p w14:paraId="63418558" w14:textId="77777777" w:rsidR="008E404F" w:rsidRDefault="001064AF">
      <w:r>
        <w:t>Name(s): ____</w:t>
      </w:r>
      <w:r>
        <w:rPr>
          <w:u w:val="single"/>
        </w:rPr>
        <w:t>Michael O’Hara</w:t>
      </w:r>
      <w:r>
        <w:t>_________ Date: __</w:t>
      </w:r>
      <w:r>
        <w:rPr>
          <w:u w:val="single"/>
        </w:rPr>
        <w:t>03/11/19</w:t>
      </w:r>
      <w:r>
        <w:t>______</w:t>
      </w:r>
    </w:p>
    <w:p w14:paraId="63A56718" w14:textId="77777777" w:rsidR="008E404F" w:rsidRDefault="008E404F"/>
    <w:p w14:paraId="5B70F3A9" w14:textId="77777777" w:rsidR="008E404F" w:rsidRDefault="008E404F"/>
    <w:p w14:paraId="17408279" w14:textId="77777777" w:rsidR="008E404F" w:rsidRDefault="008E404F"/>
    <w:p w14:paraId="20DA1AE6" w14:textId="77777777" w:rsidR="008E404F" w:rsidRDefault="001064AF">
      <w:r>
        <w:lastRenderedPageBreak/>
        <w:t>The purpose of this report is going through and breaking down the process used in creating the lexica</w:t>
      </w:r>
      <w:r>
        <w:t xml:space="preserve">l and syntax analyser for the CCAL language. The first thing I did was refer to the Lexical Analyser notes from class. After reading over these I took the template provided in the notes and laid out my JAVACC file to have 4 sections. Which are </w:t>
      </w:r>
    </w:p>
    <w:p w14:paraId="6A46B335" w14:textId="77777777" w:rsidR="008E404F" w:rsidRDefault="001064AF">
      <w:pPr>
        <w:pStyle w:val="ListParagraph"/>
        <w:numPr>
          <w:ilvl w:val="0"/>
          <w:numId w:val="1"/>
        </w:numPr>
      </w:pPr>
      <w:r>
        <w:t>Options</w:t>
      </w:r>
    </w:p>
    <w:p w14:paraId="3555E74C" w14:textId="77777777" w:rsidR="008E404F" w:rsidRDefault="001064AF">
      <w:pPr>
        <w:pStyle w:val="ListParagraph"/>
        <w:numPr>
          <w:ilvl w:val="0"/>
          <w:numId w:val="1"/>
        </w:numPr>
      </w:pPr>
      <w:r>
        <w:t>Use</w:t>
      </w:r>
      <w:r>
        <w:t>r Code</w:t>
      </w:r>
    </w:p>
    <w:p w14:paraId="3B972FCB" w14:textId="77777777" w:rsidR="008E404F" w:rsidRDefault="001064AF">
      <w:pPr>
        <w:pStyle w:val="ListParagraph"/>
        <w:numPr>
          <w:ilvl w:val="0"/>
          <w:numId w:val="1"/>
        </w:numPr>
      </w:pPr>
      <w:r>
        <w:t>Token Definitions</w:t>
      </w:r>
    </w:p>
    <w:p w14:paraId="321148C7" w14:textId="77777777" w:rsidR="008E404F" w:rsidRDefault="001064AF">
      <w:pPr>
        <w:pStyle w:val="ListParagraph"/>
        <w:numPr>
          <w:ilvl w:val="0"/>
          <w:numId w:val="1"/>
        </w:numPr>
      </w:pPr>
      <w:r>
        <w:t>Grammar &amp; Production Rules</w:t>
      </w:r>
    </w:p>
    <w:p w14:paraId="5C21BF73" w14:textId="77777777" w:rsidR="008E404F" w:rsidRDefault="001064AF">
      <w:r>
        <w:t>I also made several input files which contain the definitions given at the end of the CCAL description PDF. These allowed to test if my CCALTokeniser was working.</w:t>
      </w:r>
    </w:p>
    <w:p w14:paraId="15BA91B8" w14:textId="77777777" w:rsidR="008E404F" w:rsidRDefault="008E404F"/>
    <w:p w14:paraId="31750BBF" w14:textId="77777777" w:rsidR="008E404F" w:rsidRDefault="001064AF">
      <w:pPr>
        <w:pStyle w:val="Subtitle"/>
        <w:rPr>
          <w:u w:val="single"/>
        </w:rPr>
      </w:pPr>
      <w:r>
        <w:rPr>
          <w:u w:val="single"/>
        </w:rPr>
        <w:t>Options:</w:t>
      </w:r>
    </w:p>
    <w:p w14:paraId="7250784C" w14:textId="77777777" w:rsidR="008E404F" w:rsidRDefault="001064AF">
      <w:r>
        <w:t>The options for this language a</w:t>
      </w:r>
      <w:r>
        <w:t xml:space="preserve">re quite short as we are told the language is not case sensitive. </w:t>
      </w:r>
    </w:p>
    <w:p w14:paraId="1423FA9E" w14:textId="77777777" w:rsidR="008E404F" w:rsidRDefault="001064AF">
      <w:pPr>
        <w:rPr>
          <w:i/>
          <w:iCs/>
        </w:rPr>
      </w:pPr>
      <w:r>
        <w:rPr>
          <w:i/>
          <w:iCs/>
        </w:rPr>
        <w:t xml:space="preserve">options { </w:t>
      </w:r>
    </w:p>
    <w:p w14:paraId="43522E61" w14:textId="77777777" w:rsidR="008E404F" w:rsidRDefault="001064AF">
      <w:pPr>
        <w:rPr>
          <w:i/>
          <w:iCs/>
        </w:rPr>
      </w:pPr>
      <w:r>
        <w:rPr>
          <w:i/>
          <w:iCs/>
        </w:rPr>
        <w:tab/>
        <w:t>IGNORE_CASE = true;</w:t>
      </w:r>
    </w:p>
    <w:p w14:paraId="42CA14CE" w14:textId="77777777" w:rsidR="008E404F" w:rsidRDefault="001064AF">
      <w:pPr>
        <w:rPr>
          <w:i/>
          <w:iCs/>
        </w:rPr>
      </w:pPr>
      <w:r>
        <w:rPr>
          <w:i/>
          <w:iCs/>
        </w:rPr>
        <w:t>}</w:t>
      </w:r>
    </w:p>
    <w:p w14:paraId="5D8D0D4F" w14:textId="77777777" w:rsidR="008E404F" w:rsidRDefault="001064AF">
      <w:pPr>
        <w:pStyle w:val="Subtitle"/>
        <w:rPr>
          <w:u w:val="single"/>
        </w:rPr>
      </w:pPr>
      <w:r>
        <w:rPr>
          <w:u w:val="single"/>
        </w:rPr>
        <w:t>User Code:</w:t>
      </w:r>
    </w:p>
    <w:p w14:paraId="07446DD0" w14:textId="77777777" w:rsidR="008E404F" w:rsidRDefault="001064AF">
      <w:r>
        <w:t>The next section was the user code which must begin by declaring the name of the parser, I called my parser CCALTokeniser.</w:t>
      </w:r>
    </w:p>
    <w:p w14:paraId="67357D6E" w14:textId="77777777" w:rsidR="008E404F" w:rsidRDefault="001064AF">
      <w:pPr>
        <w:rPr>
          <w:i/>
          <w:iCs/>
        </w:rPr>
      </w:pPr>
      <w:r>
        <w:rPr>
          <w:i/>
          <w:iCs/>
        </w:rPr>
        <w:t>PARSER_BEGIN(CCALToke</w:t>
      </w:r>
      <w:r>
        <w:rPr>
          <w:i/>
          <w:iCs/>
        </w:rPr>
        <w:t>niser)</w:t>
      </w:r>
    </w:p>
    <w:p w14:paraId="0A19DFFF" w14:textId="77777777" w:rsidR="008E404F" w:rsidRDefault="001064AF">
      <w:r>
        <w:t>Then the class needs to be called the same name as the parser so in my case it will be:</w:t>
      </w:r>
    </w:p>
    <w:p w14:paraId="1DB2F6DB" w14:textId="77777777" w:rsidR="008E404F" w:rsidRDefault="001064AF">
      <w:pPr>
        <w:rPr>
          <w:i/>
          <w:iCs/>
        </w:rPr>
      </w:pPr>
      <w:r>
        <w:rPr>
          <w:i/>
          <w:iCs/>
        </w:rPr>
        <w:t>public class CCALTokeniser</w:t>
      </w:r>
    </w:p>
    <w:p w14:paraId="75B4F264" w14:textId="75D3833D" w:rsidR="008E404F" w:rsidRDefault="001064AF">
      <w:r>
        <w:t xml:space="preserve">The rest of the user code initialises the parser if the input file is passed as command line arg. </w:t>
      </w:r>
      <w:r>
        <w:t>If</w:t>
      </w:r>
      <w:r>
        <w:t xml:space="preserve"> the input file is </w:t>
      </w:r>
      <w:r>
        <w:t xml:space="preserve">not </w:t>
      </w:r>
      <w:r>
        <w:t xml:space="preserve">correct or </w:t>
      </w:r>
      <w:r>
        <w:t>another error occurs, it will return the correct syntax to run the file.</w:t>
      </w:r>
      <w:r w:rsidR="008239AA">
        <w:t xml:space="preserve"> There are also a few lines at the end which return if the file parsed correctly or did not parse correctly </w:t>
      </w:r>
    </w:p>
    <w:p w14:paraId="39C3E76E" w14:textId="77777777" w:rsidR="008E404F" w:rsidRDefault="001064AF">
      <w:pPr>
        <w:pStyle w:val="Subtitle"/>
        <w:rPr>
          <w:u w:val="single"/>
        </w:rPr>
      </w:pPr>
      <w:r>
        <w:rPr>
          <w:u w:val="single"/>
        </w:rPr>
        <w:t>Token Definitions:</w:t>
      </w:r>
    </w:p>
    <w:p w14:paraId="2B923F9A" w14:textId="77777777" w:rsidR="008E404F" w:rsidRDefault="001064AF">
      <w:r>
        <w:t xml:space="preserve">The next section consists of the definitions for the language CCAL. All these definitions came from the CCAL.pdf file provided. It was just a matter of going in </w:t>
      </w:r>
      <w:r>
        <w:t>and adding in each definition. Each type of token is denoted by a comment Title. This was to mak</w:t>
      </w:r>
      <w:bookmarkStart w:id="0" w:name="_GoBack"/>
      <w:bookmarkEnd w:id="0"/>
      <w:r>
        <w:t xml:space="preserve">e it easier to find and edit the tokens if the need ever arose. </w:t>
      </w:r>
    </w:p>
    <w:p w14:paraId="249ECC37" w14:textId="77777777" w:rsidR="008E404F" w:rsidRDefault="001064AF">
      <w:r>
        <w:t>This need did arise when defining the &lt;SKIP&gt; token. It clashed with the regular expression that</w:t>
      </w:r>
      <w:r>
        <w:t xml:space="preserve"> the CCAL language used for skipping characters. The method I used to get around this was to call it &lt;SKIPTOKEN&gt;</w:t>
      </w:r>
    </w:p>
    <w:p w14:paraId="7B0D2894" w14:textId="77777777" w:rsidR="008E404F" w:rsidRDefault="008E404F"/>
    <w:p w14:paraId="42DAA45C" w14:textId="77777777" w:rsidR="008E404F" w:rsidRDefault="001064AF">
      <w:pPr>
        <w:pStyle w:val="Subtitle"/>
        <w:rPr>
          <w:u w:val="single"/>
        </w:rPr>
      </w:pPr>
      <w:r>
        <w:rPr>
          <w:u w:val="single"/>
        </w:rPr>
        <w:t>Grammar &amp; Production Rules:</w:t>
      </w:r>
    </w:p>
    <w:p w14:paraId="58E03B28" w14:textId="77777777" w:rsidR="008E404F" w:rsidRDefault="001064AF">
      <w:r>
        <w:lastRenderedPageBreak/>
        <w:t>The production rules for this parser were written to correspond to the ones given in the CCAL.pdf. They were later</w:t>
      </w:r>
      <w:r>
        <w:t xml:space="preserve"> edited to resolve any errors that were found during the compilation and later running of the parser. Any occurrences of the symbol that denotes epsilon (</w:t>
      </w:r>
      <w:r>
        <w:rPr>
          <w:b/>
          <w:bCs/>
          <w:lang w:val="el-GR"/>
        </w:rPr>
        <w:t>ϵ</w:t>
      </w:r>
      <w:r>
        <w:t>) has been replaced with {} which denotes the empty set.</w:t>
      </w:r>
    </w:p>
    <w:p w14:paraId="2D4A504A" w14:textId="77777777" w:rsidR="008E404F" w:rsidRDefault="001064AF">
      <w:r>
        <w:t>After the production rules were written I we</w:t>
      </w:r>
      <w:r>
        <w:t>nt back to fix any syntax errors that were introduced while writing the grammar. I then had to deal with the 2 left recursion warnings that found in the condition function and in the expression function.</w:t>
      </w:r>
    </w:p>
    <w:p w14:paraId="16F6E9CC" w14:textId="77777777" w:rsidR="008E404F" w:rsidRDefault="001064AF">
      <w:r>
        <w:t xml:space="preserve">The left recursion in the expression </w:t>
      </w:r>
      <w:r>
        <w:t xml:space="preserve">function ( expression </w:t>
      </w:r>
      <w:r>
        <w:rPr>
          <w:rFonts w:cs="Calibri"/>
          <w:color w:val="000000"/>
        </w:rPr>
        <w:t xml:space="preserve">→ function → expression) I put the definition in the fragment function into the expression function </w:t>
      </w:r>
      <w:proofErr w:type="spellStart"/>
      <w:r>
        <w:rPr>
          <w:rFonts w:cs="Calibri"/>
          <w:color w:val="000000"/>
        </w:rPr>
        <w:t>the</w:t>
      </w:r>
      <w:proofErr w:type="spellEnd"/>
      <w:r>
        <w:rPr>
          <w:rFonts w:cs="Calibri"/>
          <w:color w:val="000000"/>
        </w:rPr>
        <w:t xml:space="preserve"> and then called expression inside of fragment and this allowed me to clearly identify the alpha and beta in the function and then </w:t>
      </w:r>
      <w:r>
        <w:rPr>
          <w:rFonts w:cs="Calibri"/>
          <w:color w:val="000000"/>
        </w:rPr>
        <w:t xml:space="preserve">apply the method to eliminate the left recursion </w:t>
      </w:r>
    </w:p>
    <w:p w14:paraId="1973F275" w14:textId="77777777" w:rsidR="008E404F" w:rsidRDefault="001064AF">
      <w:r>
        <w:rPr>
          <w:noProof/>
        </w:rPr>
        <w:drawing>
          <wp:inline distT="0" distB="0" distL="0" distR="0" wp14:anchorId="57A82F43" wp14:editId="6A2A088F">
            <wp:extent cx="3620301" cy="3312660"/>
            <wp:effectExtent l="0" t="0" r="0" b="20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301" cy="33126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292097" w14:textId="77777777" w:rsidR="008E404F" w:rsidRDefault="008E404F"/>
    <w:p w14:paraId="14D3E92B" w14:textId="77777777" w:rsidR="008E404F" w:rsidRDefault="008E404F"/>
    <w:p w14:paraId="20A4E5D3" w14:textId="77777777" w:rsidR="008E404F" w:rsidRDefault="008E404F"/>
    <w:p w14:paraId="711182E7" w14:textId="77777777" w:rsidR="008E404F" w:rsidRDefault="008E404F"/>
    <w:p w14:paraId="47D7BB0C" w14:textId="77777777" w:rsidR="008E404F" w:rsidRDefault="008E404F"/>
    <w:p w14:paraId="3A2FA130" w14:textId="77777777" w:rsidR="008E404F" w:rsidRDefault="008E404F"/>
    <w:p w14:paraId="50478282" w14:textId="77777777" w:rsidR="008E404F" w:rsidRDefault="008E404F"/>
    <w:p w14:paraId="6266876C" w14:textId="77777777" w:rsidR="008E404F" w:rsidRDefault="008E404F"/>
    <w:p w14:paraId="12661E0B" w14:textId="77777777" w:rsidR="008E404F" w:rsidRDefault="008E404F"/>
    <w:p w14:paraId="729B3D5F" w14:textId="77777777" w:rsidR="008E404F" w:rsidRDefault="008E404F"/>
    <w:p w14:paraId="488E5A40" w14:textId="77777777" w:rsidR="008E404F" w:rsidRDefault="001064AF">
      <w:r>
        <w:lastRenderedPageBreak/>
        <w:t xml:space="preserve">The left recursion in the condition function (condition </w:t>
      </w:r>
      <w:r>
        <w:rPr>
          <w:rFonts w:cs="Calibri"/>
          <w:color w:val="000000"/>
        </w:rPr>
        <w:t>→ condition) was fixed by splitting up the condition function and then editing the original function</w:t>
      </w:r>
    </w:p>
    <w:p w14:paraId="18292317" w14:textId="77777777" w:rsidR="008E404F" w:rsidRDefault="001064AF">
      <w:r>
        <w:rPr>
          <w:noProof/>
        </w:rPr>
        <w:drawing>
          <wp:inline distT="0" distB="0" distL="0" distR="0" wp14:anchorId="69975361" wp14:editId="6D668C9F">
            <wp:extent cx="3857945" cy="2798905"/>
            <wp:effectExtent l="0" t="0" r="9205" b="144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945" cy="27989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33FB06" w14:textId="77777777" w:rsidR="008E404F" w:rsidRDefault="008E404F"/>
    <w:p w14:paraId="4E3214EF" w14:textId="77777777" w:rsidR="008E404F" w:rsidRDefault="001064AF">
      <w:pPr>
        <w:pStyle w:val="Subtitle"/>
        <w:rPr>
          <w:u w:val="single"/>
        </w:rPr>
      </w:pPr>
      <w:r>
        <w:rPr>
          <w:u w:val="single"/>
        </w:rPr>
        <w:t>Choice Conflicts:</w:t>
      </w:r>
    </w:p>
    <w:p w14:paraId="7259E31F" w14:textId="77777777" w:rsidR="008E404F" w:rsidRDefault="001064AF">
      <w:r>
        <w:t>Due to the ambig</w:t>
      </w:r>
      <w:r>
        <w:t xml:space="preserve">uous nature of the CCAL language there was </w:t>
      </w:r>
      <w:proofErr w:type="gramStart"/>
      <w:r>
        <w:t>a number of</w:t>
      </w:r>
      <w:proofErr w:type="gramEnd"/>
      <w:r>
        <w:t xml:space="preserve"> choice conflicts that would need to be resolved in order to be able to parse files. This was done by using lookaheads. There was a few ways of doing this such as using a higher number of look ahead suc</w:t>
      </w:r>
      <w:r>
        <w:t>h as LOOKAHEAD(2) or even LOOKAHEAD(3) but I found this to be unnecessary as if the LOOKAHEAD is placed in an effective spot then it only needs to be a lookahead of 1.</w:t>
      </w:r>
    </w:p>
    <w:p w14:paraId="7D6B1558" w14:textId="77777777" w:rsidR="008E404F" w:rsidRDefault="008E404F"/>
    <w:p w14:paraId="101EBF31" w14:textId="77777777" w:rsidR="008E404F" w:rsidRDefault="008E404F"/>
    <w:p w14:paraId="069975C6" w14:textId="77777777" w:rsidR="008E404F" w:rsidRDefault="008E404F"/>
    <w:p w14:paraId="4847DE88" w14:textId="77777777" w:rsidR="008E404F" w:rsidRDefault="001064AF">
      <w:pPr>
        <w:pStyle w:val="Subtitle"/>
        <w:rPr>
          <w:u w:val="single"/>
        </w:rPr>
      </w:pPr>
      <w:r>
        <w:rPr>
          <w:u w:val="single"/>
        </w:rPr>
        <w:t>Running the files:</w:t>
      </w:r>
    </w:p>
    <w:p w14:paraId="0830EAB1" w14:textId="77777777" w:rsidR="008E404F" w:rsidRDefault="001064AF">
      <w:r>
        <w:t>The first thing that needs to be done is to compile the “Assignmen</w:t>
      </w:r>
      <w:r>
        <w:t>t1.javacc” by running the command “</w:t>
      </w:r>
      <w:r>
        <w:rPr>
          <w:i/>
          <w:iCs/>
        </w:rPr>
        <w:t xml:space="preserve">javacc Assignment1.javacc”. </w:t>
      </w:r>
      <w:r>
        <w:t xml:space="preserve">Doing so will then create any of the necessary files needed. The next this step is to compile the file called “CCALTokeniser.java2 by running the command </w:t>
      </w:r>
      <w:proofErr w:type="gramStart"/>
      <w:r>
        <w:t xml:space="preserve">   </w:t>
      </w:r>
      <w:r>
        <w:rPr>
          <w:i/>
          <w:iCs/>
        </w:rPr>
        <w:t>“</w:t>
      </w:r>
      <w:proofErr w:type="gramEnd"/>
      <w:r>
        <w:rPr>
          <w:i/>
          <w:iCs/>
        </w:rPr>
        <w:t xml:space="preserve">javac CCALTokeniser.java”. </w:t>
      </w:r>
      <w:r>
        <w:t>The fina</w:t>
      </w:r>
      <w:r>
        <w:t>l step is to run the run the parser by running the command “</w:t>
      </w:r>
      <w:r>
        <w:rPr>
          <w:i/>
          <w:iCs/>
        </w:rPr>
        <w:t xml:space="preserve">java CCALTokeniser”. </w:t>
      </w:r>
      <w:r>
        <w:t xml:space="preserve">You can also read in a file for the parser to pass by running </w:t>
      </w:r>
      <w:r>
        <w:rPr>
          <w:i/>
          <w:iCs/>
        </w:rPr>
        <w:t>“java CCALTokeniser (someinputfile)”</w:t>
      </w:r>
    </w:p>
    <w:sectPr w:rsidR="008E404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A6094" w14:textId="77777777" w:rsidR="001064AF" w:rsidRDefault="001064AF">
      <w:pPr>
        <w:spacing w:after="0" w:line="240" w:lineRule="auto"/>
      </w:pPr>
      <w:r>
        <w:separator/>
      </w:r>
    </w:p>
  </w:endnote>
  <w:endnote w:type="continuationSeparator" w:id="0">
    <w:p w14:paraId="4A6D374C" w14:textId="77777777" w:rsidR="001064AF" w:rsidRDefault="0010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47551" w14:textId="77777777" w:rsidR="001064AF" w:rsidRDefault="001064A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3008D3" w14:textId="77777777" w:rsidR="001064AF" w:rsidRDefault="0010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A4B79"/>
    <w:multiLevelType w:val="multilevel"/>
    <w:tmpl w:val="4C56E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E404F"/>
    <w:rsid w:val="001064AF"/>
    <w:rsid w:val="008239AA"/>
    <w:rsid w:val="008E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621D"/>
  <w15:docId w15:val="{FC6ECBEA-25E5-4D63-804D-B1643CFA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rPr>
      <w:rFonts w:eastAsia="Times New Roman"/>
      <w:color w:val="5A5A5A"/>
      <w:spacing w:val="15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IE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4.dcu.ie/students/az/plagiaris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cu.ie/info/regulations/plagiarism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Mykl .</dc:creator>
  <dc:description/>
  <cp:lastModifiedBy>Mykl .</cp:lastModifiedBy>
  <cp:revision>2</cp:revision>
  <dcterms:created xsi:type="dcterms:W3CDTF">2019-11-04T00:40:00Z</dcterms:created>
  <dcterms:modified xsi:type="dcterms:W3CDTF">2019-11-04T00:40:00Z</dcterms:modified>
</cp:coreProperties>
</file>