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508FBE31" w:rsidR="000F3C35" w:rsidRPr="00AA6445" w:rsidRDefault="000F3C35" w:rsidP="001079FF">
      <w:pPr>
        <w:pStyle w:val="NoSpacing"/>
        <w:rPr>
          <w:rFonts w:ascii="Times New Roman" w:hAnsi="Times New Roman" w:cs="Times New Roman"/>
          <w:b/>
          <w:bCs/>
          <w:sz w:val="30"/>
          <w:szCs w:val="30"/>
        </w:rPr>
      </w:pPr>
      <w:r w:rsidRPr="00AA6445">
        <w:rPr>
          <w:rFonts w:ascii="Times New Roman" w:hAnsi="Times New Roman" w:cs="Times New Roman"/>
          <w:b/>
          <w:bCs/>
          <w:sz w:val="30"/>
          <w:szCs w:val="30"/>
        </w:rPr>
        <w:t>Proposal</w:t>
      </w:r>
      <w:r w:rsidR="00C65A68">
        <w:rPr>
          <w:rFonts w:ascii="Times New Roman" w:hAnsi="Times New Roman" w:cs="Times New Roman"/>
          <w:b/>
          <w:bCs/>
          <w:sz w:val="30"/>
          <w:szCs w:val="30"/>
        </w:rPr>
        <w:t xml:space="preserve"> for 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77777777"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10/03/2023 by Tom Lever</w:t>
      </w:r>
    </w:p>
    <w:p w14:paraId="10C11A8F" w14:textId="5440561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10/</w:t>
      </w:r>
      <w:r w:rsidR="00C47C22" w:rsidRPr="001079FF">
        <w:rPr>
          <w:rFonts w:ascii="Times New Roman" w:hAnsi="Times New Roman" w:cs="Times New Roman"/>
          <w:sz w:val="24"/>
          <w:szCs w:val="24"/>
        </w:rPr>
        <w:t>14</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015184AA" w14:textId="22047503" w:rsidR="00C65A68" w:rsidRPr="001079FF" w:rsidRDefault="00C65A68" w:rsidP="001079FF">
      <w:pPr>
        <w:pStyle w:val="NoSpacing"/>
        <w:rPr>
          <w:rFonts w:ascii="Times New Roman" w:hAnsi="Times New Roman" w:cs="Times New Roman"/>
          <w:sz w:val="24"/>
          <w:szCs w:val="24"/>
        </w:rPr>
      </w:pPr>
      <w:r>
        <w:rPr>
          <w:rFonts w:ascii="Times New Roman" w:hAnsi="Times New Roman" w:cs="Times New Roman"/>
          <w:sz w:val="24"/>
          <w:szCs w:val="24"/>
        </w:rPr>
        <w:t>According to Dr. Bill Basener,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4D8E52DC"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I propose to work with Naomi Ohashi to develop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will receive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777777"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Our predictor will receive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7DFFFA3C" w14:textId="688F5630" w:rsidR="00B36A78"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can be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Such numerical representations include 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C44574">
        <w:rPr>
          <w:rFonts w:ascii="Times New Roman" w:eastAsiaTheme="minorEastAsia" w:hAnsi="Times New Roman" w:cs="Times New Roman"/>
          <w:sz w:val="24"/>
          <w:szCs w:val="24"/>
        </w:rPr>
        <w:t xml:space="preserve"> or a fingerprint</w:t>
      </w:r>
      <w:r w:rsidRPr="001079FF">
        <w:rPr>
          <w:rFonts w:ascii="Times New Roman" w:eastAsiaTheme="minorEastAsia" w:hAnsi="Times New Roman" w:cs="Times New Roman"/>
          <w:sz w:val="24"/>
          <w:szCs w:val="24"/>
        </w:rPr>
        <w:t>.</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821126">
        <w:rPr>
          <w:rFonts w:ascii="Times New Roman" w:eastAsiaTheme="minorEastAsia" w:hAnsi="Times New Roman" w:cs="Times New Roman"/>
          <w:sz w:val="24"/>
          <w:szCs w:val="24"/>
        </w:rPr>
        <w:t xml:space="preserve"> A Morgan-2 vector of counts is a related to a radius of </w:t>
      </w:r>
      <m:oMath>
        <m:r>
          <w:rPr>
            <w:rFonts w:ascii="Cambria Math" w:eastAsiaTheme="minorEastAsia" w:hAnsi="Cambria Math" w:cs="Times New Roman"/>
            <w:sz w:val="24"/>
            <w:szCs w:val="24"/>
          </w:rPr>
          <m:t>2</m:t>
        </m:r>
      </m:oMath>
      <w:r w:rsidR="00821126">
        <w:rPr>
          <w:rFonts w:ascii="Times New Roman" w:eastAsiaTheme="minorEastAsia" w:hAnsi="Times New Roman" w:cs="Times New Roman"/>
          <w:sz w:val="24"/>
          <w:szCs w:val="24"/>
        </w:rPr>
        <w:t>.</w:t>
      </w:r>
      <w:r w:rsidR="00865A48">
        <w:rPr>
          <w:rFonts w:ascii="Times New Roman" w:eastAsiaTheme="minorEastAsia" w:hAnsi="Times New Roman" w:cs="Times New Roman"/>
          <w:sz w:val="24"/>
          <w:szCs w:val="24"/>
        </w:rPr>
        <w:t xml:space="preserve"> Other radii include </w:t>
      </w:r>
      <m:oMath>
        <m:r>
          <w:rPr>
            <w:rFonts w:ascii="Cambria Math" w:eastAsiaTheme="minorEastAsia" w:hAnsi="Cambria Math" w:cs="Times New Roman"/>
            <w:sz w:val="24"/>
            <w:szCs w:val="24"/>
          </w:rPr>
          <m:t>0</m:t>
        </m:r>
      </m:oMath>
      <w:r w:rsidR="00865A4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00865A48">
        <w:rPr>
          <w:rFonts w:ascii="Times New Roman" w:eastAsiaTheme="minorEastAsia" w:hAnsi="Times New Roman" w:cs="Times New Roman"/>
          <w:sz w:val="24"/>
          <w:szCs w:val="24"/>
        </w:rPr>
        <w:t>.</w:t>
      </w:r>
      <w:r w:rsidR="00B47354">
        <w:rPr>
          <w:rFonts w:ascii="Times New Roman" w:eastAsiaTheme="minorEastAsia" w:hAnsi="Times New Roman" w:cs="Times New Roman"/>
          <w:sz w:val="24"/>
          <w:szCs w:val="24"/>
        </w:rPr>
        <w:t xml:space="preserve"> A fingerprint is a vector of </w:t>
      </w:r>
      <m:oMath>
        <m:r>
          <w:rPr>
            <w:rFonts w:ascii="Cambria Math" w:eastAsiaTheme="minorEastAsia" w:hAnsi="Cambria Math" w:cs="Times New Roman"/>
            <w:sz w:val="24"/>
            <w:szCs w:val="24"/>
          </w:rPr>
          <m:t>0</m:t>
        </m:r>
      </m:oMath>
      <w:r w:rsidR="00B47354">
        <w:rPr>
          <w:rFonts w:ascii="Times New Roman" w:eastAsiaTheme="minorEastAsia" w:hAnsi="Times New Roman" w:cs="Times New Roman"/>
          <w:sz w:val="24"/>
          <w:szCs w:val="24"/>
        </w:rPr>
        <w:t xml:space="preserve">’s and </w:t>
      </w:r>
      <m:oMath>
        <m:r>
          <w:rPr>
            <w:rFonts w:ascii="Cambria Math" w:eastAsiaTheme="minorEastAsia" w:hAnsi="Cambria Math" w:cs="Times New Roman"/>
            <w:sz w:val="24"/>
            <w:szCs w:val="24"/>
          </w:rPr>
          <m:t>1</m:t>
        </m:r>
      </m:oMath>
      <w:r w:rsidR="00B47354">
        <w:rPr>
          <w:rFonts w:ascii="Times New Roman" w:eastAsiaTheme="minorEastAsia" w:hAnsi="Times New Roman" w:cs="Times New Roman"/>
          <w:sz w:val="24"/>
          <w:szCs w:val="24"/>
        </w:rPr>
        <w:t>’s.</w:t>
      </w:r>
      <w:r w:rsidR="00A62412">
        <w:rPr>
          <w:rFonts w:ascii="Times New Roman" w:eastAsiaTheme="minorEastAsia" w:hAnsi="Times New Roman" w:cs="Times New Roman"/>
          <w:sz w:val="24"/>
          <w:szCs w:val="24"/>
        </w:rPr>
        <w:t xml:space="preserve"> A vector of counts</w:t>
      </w:r>
      <w:r w:rsidR="002A5D08">
        <w:rPr>
          <w:rFonts w:ascii="Times New Roman" w:eastAsiaTheme="minorEastAsia" w:hAnsi="Times New Roman" w:cs="Times New Roman"/>
          <w:sz w:val="24"/>
          <w:szCs w:val="24"/>
        </w:rPr>
        <w:t xml:space="preserve"> that is sparse</w:t>
      </w:r>
      <w:r w:rsidR="00A62412">
        <w:rPr>
          <w:rFonts w:ascii="Times New Roman" w:eastAsiaTheme="minorEastAsia" w:hAnsi="Times New Roman" w:cs="Times New Roman"/>
          <w:sz w:val="24"/>
          <w:szCs w:val="24"/>
        </w:rPr>
        <w:t xml:space="preserve"> can be folded into a vector of 1024 or 2048 counts.</w:t>
      </w:r>
    </w:p>
    <w:p w14:paraId="27F3774D" w14:textId="77777777" w:rsidR="004659E6" w:rsidRDefault="004659E6" w:rsidP="001079FF">
      <w:pPr>
        <w:pStyle w:val="NoSpacing"/>
        <w:rPr>
          <w:rFonts w:ascii="Times New Roman" w:eastAsiaTheme="minorEastAsia" w:hAnsi="Times New Roman" w:cs="Times New Roman"/>
          <w:sz w:val="24"/>
          <w:szCs w:val="24"/>
        </w:rPr>
      </w:pPr>
    </w:p>
    <w:p w14:paraId="1840A566" w14:textId="0316049D" w:rsidR="004659E6" w:rsidRDefault="004659E6"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Exploring Change In Molar Gibbs Free Energy below.</w:t>
      </w:r>
    </w:p>
    <w:p w14:paraId="4F83D5A2" w14:textId="77777777" w:rsidR="004659E6" w:rsidRDefault="004659E6" w:rsidP="001079FF">
      <w:pPr>
        <w:pStyle w:val="NoSpacing"/>
        <w:rPr>
          <w:rFonts w:ascii="Times New Roman" w:eastAsiaTheme="minorEastAsia" w:hAnsi="Times New Roman" w:cs="Times New Roman"/>
          <w:sz w:val="24"/>
          <w:szCs w:val="24"/>
        </w:rPr>
      </w:pPr>
    </w:p>
    <w:p w14:paraId="7179B7C2" w14:textId="77777777" w:rsidR="00331837" w:rsidRPr="004659E6" w:rsidRDefault="00331837" w:rsidP="00331837">
      <w:pPr>
        <w:pStyle w:val="NoSpacing"/>
        <w:rPr>
          <w:rFonts w:ascii="Times New Roman" w:eastAsia="Times New Roman" w:hAnsi="Times New Roman" w:cs="Times New Roman"/>
          <w:color w:val="000000"/>
          <w:kern w:val="0"/>
          <w:sz w:val="24"/>
          <w:szCs w:val="24"/>
          <w14:ligatures w14:val="none"/>
        </w:rPr>
      </w:pPr>
      <w:r w:rsidRPr="001079FF">
        <w:rPr>
          <w:rFonts w:ascii="Times New Roman" w:eastAsiaTheme="minorEastAsia" w:hAnsi="Times New Roman" w:cs="Times New Roman"/>
          <w:sz w:val="24"/>
          <w:szCs w:val="24"/>
        </w:rPr>
        <w:t xml:space="preserve">I propose that </w:t>
      </w:r>
      <w:r w:rsidRPr="001079FF">
        <w:rPr>
          <w:rFonts w:ascii="Times New Roman" w:eastAsia="Times New Roman" w:hAnsi="Times New Roman" w:cs="Times New Roman"/>
          <w:color w:val="000000"/>
          <w:kern w:val="0"/>
          <w:sz w:val="24"/>
          <w:szCs w:val="24"/>
          <w14:ligatures w14:val="none"/>
        </w:rPr>
        <w:t>Data_Frame_Of_SMILESs_Docking_Scores_And_Other_Data.csv (DFSDSAOD) be our data set. DFSDSAOD is associated with one protein and with one site of that protein at which ligands bind. Each row in DFSDSAOD encapsulates data relating to a ligand docking to the protein. There is one ligand per row. There is one row per ligand. Each row has an Entry ID. There is one Entry ID per ligand. There is one ligand per Entry ID.</w:t>
      </w:r>
    </w:p>
    <w:p w14:paraId="0319024B" w14:textId="77777777" w:rsidR="00331837" w:rsidRDefault="00331837" w:rsidP="001079FF">
      <w:pPr>
        <w:pStyle w:val="NoSpacing"/>
        <w:rPr>
          <w:rFonts w:ascii="Times New Roman" w:eastAsiaTheme="minorEastAsia" w:hAnsi="Times New Roman" w:cs="Times New Roman"/>
          <w:sz w:val="24"/>
          <w:szCs w:val="24"/>
        </w:rPr>
      </w:pPr>
    </w:p>
    <w:p w14:paraId="32493D2F" w14:textId="31EABF2F" w:rsidR="00331837" w:rsidRDefault="0033183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feature matrix could be constructed with each row being a vector of counts. Alternately, the columns of our feature matrix could be columns of chemical properties of ligands</w:t>
      </w:r>
      <w:r w:rsidR="00865A48">
        <w:rPr>
          <w:rFonts w:ascii="Times New Roman" w:eastAsiaTheme="minorEastAsia" w:hAnsi="Times New Roman" w:cs="Times New Roman"/>
          <w:sz w:val="24"/>
          <w:szCs w:val="24"/>
        </w:rPr>
        <w:t xml:space="preserve"> (e.g.,</w:t>
      </w:r>
      <w:r w:rsidR="00936A00">
        <w:rPr>
          <w:rFonts w:ascii="Times New Roman" w:eastAsiaTheme="minorEastAsia" w:hAnsi="Times New Roman" w:cs="Times New Roman"/>
          <w:sz w:val="24"/>
          <w:szCs w:val="24"/>
        </w:rPr>
        <w:t xml:space="preserve"> ten columns including</w:t>
      </w:r>
      <w:r w:rsidR="00865A48">
        <w:rPr>
          <w:rFonts w:ascii="Times New Roman" w:eastAsiaTheme="minorEastAsia" w:hAnsi="Times New Roman" w:cs="Times New Roman"/>
          <w:sz w:val="24"/>
          <w:szCs w:val="24"/>
        </w:rPr>
        <w:t xml:space="preserve"> molecular weight, LogP, volume, number of hydrogen-bond donors, number of hydrogen-bond acceptors)</w:t>
      </w:r>
      <w:r>
        <w:rPr>
          <w:rFonts w:ascii="Times New Roman" w:eastAsiaTheme="minorEastAsia" w:hAnsi="Times New Roman" w:cs="Times New Roman"/>
          <w:sz w:val="24"/>
          <w:szCs w:val="24"/>
        </w:rPr>
        <w:t>.</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1DE5C2E6" w14:textId="29C24DD9" w:rsidR="00DE26C2"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may train and predict with a Bayesian Additive Decision Trees (BART) model</w:t>
      </w:r>
      <w:r w:rsidR="007638B1">
        <w:rPr>
          <w:rFonts w:ascii="Times New Roman" w:eastAsiaTheme="minorEastAsia" w:hAnsi="Times New Roman" w:cs="Times New Roman"/>
          <w:sz w:val="24"/>
          <w:szCs w:val="24"/>
        </w:rPr>
        <w:t xml:space="preserve"> based on Python package </w:t>
      </w:r>
      <w:r w:rsidR="007638B1" w:rsidRPr="007638B1">
        <w:rPr>
          <w:rFonts w:ascii="Times New Roman" w:eastAsiaTheme="minorEastAsia" w:hAnsi="Times New Roman" w:cs="Times New Roman"/>
          <w:i/>
          <w:iCs/>
          <w:sz w:val="24"/>
          <w:szCs w:val="24"/>
        </w:rPr>
        <w:t>openbt</w:t>
      </w:r>
      <w:r>
        <w:rPr>
          <w:rFonts w:ascii="Times New Roman" w:eastAsiaTheme="minorEastAsia" w:hAnsi="Times New Roman" w:cs="Times New Roman"/>
          <w:sz w:val="24"/>
          <w:szCs w:val="24"/>
        </w:rPr>
        <w:t xml:space="preserve">. Interestingly, in the original paper </w:t>
      </w:r>
      <w:r w:rsidRPr="0040213A">
        <w:rPr>
          <w:rFonts w:ascii="Times New Roman" w:eastAsiaTheme="minorEastAsia" w:hAnsi="Times New Roman" w:cs="Times New Roman"/>
          <w:i/>
          <w:iCs/>
          <w:sz w:val="24"/>
          <w:szCs w:val="24"/>
        </w:rPr>
        <w:t>BART: Bayesian Additive Regression Trees</w:t>
      </w:r>
      <w:r>
        <w:rPr>
          <w:rFonts w:ascii="Times New Roman" w:eastAsiaTheme="minorEastAsia" w:hAnsi="Times New Roman" w:cs="Times New Roman"/>
          <w:sz w:val="24"/>
          <w:szCs w:val="24"/>
        </w:rPr>
        <w:t>, “BART’s many features are illustrated with a bake-off against competing methods of 42 different datasets, with a simulation experiment and on a drug discover classification problem.”</w:t>
      </w:r>
      <w:r w:rsidR="00CB1E81">
        <w:rPr>
          <w:rFonts w:ascii="Times New Roman" w:eastAsiaTheme="minorEastAsia" w:hAnsi="Times New Roman" w:cs="Times New Roman"/>
          <w:sz w:val="24"/>
          <w:szCs w:val="24"/>
        </w:rPr>
        <w:t xml:space="preserve"> </w:t>
      </w:r>
      <w:r w:rsidR="00FC70C8">
        <w:rPr>
          <w:rFonts w:ascii="Times New Roman" w:eastAsiaTheme="minorEastAsia" w:hAnsi="Times New Roman" w:cs="Times New Roman"/>
          <w:sz w:val="24"/>
          <w:szCs w:val="24"/>
        </w:rPr>
        <w:t xml:space="preserve">We may employ a histogram of predictions of Random-Forest models. </w:t>
      </w:r>
      <w:r w:rsidR="00FC16D5">
        <w:rPr>
          <w:rFonts w:ascii="Times New Roman" w:eastAsiaTheme="minorEastAsia" w:hAnsi="Times New Roman" w:cs="Times New Roman"/>
          <w:sz w:val="24"/>
          <w:szCs w:val="24"/>
        </w:rPr>
        <w:t xml:space="preserve">We may train and predict </w:t>
      </w:r>
      <w:r w:rsidR="00FC16D5">
        <w:rPr>
          <w:rFonts w:ascii="Times New Roman" w:eastAsiaTheme="minorEastAsia" w:hAnsi="Times New Roman" w:cs="Times New Roman"/>
          <w:sz w:val="24"/>
          <w:szCs w:val="24"/>
        </w:rPr>
        <w:lastRenderedPageBreak/>
        <w:t>with a Bayesian Linear Regression model.</w:t>
      </w:r>
      <w:r w:rsidR="00810315">
        <w:rPr>
          <w:rFonts w:ascii="Times New Roman" w:eastAsiaTheme="minorEastAsia" w:hAnsi="Times New Roman" w:cs="Times New Roman"/>
          <w:sz w:val="24"/>
          <w:szCs w:val="24"/>
        </w:rPr>
        <w:t xml:space="preserve"> We may calculate a posterior probability density distribution for the probability of a docking score given a vector of counts based on a likelihood density distribution for the likelihood of a vector of counts given a docking score and a prior probability (e.g., </w:t>
      </w:r>
      <m:oMath>
        <m:r>
          <w:rPr>
            <w:rFonts w:ascii="Cambria Math" w:eastAsiaTheme="minorEastAsia" w:hAnsi="Cambria Math" w:cs="Times New Roman"/>
            <w:sz w:val="24"/>
            <w:szCs w:val="24"/>
          </w:rPr>
          <m:t>0.5</m:t>
        </m:r>
      </m:oMath>
      <w:r w:rsidR="00810315">
        <w:rPr>
          <w:rFonts w:ascii="Times New Roman" w:eastAsiaTheme="minorEastAsia" w:hAnsi="Times New Roman" w:cs="Times New Roman"/>
          <w:sz w:val="24"/>
          <w:szCs w:val="24"/>
        </w:rPr>
        <w:t>).</w:t>
      </w:r>
      <w:r w:rsidR="000F731D">
        <w:rPr>
          <w:rFonts w:ascii="Times New Roman" w:eastAsiaTheme="minorEastAsia" w:hAnsi="Times New Roman" w:cs="Times New Roman"/>
          <w:sz w:val="24"/>
          <w:szCs w:val="24"/>
        </w:rPr>
        <w:t xml:space="preserve"> Such a likelihood density distribution might be a Gaussian distribution with number of dimensions equal to number of counts. I am uncertain how to condition such a distribution on a continuous docking score.</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5BC9D645"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 Rows of data representing docking of ligands could be sorted in descending order by predicted docking score. The top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6234ACA5"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w:t>
      </w:r>
      <w:r w:rsidR="003F4A67">
        <w:rPr>
          <w:rFonts w:ascii="Times New Roman" w:eastAsiaTheme="minorEastAsia" w:hAnsi="Times New Roman" w:cs="Times New Roman"/>
          <w:sz w:val="24"/>
          <w:szCs w:val="24"/>
        </w:rPr>
        <w:t>, estimate uncertainty,</w:t>
      </w:r>
      <w:r>
        <w:rPr>
          <w:rFonts w:ascii="Times New Roman" w:eastAsiaTheme="minorEastAsia" w:hAnsi="Times New Roman" w:cs="Times New Roman"/>
          <w:sz w:val="24"/>
          <w:szCs w:val="24"/>
        </w:rPr>
        <w:t xml:space="preserve"> or in optimization of hyperparameters of Bayesian models.</w:t>
      </w:r>
    </w:p>
    <w:p w14:paraId="33A05A46" w14:textId="77777777" w:rsidR="000D5D7B" w:rsidRDefault="000D5D7B" w:rsidP="001079FF">
      <w:pPr>
        <w:pStyle w:val="NoSpacing"/>
        <w:rPr>
          <w:rFonts w:ascii="Times New Roman" w:eastAsiaTheme="minorEastAsia" w:hAnsi="Times New Roman" w:cs="Times New Roman"/>
          <w:sz w:val="24"/>
          <w:szCs w:val="24"/>
        </w:rPr>
      </w:pPr>
    </w:p>
    <w:p w14:paraId="12B078E4" w14:textId="1C6A5B76" w:rsidR="00DE26C2" w:rsidRPr="00DE26C2" w:rsidRDefault="00DE26C2" w:rsidP="001079FF">
      <w:pPr>
        <w:pStyle w:val="NoSpacing"/>
        <w:rPr>
          <w:rFonts w:ascii="Times New Roman" w:eastAsiaTheme="minorEastAsia" w:hAnsi="Times New Roman" w:cs="Times New Roman"/>
          <w:i/>
          <w:iCs/>
          <w:sz w:val="24"/>
          <w:szCs w:val="24"/>
        </w:rPr>
      </w:pPr>
      <w:r w:rsidRPr="00DE26C2">
        <w:rPr>
          <w:rFonts w:ascii="Times New Roman" w:eastAsiaTheme="minorEastAsia" w:hAnsi="Times New Roman" w:cs="Times New Roman"/>
          <w:i/>
          <w:iCs/>
          <w:sz w:val="24"/>
          <w:szCs w:val="24"/>
        </w:rPr>
        <w:t>Explor</w:t>
      </w:r>
      <w:r>
        <w:rPr>
          <w:rFonts w:ascii="Times New Roman" w:eastAsiaTheme="minorEastAsia" w:hAnsi="Times New Roman" w:cs="Times New Roman"/>
          <w:i/>
          <w:iCs/>
          <w:sz w:val="24"/>
          <w:szCs w:val="24"/>
        </w:rPr>
        <w:t>ing</w:t>
      </w:r>
      <w:r w:rsidRPr="00DE26C2">
        <w:rPr>
          <w:rFonts w:ascii="Times New Roman" w:eastAsiaTheme="minorEastAsia" w:hAnsi="Times New Roman" w:cs="Times New Roman"/>
          <w:i/>
          <w:iCs/>
          <w:sz w:val="24"/>
          <w:szCs w:val="24"/>
        </w:rPr>
        <w:t xml:space="preserve"> Change In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of a compound is a measure of uncertainty, disorder, or mixedupness of the compound. The entropy measures the degree to which the probability of the compound being in a particular microstate is spread out over different microstates. A microstate specifies all molecular </w:t>
      </w:r>
      <w:r w:rsidRPr="001079FF">
        <w:rPr>
          <w:rFonts w:ascii="Times New Roman" w:eastAsiaTheme="minorEastAsia" w:hAnsi="Times New Roman" w:cs="Times New Roman"/>
          <w:sz w:val="24"/>
          <w:szCs w:val="24"/>
        </w:rPr>
        <w:lastRenderedPageBreak/>
        <w:t>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256A1"/>
    <w:rsid w:val="0003248A"/>
    <w:rsid w:val="000567E4"/>
    <w:rsid w:val="000735FD"/>
    <w:rsid w:val="000A1305"/>
    <w:rsid w:val="000B1149"/>
    <w:rsid w:val="000D5C2E"/>
    <w:rsid w:val="000D5D7B"/>
    <w:rsid w:val="000F3C35"/>
    <w:rsid w:val="000F731D"/>
    <w:rsid w:val="001030D3"/>
    <w:rsid w:val="001079FF"/>
    <w:rsid w:val="00134CD1"/>
    <w:rsid w:val="0018053A"/>
    <w:rsid w:val="00252997"/>
    <w:rsid w:val="00287688"/>
    <w:rsid w:val="002A5D08"/>
    <w:rsid w:val="002C5B09"/>
    <w:rsid w:val="002E324D"/>
    <w:rsid w:val="002F7878"/>
    <w:rsid w:val="00326225"/>
    <w:rsid w:val="00326893"/>
    <w:rsid w:val="00331837"/>
    <w:rsid w:val="0033507E"/>
    <w:rsid w:val="00351564"/>
    <w:rsid w:val="003B42C6"/>
    <w:rsid w:val="003F4A67"/>
    <w:rsid w:val="0040213A"/>
    <w:rsid w:val="00430DD1"/>
    <w:rsid w:val="004659E6"/>
    <w:rsid w:val="00491940"/>
    <w:rsid w:val="004C4344"/>
    <w:rsid w:val="004F1B68"/>
    <w:rsid w:val="005017A0"/>
    <w:rsid w:val="00580241"/>
    <w:rsid w:val="00593E90"/>
    <w:rsid w:val="005B2519"/>
    <w:rsid w:val="006C6CD1"/>
    <w:rsid w:val="007638B1"/>
    <w:rsid w:val="007B202E"/>
    <w:rsid w:val="007F51FD"/>
    <w:rsid w:val="00810315"/>
    <w:rsid w:val="00821126"/>
    <w:rsid w:val="008417C0"/>
    <w:rsid w:val="00865A48"/>
    <w:rsid w:val="00872115"/>
    <w:rsid w:val="008B6135"/>
    <w:rsid w:val="008B7E31"/>
    <w:rsid w:val="008C568E"/>
    <w:rsid w:val="008D087B"/>
    <w:rsid w:val="008E79C5"/>
    <w:rsid w:val="00936A00"/>
    <w:rsid w:val="00941D91"/>
    <w:rsid w:val="009B70C8"/>
    <w:rsid w:val="00A15AD2"/>
    <w:rsid w:val="00A37B20"/>
    <w:rsid w:val="00A62412"/>
    <w:rsid w:val="00A64528"/>
    <w:rsid w:val="00A65F39"/>
    <w:rsid w:val="00A66136"/>
    <w:rsid w:val="00AA6445"/>
    <w:rsid w:val="00B33F11"/>
    <w:rsid w:val="00B36A78"/>
    <w:rsid w:val="00B47354"/>
    <w:rsid w:val="00BF479D"/>
    <w:rsid w:val="00C326A9"/>
    <w:rsid w:val="00C44574"/>
    <w:rsid w:val="00C47C22"/>
    <w:rsid w:val="00C53F33"/>
    <w:rsid w:val="00C6071F"/>
    <w:rsid w:val="00C65A68"/>
    <w:rsid w:val="00CA0C15"/>
    <w:rsid w:val="00CB1E81"/>
    <w:rsid w:val="00CE5037"/>
    <w:rsid w:val="00D539F2"/>
    <w:rsid w:val="00DC78B6"/>
    <w:rsid w:val="00DD7ACD"/>
    <w:rsid w:val="00DE26C2"/>
    <w:rsid w:val="00E3133E"/>
    <w:rsid w:val="00E3194E"/>
    <w:rsid w:val="00E3492E"/>
    <w:rsid w:val="00EC5301"/>
    <w:rsid w:val="00ED5CE5"/>
    <w:rsid w:val="00EF4AB8"/>
    <w:rsid w:val="00F1162C"/>
    <w:rsid w:val="00F96FF5"/>
    <w:rsid w:val="00FB4DD9"/>
    <w:rsid w:val="00FC16D5"/>
    <w:rsid w:val="00F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76</cp:revision>
  <dcterms:created xsi:type="dcterms:W3CDTF">2023-10-04T02:29:00Z</dcterms:created>
  <dcterms:modified xsi:type="dcterms:W3CDTF">2023-10-14T16:50:00Z</dcterms:modified>
</cp:coreProperties>
</file>