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After completing a preparatory class, I enrolled at Télécom Paris where I deepened my technical knowledge and studied abroad at KTH in Stockholm. I was guided by the intuition that tomorrow's global revolution would be driven by technology, and I wanted to acquire in-depth knowledge in this field.</w:t>
      </w:r>
    </w:p>
    <w:p>
      <w:pPr>
        <w:spacing w:after="0"/>
      </w:pPr>
    </w:p>
    <w:p>
      <w:pPr>
        <w:spacing w:after="0"/>
      </w:pPr>
      <w:r>
        <w:t>My early professional career has given me the opportunity to work with high-level figures and in dynamic contexts, such as the energy crisis and the post-COVID pandemic. These experiences have allowed me to sharpen my Python skills while working with the modern data stack (check my GitHub: https://github.com/ohassanaly), crucial for the role at La Banque de France.</w:t>
      </w:r>
    </w:p>
    <w:p>
      <w:pPr>
        <w:spacing w:after="0"/>
      </w:pPr>
    </w:p>
    <w:p>
      <w:pPr>
        <w:spacing w:after="0"/>
      </w:pPr>
      <w:r>
        <w:t>I bridge the gap between technology and domain experts to create business value. I have strong presentation and communication skills, which are essential for contributing to the digitalization of processes related to LCB-FT and AI use cases for the DRCO. I currently teach lectures on data warehouses and artificial intelligence at Paris Cité University, demonstrating my ability to convey complex information clearly.</w:t>
      </w:r>
    </w:p>
    <w:p>
      <w:pPr>
        <w:spacing w:after="0"/>
      </w:pPr>
    </w:p>
    <w:p>
      <w:pPr>
        <w:spacing w:after="0"/>
      </w:pPr>
      <w:r>
        <w:t>Discovery and curiosity are second nature to me, and I am constantly developing my ability to adapt. In 2025, I impacted the digital strategy of the Haematology Department at São Paulo Central Hospital by providing unified access to patient data, a project similar in scope to the innovative solutions needed at La Banque de France.</w:t>
      </w:r>
    </w:p>
    <w:p>
      <w:pPr>
        <w:spacing w:after="0"/>
      </w:pPr>
    </w:p>
    <w:p>
      <w:pPr>
        <w:spacing w:after="0"/>
      </w:pPr>
      <w:r>
        <w:t>In my spare time, I stay updated with the latest advances in my field by following the SuperDataScience podcast and major tech players. I am deeply fascinated by agent-based AI and its potential to create business value, aligning with La Banque de France's goals of exploiting large volumes of data for BC-FT risk analysis.</w:t>
      </w:r>
    </w:p>
    <w:p>
      <w:pPr>
        <w:spacing w:after="0"/>
      </w:pPr>
    </w:p>
    <w:p>
      <w:pPr>
        <w:spacing w:after="0"/>
      </w:pPr>
      <w:r>
        <w:t>Dynamic, curious, and aware of teamwork's importance, I combine technical expertise with communication skills. I am enthusiastic about helping organizations like La Banque de France to maximize their data assets in compliance and risk assessment, fostering a socially responsible work environment that values diversity and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