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April 21, 2026</w:t>
      </w:r>
    </w:p>
    <w:p>
      <w:pPr>
        <w:pStyle w:val="BodyText"/>
      </w:pPr>
      <w:r>
        <w:t xml:space="preserve">Editor-in-Chief</w:t>
      </w:r>
      <w:r>
        <w:br/>
      </w:r>
      <w:r>
        <w:rPr>
          <w:i/>
          <w:iCs/>
        </w:rPr>
        <w:t xml:space="preserve">Molecular Cancer</w:t>
      </w:r>
    </w:p>
    <w:p>
      <w:pPr>
        <w:pStyle w:val="BodyText"/>
      </w:pPr>
      <w:r>
        <w:t xml:space="preserve">Dear Editor,</w:t>
      </w:r>
    </w:p>
    <w:p>
      <w:pPr>
        <w:pStyle w:val="BodyText"/>
      </w:pPr>
      <w:r>
        <w:t xml:space="preserve">Please consider our review manuscript,</w:t>
      </w:r>
      <w:r>
        <w:t xml:space="preserve"> </w:t>
      </w:r>
      <w:r>
        <w:rPr>
          <w:b/>
          <w:bCs/>
        </w:rPr>
        <w:t xml:space="preserve">“Compartmentalized One-Carbon Flux in Cancer: Mechanisms, Immune Control, and Precision Therapeutics,”</w:t>
      </w:r>
      <w:r>
        <w:t xml:space="preserve"> </w:t>
      </w:r>
      <w:r>
        <w:t xml:space="preserve">for publication in</w:t>
      </w:r>
      <w:r>
        <w:t xml:space="preserve"> </w:t>
      </w:r>
      <w:r>
        <w:rPr>
          <w:i/>
          <w:iCs/>
        </w:rPr>
        <w:t xml:space="preserve">Molecular Cancer</w:t>
      </w:r>
      <w:r>
        <w:t xml:space="preserve">.</w:t>
      </w:r>
    </w:p>
    <w:p>
      <w:pPr>
        <w:pStyle w:val="BodyText"/>
      </w:pPr>
      <w:r>
        <w:t xml:space="preserve">This review synthesizes recent mechanistic and translational advances in one-carbon metabolism with a deliberate cancer-centered focus. Rather than treating one-carbon metabolism as a static biosynthetic pathway, we frame it as a compartmentalized flux architecture that links tumor proliferation, redox adaptation, metastatic behavior, immune suppression, and therapeutic vulnerability. We believe this perspective is timely for</w:t>
      </w:r>
      <w:r>
        <w:t xml:space="preserve"> </w:t>
      </w:r>
      <w:r>
        <w:rPr>
          <w:i/>
          <w:iCs/>
        </w:rPr>
        <w:t xml:space="preserve">Molecular Cancer</w:t>
      </w:r>
      <w:r>
        <w:t xml:space="preserve"> </w:t>
      </w:r>
      <w:r>
        <w:t xml:space="preserve">because the field has rapidly moved from descriptive metabolic profiling to biomarker-guided intervention, particularly in relation to mitochondrial folate metabolism, methionine competition in the tumor immune microenvironment, and MTAP-directed precision therapy.</w:t>
      </w:r>
    </w:p>
    <w:p>
      <w:pPr>
        <w:pStyle w:val="BodyText"/>
      </w:pPr>
      <w:r>
        <w:t xml:space="preserve">The manuscript highlights three points that we believe will be of broad interest to the journal’s readership. First, it integrates tumor-intrinsic and immune-contextual functions of one-carbon metabolism within a single conceptual framework centered on subcellular flux directionality. Second, it critically evaluates the therapeutic landscape across PHGDH, SHMT, MTHFD2, MAT2A, and MTA-cooperative PRMT5 inhibition, distinguishing established clinical evidence from preclinical enthusiasm. Third, it proposes a practical precision-medicine framework based on genotype, flux-informed pharmacodynamics, and rational combinations with antifolates, DNA damage response therapy, taxanes, and immunotherapy.</w:t>
      </w:r>
    </w:p>
    <w:p>
      <w:pPr>
        <w:pStyle w:val="BodyText"/>
      </w:pPr>
      <w:r>
        <w:t xml:space="preserve">This manuscript is original, has not been published previously, and is not under consideration for publication elsewhere. All authors have approved the submitted version of the manuscript. Any funding sources, conflicts of interest, and author-contribution statements will be fully disclosed in the submission metadata and title page.</w:t>
      </w:r>
    </w:p>
    <w:p>
      <w:pPr>
        <w:pStyle w:val="BodyText"/>
      </w:pPr>
      <w:r>
        <w:t xml:space="preserve">Thank you for your consideration.</w:t>
      </w:r>
    </w:p>
    <w:p>
      <w:pPr>
        <w:pStyle w:val="BodyText"/>
      </w:pPr>
      <w:r>
        <w:t xml:space="preserve">Sincerely,</w:t>
      </w:r>
    </w:p>
    <w:p>
      <w:pPr>
        <w:pStyle w:val="BodyText"/>
      </w:pPr>
      <w:r>
        <w:t xml:space="preserve">[Corresponding author name]</w:t>
      </w:r>
      <w:r>
        <w:br/>
      </w:r>
      <w:r>
        <w:t xml:space="preserve">on behalf of all authors</w:t>
      </w:r>
      <w:r>
        <w:br/>
      </w:r>
      <w:r>
        <w:t xml:space="preserve">[Institution]</w:t>
      </w:r>
      <w:r>
        <w:br/>
      </w:r>
      <w:r>
        <w:t xml:space="preserve">[Email]</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2026-04-21T02:01:54Z</dcterms:created>
  <dcterms:modified xsi:type="dcterms:W3CDTF">2026-04-21T02:01:54Z</dcterms:modified>
</cp:coreProperties>
</file>

<file path=docProps/custom.xml><?xml version="1.0" encoding="utf-8"?>
<Properties xmlns="http://schemas.openxmlformats.org/officeDocument/2006/custom-properties" xmlns:vt="http://schemas.openxmlformats.org/officeDocument/2006/docPropsVTypes"/>
</file>