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Gestão e decisões</w:t>
      </w:r>
    </w:p>
    <w:p>
      <w:r>
        <w:t>Contexto de referência.</w:t>
      </w:r>
    </w:p>
    <w:tbl>
      <w:tr>
        <w:tc>
          <w:p>
            <w:r>
              <w:t>Projeto</w:t>
            </w:r>
          </w:p>
        </w:tc>
        <w:tc>
          <w:p>
            <w:r>
              <w:t>Status</w:t>
            </w:r>
          </w:p>
        </w:tc>
      </w:tr>
      <w:tr>
        <w:tc>
          <w:p>
            <w:r>
              <w:t>Biblioteca</w:t>
            </w:r>
          </w:p>
        </w:tc>
        <w:tc>
          <w:p>
            <w:r>
              <w:t>Ativo</w:t>
            </w:r>
          </w:p>
        </w:tc>
      </w:tr>
    </w:tbl>
  </w:body>
</w:document>
</file>