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76E8D" w14:textId="40EEBE73" w:rsidR="003452F0" w:rsidRPr="002D0614" w:rsidRDefault="003452F0" w:rsidP="002D0614">
      <w:pPr>
        <w:spacing w:line="276" w:lineRule="auto"/>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5760"/>
      </w:tblGrid>
      <w:tr w:rsidR="00123299" w:rsidRPr="002D0614" w14:paraId="275A0AE7" w14:textId="77777777" w:rsidTr="00123299">
        <w:trPr>
          <w:trHeight w:val="1095"/>
        </w:trPr>
        <w:tc>
          <w:tcPr>
            <w:tcW w:w="27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8918003" w14:textId="77777777" w:rsidR="00123299" w:rsidRPr="002D0614" w:rsidRDefault="00123299" w:rsidP="002D0614">
            <w:pPr>
              <w:spacing w:line="276" w:lineRule="auto"/>
              <w:ind w:left="120"/>
              <w:textAlignment w:val="baseline"/>
              <w:rPr>
                <w:sz w:val="18"/>
                <w:szCs w:val="18"/>
              </w:rPr>
            </w:pPr>
            <w:r w:rsidRPr="002D0614">
              <w:rPr>
                <w:b/>
                <w:bCs/>
                <w:color w:val="231F20"/>
              </w:rPr>
              <w:t>Title</w:t>
            </w:r>
            <w:r w:rsidRPr="002D0614">
              <w:rPr>
                <w:color w:val="231F20"/>
              </w:rPr>
              <w:t> </w:t>
            </w:r>
          </w:p>
          <w:p w14:paraId="50E8A30B" w14:textId="77777777" w:rsidR="00123299" w:rsidRPr="002D0614" w:rsidRDefault="00123299" w:rsidP="002D0614">
            <w:pPr>
              <w:spacing w:line="276" w:lineRule="auto"/>
              <w:ind w:left="120"/>
              <w:textAlignment w:val="baseline"/>
              <w:rPr>
                <w:sz w:val="18"/>
                <w:szCs w:val="18"/>
              </w:rPr>
            </w:pPr>
            <w:r w:rsidRPr="002D0614">
              <w:rPr>
                <w:color w:val="231F20"/>
              </w:rPr>
              <w:t> </w:t>
            </w:r>
          </w:p>
          <w:p w14:paraId="07C3C06E" w14:textId="77777777" w:rsidR="00123299" w:rsidRPr="002D0614" w:rsidRDefault="00123299" w:rsidP="002D0614">
            <w:pPr>
              <w:spacing w:line="276" w:lineRule="auto"/>
              <w:ind w:left="120"/>
              <w:textAlignment w:val="baseline"/>
              <w:rPr>
                <w:sz w:val="18"/>
                <w:szCs w:val="18"/>
              </w:rPr>
            </w:pPr>
            <w:r w:rsidRPr="002D0614">
              <w:rPr>
                <w:color w:val="231F20"/>
              </w:rPr>
              <w:t> </w:t>
            </w:r>
          </w:p>
        </w:tc>
        <w:tc>
          <w:tcPr>
            <w:tcW w:w="5760" w:type="dxa"/>
            <w:tcBorders>
              <w:top w:val="single" w:sz="6" w:space="0" w:color="auto"/>
              <w:left w:val="nil"/>
              <w:bottom w:val="single" w:sz="6" w:space="0" w:color="auto"/>
              <w:right w:val="single" w:sz="6" w:space="0" w:color="auto"/>
            </w:tcBorders>
            <w:shd w:val="clear" w:color="auto" w:fill="auto"/>
            <w:vAlign w:val="bottom"/>
            <w:hideMark/>
          </w:tcPr>
          <w:p w14:paraId="55426A16" w14:textId="51366053" w:rsidR="002F5850" w:rsidRPr="002F5850" w:rsidRDefault="002F5850" w:rsidP="002F5850">
            <w:bookmarkStart w:id="0" w:name="_GoBack"/>
            <w:r w:rsidRPr="002F5850">
              <w:t>CRIUS</w:t>
            </w:r>
          </w:p>
          <w:bookmarkEnd w:id="0"/>
          <w:p w14:paraId="7BB9F0DB" w14:textId="7DD131E1" w:rsidR="00123299" w:rsidRPr="002F5850" w:rsidRDefault="002F5850" w:rsidP="002F5850">
            <w:pPr>
              <w:spacing w:line="276" w:lineRule="auto"/>
              <w:textAlignment w:val="baseline"/>
            </w:pPr>
            <w:r w:rsidRPr="002F5850">
              <w:t>(</w:t>
            </w:r>
            <w:r w:rsidRPr="002F5850">
              <w:t>Comparative-effectiveness Research on Im</w:t>
            </w:r>
            <w:r w:rsidRPr="002F5850">
              <w:t>munization Used for SARS-CoV-2)</w:t>
            </w:r>
          </w:p>
        </w:tc>
      </w:tr>
      <w:tr w:rsidR="00123299" w:rsidRPr="002D0614" w14:paraId="0558271F" w14:textId="77777777" w:rsidTr="00123299">
        <w:trPr>
          <w:trHeight w:val="570"/>
        </w:trPr>
        <w:tc>
          <w:tcPr>
            <w:tcW w:w="27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46117CF" w14:textId="77777777" w:rsidR="00123299" w:rsidRPr="002D0614" w:rsidRDefault="00123299" w:rsidP="002D0614">
            <w:pPr>
              <w:spacing w:line="276" w:lineRule="auto"/>
              <w:ind w:left="120"/>
              <w:textAlignment w:val="baseline"/>
              <w:rPr>
                <w:sz w:val="18"/>
                <w:szCs w:val="18"/>
              </w:rPr>
            </w:pPr>
            <w:r w:rsidRPr="002D0614">
              <w:rPr>
                <w:b/>
                <w:bCs/>
                <w:color w:val="231F20"/>
              </w:rPr>
              <w:t>Protocol version</w:t>
            </w:r>
            <w:r w:rsidRPr="002D0614">
              <w:rPr>
                <w:color w:val="231F20"/>
              </w:rPr>
              <w:t> </w:t>
            </w:r>
          </w:p>
          <w:p w14:paraId="5BDB3C82" w14:textId="77777777" w:rsidR="00123299" w:rsidRPr="002D0614" w:rsidRDefault="00123299" w:rsidP="002D0614">
            <w:pPr>
              <w:spacing w:line="276" w:lineRule="auto"/>
              <w:ind w:left="120"/>
              <w:textAlignment w:val="baseline"/>
              <w:rPr>
                <w:sz w:val="18"/>
                <w:szCs w:val="18"/>
              </w:rPr>
            </w:pPr>
            <w:r w:rsidRPr="002D0614">
              <w:rPr>
                <w:b/>
                <w:bCs/>
                <w:color w:val="231F20"/>
              </w:rPr>
              <w:t>identifier</w:t>
            </w:r>
            <w:r w:rsidRPr="002D0614">
              <w:rPr>
                <w:color w:val="231F20"/>
              </w:rPr>
              <w:t> </w:t>
            </w:r>
          </w:p>
        </w:tc>
        <w:tc>
          <w:tcPr>
            <w:tcW w:w="5760" w:type="dxa"/>
            <w:tcBorders>
              <w:top w:val="single" w:sz="6" w:space="0" w:color="auto"/>
              <w:left w:val="nil"/>
              <w:bottom w:val="single" w:sz="6" w:space="0" w:color="auto"/>
              <w:right w:val="single" w:sz="6" w:space="0" w:color="auto"/>
            </w:tcBorders>
            <w:shd w:val="clear" w:color="auto" w:fill="auto"/>
            <w:vAlign w:val="bottom"/>
            <w:hideMark/>
          </w:tcPr>
          <w:p w14:paraId="04AD3F0A" w14:textId="0606326B" w:rsidR="00123299" w:rsidRPr="002F5850" w:rsidRDefault="00123299" w:rsidP="002D0614">
            <w:pPr>
              <w:spacing w:line="276" w:lineRule="auto"/>
              <w:ind w:left="90"/>
              <w:textAlignment w:val="baseline"/>
            </w:pPr>
            <w:r w:rsidRPr="002F5850">
              <w:t>1.0 </w:t>
            </w:r>
          </w:p>
        </w:tc>
      </w:tr>
      <w:tr w:rsidR="00123299" w:rsidRPr="002D0614" w14:paraId="40429852" w14:textId="77777777" w:rsidTr="00123299">
        <w:trPr>
          <w:trHeight w:val="585"/>
        </w:trPr>
        <w:tc>
          <w:tcPr>
            <w:tcW w:w="2745" w:type="dxa"/>
            <w:tcBorders>
              <w:top w:val="single" w:sz="6" w:space="0" w:color="auto"/>
              <w:left w:val="single" w:sz="6" w:space="0" w:color="auto"/>
              <w:bottom w:val="nil"/>
              <w:right w:val="single" w:sz="6" w:space="0" w:color="auto"/>
            </w:tcBorders>
            <w:shd w:val="clear" w:color="auto" w:fill="auto"/>
            <w:vAlign w:val="bottom"/>
            <w:hideMark/>
          </w:tcPr>
          <w:p w14:paraId="21E1847D" w14:textId="77777777" w:rsidR="00123299" w:rsidRPr="002D0614" w:rsidRDefault="00123299" w:rsidP="002D0614">
            <w:pPr>
              <w:spacing w:line="276" w:lineRule="auto"/>
              <w:ind w:left="120"/>
              <w:textAlignment w:val="baseline"/>
              <w:rPr>
                <w:sz w:val="18"/>
                <w:szCs w:val="18"/>
              </w:rPr>
            </w:pPr>
            <w:r w:rsidRPr="002D0614">
              <w:rPr>
                <w:b/>
                <w:bCs/>
                <w:color w:val="231F20"/>
              </w:rPr>
              <w:t>Date of last version of</w:t>
            </w:r>
            <w:r w:rsidRPr="002D0614">
              <w:rPr>
                <w:color w:val="231F20"/>
              </w:rPr>
              <w:t> </w:t>
            </w:r>
          </w:p>
          <w:p w14:paraId="63A47A09" w14:textId="77777777" w:rsidR="00123299" w:rsidRPr="002D0614" w:rsidRDefault="00123299" w:rsidP="002D0614">
            <w:pPr>
              <w:spacing w:line="276" w:lineRule="auto"/>
              <w:ind w:left="120"/>
              <w:textAlignment w:val="baseline"/>
              <w:rPr>
                <w:sz w:val="18"/>
                <w:szCs w:val="18"/>
              </w:rPr>
            </w:pPr>
            <w:r w:rsidRPr="002D0614">
              <w:rPr>
                <w:b/>
                <w:bCs/>
                <w:color w:val="231F20"/>
              </w:rPr>
              <w:t>protocol</w:t>
            </w:r>
            <w:r w:rsidRPr="002D0614">
              <w:rPr>
                <w:color w:val="231F20"/>
              </w:rPr>
              <w:t> </w:t>
            </w:r>
          </w:p>
        </w:tc>
        <w:tc>
          <w:tcPr>
            <w:tcW w:w="5760" w:type="dxa"/>
            <w:tcBorders>
              <w:top w:val="single" w:sz="6" w:space="0" w:color="auto"/>
              <w:left w:val="nil"/>
              <w:bottom w:val="nil"/>
              <w:right w:val="single" w:sz="6" w:space="0" w:color="auto"/>
            </w:tcBorders>
            <w:shd w:val="clear" w:color="auto" w:fill="auto"/>
            <w:vAlign w:val="bottom"/>
            <w:hideMark/>
          </w:tcPr>
          <w:p w14:paraId="383434C7" w14:textId="77777777" w:rsidR="009C280E" w:rsidRDefault="009C280E" w:rsidP="002F5850">
            <w:pPr>
              <w:spacing w:line="276" w:lineRule="auto"/>
              <w:textAlignment w:val="baseline"/>
              <w:rPr>
                <w:color w:val="231F20"/>
              </w:rPr>
            </w:pPr>
          </w:p>
          <w:p w14:paraId="083F9622" w14:textId="77777777" w:rsidR="009C280E" w:rsidRDefault="009C280E" w:rsidP="002F5850">
            <w:pPr>
              <w:spacing w:line="276" w:lineRule="auto"/>
              <w:textAlignment w:val="baseline"/>
              <w:rPr>
                <w:color w:val="231F20"/>
              </w:rPr>
            </w:pPr>
          </w:p>
          <w:p w14:paraId="6B54C902" w14:textId="17FF8C60" w:rsidR="002F5850" w:rsidRPr="002F5850" w:rsidRDefault="002F5850" w:rsidP="002F5850">
            <w:pPr>
              <w:spacing w:line="276" w:lineRule="auto"/>
              <w:textAlignment w:val="baseline"/>
              <w:rPr>
                <w:color w:val="231F20"/>
              </w:rPr>
            </w:pPr>
            <w:r w:rsidRPr="002F5850">
              <w:rPr>
                <w:color w:val="231F20"/>
              </w:rPr>
              <w:t>July 15</w:t>
            </w:r>
            <w:r w:rsidR="00123299" w:rsidRPr="002F5850">
              <w:rPr>
                <w:color w:val="231F20"/>
              </w:rPr>
              <w:t>, 2021 </w:t>
            </w:r>
          </w:p>
          <w:p w14:paraId="37EAA82D" w14:textId="47FDB6A6" w:rsidR="002F5850" w:rsidRPr="002F5850" w:rsidRDefault="002F5850" w:rsidP="002F5850">
            <w:pPr>
              <w:spacing w:line="276" w:lineRule="auto"/>
              <w:textAlignment w:val="baseline"/>
            </w:pPr>
          </w:p>
        </w:tc>
      </w:tr>
      <w:tr w:rsidR="00123299" w:rsidRPr="002D0614" w14:paraId="11AFC1D8" w14:textId="77777777" w:rsidTr="00123299">
        <w:trPr>
          <w:trHeight w:val="300"/>
        </w:trPr>
        <w:tc>
          <w:tcPr>
            <w:tcW w:w="2745" w:type="dxa"/>
            <w:tcBorders>
              <w:top w:val="nil"/>
              <w:left w:val="single" w:sz="6" w:space="0" w:color="auto"/>
              <w:bottom w:val="single" w:sz="6" w:space="0" w:color="auto"/>
              <w:right w:val="single" w:sz="6" w:space="0" w:color="auto"/>
            </w:tcBorders>
            <w:shd w:val="clear" w:color="auto" w:fill="auto"/>
            <w:vAlign w:val="bottom"/>
            <w:hideMark/>
          </w:tcPr>
          <w:p w14:paraId="55DA50B0" w14:textId="77777777" w:rsidR="00123299" w:rsidRPr="002D0614" w:rsidRDefault="00123299" w:rsidP="002D0614">
            <w:pPr>
              <w:spacing w:line="276" w:lineRule="auto"/>
              <w:ind w:left="120"/>
              <w:textAlignment w:val="baseline"/>
              <w:rPr>
                <w:sz w:val="18"/>
                <w:szCs w:val="18"/>
              </w:rPr>
            </w:pPr>
            <w:r w:rsidRPr="002D0614">
              <w:rPr>
                <w:b/>
                <w:bCs/>
                <w:color w:val="231F20"/>
              </w:rPr>
              <w:t>Authors</w:t>
            </w:r>
            <w:r w:rsidRPr="002D0614">
              <w:rPr>
                <w:color w:val="231F20"/>
              </w:rPr>
              <w:t> </w:t>
            </w:r>
          </w:p>
        </w:tc>
        <w:tc>
          <w:tcPr>
            <w:tcW w:w="5760" w:type="dxa"/>
            <w:tcBorders>
              <w:top w:val="nil"/>
              <w:left w:val="nil"/>
              <w:bottom w:val="single" w:sz="6" w:space="0" w:color="auto"/>
              <w:right w:val="single" w:sz="6" w:space="0" w:color="auto"/>
            </w:tcBorders>
            <w:shd w:val="clear" w:color="auto" w:fill="auto"/>
            <w:vAlign w:val="bottom"/>
            <w:hideMark/>
          </w:tcPr>
          <w:p w14:paraId="11E2F740" w14:textId="77777777" w:rsidR="00123299" w:rsidRPr="002F5850" w:rsidRDefault="00123299" w:rsidP="002D0614">
            <w:pPr>
              <w:spacing w:line="276" w:lineRule="auto"/>
              <w:ind w:left="90"/>
              <w:textAlignment w:val="baseline"/>
            </w:pPr>
            <w:r w:rsidRPr="002F5850">
              <w:rPr>
                <w:color w:val="231F20"/>
              </w:rPr>
              <w:t>George Hripcsak </w:t>
            </w:r>
          </w:p>
          <w:p w14:paraId="2D68346B" w14:textId="1ABE0722" w:rsidR="00123299" w:rsidRPr="002F5850" w:rsidRDefault="002D0614" w:rsidP="002F5850">
            <w:pPr>
              <w:spacing w:line="276" w:lineRule="auto"/>
              <w:ind w:left="90"/>
              <w:textAlignment w:val="baseline"/>
            </w:pPr>
            <w:r w:rsidRPr="002F5850">
              <w:rPr>
                <w:color w:val="231F20"/>
              </w:rPr>
              <w:t>Anna Ostropolets </w:t>
            </w:r>
          </w:p>
        </w:tc>
      </w:tr>
    </w:tbl>
    <w:p w14:paraId="220D2AE7" w14:textId="32C6B315" w:rsidR="00123299" w:rsidRPr="002D0614" w:rsidRDefault="00123299" w:rsidP="002D0614">
      <w:pPr>
        <w:spacing w:line="276" w:lineRule="auto"/>
      </w:pPr>
    </w:p>
    <w:p w14:paraId="4B3C5D8F" w14:textId="1A6BE1C0" w:rsidR="00123299" w:rsidRDefault="00123299" w:rsidP="002D0614">
      <w:pPr>
        <w:spacing w:line="276" w:lineRule="auto"/>
        <w:rPr>
          <w:rStyle w:val="eop"/>
          <w:color w:val="000000"/>
          <w:sz w:val="28"/>
          <w:szCs w:val="28"/>
          <w:shd w:val="clear" w:color="auto" w:fill="FFFFFF"/>
        </w:rPr>
      </w:pPr>
      <w:r w:rsidRPr="002D0614">
        <w:rPr>
          <w:rStyle w:val="normaltextrun"/>
          <w:b/>
          <w:bCs/>
          <w:color w:val="000000"/>
          <w:sz w:val="28"/>
          <w:szCs w:val="28"/>
          <w:shd w:val="clear" w:color="auto" w:fill="FFFFFF"/>
        </w:rPr>
        <w:t>RATIONALE AND BACKGROUND</w:t>
      </w:r>
      <w:r w:rsidRPr="002D0614">
        <w:rPr>
          <w:rStyle w:val="eop"/>
          <w:color w:val="000000"/>
          <w:sz w:val="28"/>
          <w:szCs w:val="28"/>
          <w:shd w:val="clear" w:color="auto" w:fill="FFFFFF"/>
        </w:rPr>
        <w:t> </w:t>
      </w:r>
    </w:p>
    <w:p w14:paraId="37C03EEC" w14:textId="77777777" w:rsidR="002D0614" w:rsidRPr="002D0614" w:rsidRDefault="002D0614" w:rsidP="002D0614">
      <w:pPr>
        <w:spacing w:line="276" w:lineRule="auto"/>
      </w:pPr>
    </w:p>
    <w:p w14:paraId="0BD0FE14" w14:textId="37189AA3" w:rsidR="00123299" w:rsidRPr="002D0614" w:rsidRDefault="00517B25" w:rsidP="002D0614">
      <w:pPr>
        <w:spacing w:line="276" w:lineRule="auto"/>
      </w:pPr>
      <w:r w:rsidRPr="002D0614">
        <w:t>COVID-19 vaccines shown effectiveness in preventing COVID-19 infection and complications in randomized clinical trials. Further studies on large and heterogeneous populations are required to establish vaccine effectiveness in real-world settings.</w:t>
      </w:r>
    </w:p>
    <w:p w14:paraId="45F11E4E" w14:textId="0BBEE6C5" w:rsidR="00517B25" w:rsidRPr="002D0614" w:rsidRDefault="00517B25" w:rsidP="002D0614">
      <w:pPr>
        <w:spacing w:line="276" w:lineRule="auto"/>
      </w:pPr>
      <w:r w:rsidRPr="002D0614">
        <w:t xml:space="preserve">Initial research on a limited sample size </w:t>
      </w:r>
      <w:r w:rsidR="00EB03C3" w:rsidRPr="002D0614">
        <w:t xml:space="preserve">(&lt;400 patients aged ≥65 years) </w:t>
      </w:r>
      <w:r w:rsidRPr="002D0614">
        <w:t xml:space="preserve">was performed by CDC </w:t>
      </w:r>
      <w:r w:rsidR="00EB03C3" w:rsidRPr="002D0614">
        <w:fldChar w:fldCharType="begin"/>
      </w:r>
      <w:r w:rsidR="00EB03C3" w:rsidRPr="002D0614">
        <w:instrText xml:space="preserve"> ADDIN ZOTERO_ITEM CSL_CITATION {"citationID":"mfYcq8xr","properties":{"formattedCitation":"(1)","plainCitation":"(1)","noteIndex":0},"citationItems":[{"id":9270,"uris":["http://zotero.org/users/local/DyUaTr24/items/DXCC2LXC"],"uri":["http://zotero.org/users/local/DyUaTr24/items/DXCC2LXC"],"itemData":{"id":9270,"type":"article-journal","container-title":"MMWR. Morbidity and Mortality Weekly Report","DOI":"10.15585/mmwr.mm7018e1","ISSN":"0149-2195, 1545-861X","issue":"18","journalAbbreviation":"MMWR Morb. Mortal. Wkly. Rep.","page":"674-679","source":"DOI.org (Crossref)","title":"Effectiveness of Pfizer-BioNTech and Moderna Vaccines Against COVID-19 Among Hospitalized Adults Aged ≥65 Years — United States, January–March 2021","volume":"70","author":[{"family":"Tenforde","given":"Mark W."},{"family":"Olson","given":"Samantha M."},{"family":"Self","given":"Wesley H."},{"family":"Talbot","given":"H. Keipp"},{"family":"Lindsell","given":"Christopher J."},{"family":"Steingrub","given":"Jay S."},{"family":"Shapiro","given":"Nathan I."},{"family":"Ginde","given":"Adit A."},{"family":"Douin","given":"David J."},{"family":"Prekker","given":"Matthew E."},{"family":"Brown","given":"Samuel M."},{"family":"Peltan","given":"Ithan D."},{"family":"Gong","given":"Michelle N."},{"family":"Mohamed","given":"Amira"},{"family":"Khan","given":"Akram"},{"family":"Exline","given":"Matthew C."},{"family":"Files","given":"D. Clark"},{"family":"Gibbs","given":"Kevin W."},{"family":"Stubblefield","given":"William B."},{"family":"Casey","given":"Jonathan D."},{"family":"Rice","given":"Todd W."},{"family":"Grijalva","given":"Carlos G."},{"family":"Hager","given":"David N."},{"family":"Shehu","given":"Arber"},{"family":"Qadir","given":"Nida"},{"family":"Chang","given":"Steven Y."},{"family":"Wilson","given":"Jennifer G."},{"family":"Gaglani","given":"Manjusha"},{"family":"Murthy","given":"Kempapura"},{"family":"Calhoun","given":"Nicole"},{"family":"Monto","given":"Arnold S."},{"family":"Martin","given":"Emily T."},{"family":"Malani","given":"Anurag"},{"family":"Zimmerman","given":"Richard K."},{"family":"Silveira","given":"Fernanda P."},{"family":"Middleton","given":"Donald B."},{"family":"Zhu","given":"Yuwei"},{"family":"Wyatt","given":"Dayna"},{"family":"Stephenson","given":"Meagan"},{"family":"Baughman","given":"Adrienne"},{"family":"Womack","given":"Kelsey N."},{"family":"Hart","given":"Kimberly W."},{"family":"Kobayashi","given":"Miwako"},{"family":"Verani","given":"Jennifer R."},{"family":"Patel","given":"Manish M."},{"literal":"IVY Network"},{"literal":"HAIVEN Investigators"},{"literal":"IVY Network"},{"family":"Amosu","given":"Omowunmi"},{"family":"Armbruster","given":"Brent"},{"family":"Aston","given":"Valerie"},{"family":"Bernardo","given":"Marianne"},{"family":"Bowers","given":"Robert"},{"family":"De Souza","given":"Leslie"},{"family":"Friedel","given":"Jennifer"},{"family":"Gardner","given":"Kevin"},{"family":"Goff","given":"Jennifer"},{"family":"Gordon","given":"Alexandra June"},{"family":"Hendrickson","given":"Audrey"},{"family":"Hicks","given":"Madeline"},{"family":"Howell","given":"Michelle"},{"family":"Johnson","given":"Jakea"},{"family":"Jorgensen","given":"Jeffrey"},{"family":"Karow","given":"Sarah"},{"family":"Kozikowski","given":"Lori"},{"family":"Krol","given":"Olivia"},{"family":"Landreth","given":"Leigha"},{"family":"LaRose","given":"Mary"},{"family":"Lopez","given":"Brenda"},{"family":"York","given":"New"},{"family":"Luong","given":"Andrea"},{"family":"McClellan","given":"Bob"},{"family":"Maruggi","given":"Ellen"},{"family":"Miller","given":"Karen"},{"family":"Nair","given":"Rahul"},{"family":"Parks","given":"Lisa"},{"family":"Peers","given":"Jennifer"},{"family":"Perez","given":"Cynthia"},{"family":"Rivera","given":"Adreanne"},{"family":"Roque","given":"Jonasel"},{"family":"Santana","given":"Andres"},{"family":"Scharber","given":"Tyler"},{"family":"Silverman","given":"Emma"},{"family":"Tozier","given":"Michael"},{"family":"Tzehaie","given":"Hiwet"},{"family":"Zouyed","given":"Zachary"},{"literal":"HAIVEN Investigators"},{"family":"Arroliga","given":"Alejandro"},{"family":"Bagiatis","given":"Alicia"},{"family":"Balasubramani","given":"Gk"},{"family":"Cheng","given":"Caroline K."},{"family":"Eng","given":"Heather"},{"family":"Ghamande","given":"Shekhar"},{"family":"Herrick","given":"Judy"},{"family":"Hoffman","given":"Eric"},{"family":"Hughes","given":"Kailey"},{"family":"Lamerato","given":"Lois E."},{"family":"Lauring","given":"Adam S."},{"family":"McKillop","given":"Amanda"},{"family":"McNeal","given":"Tresa"},{"family":"McSpadden","given":"E.J."},{"family":"Midturi","given":"John"},{"family":"Mutnal","given":"Manohar"},{"family":"Nowalk","given":"Mary Patricia"},{"family":"Petrie","given":"Joshua G."},{"family":"Raiyani","given":"Chandni"},{"family":"Rao","given":"Arundhati"},{"family":"Saul","given":"Sean G."},{"family":"Sax","given":"Theresa M."},{"family":"Segaloff","given":"Hannah E."},{"family":"Stiefel","given":"Lori"},{"family":"Volz","given":"Marcus"},{"family":"Walker","given":"Kimberly"},{"family":"Wheeler","given":"Nicole"},{"family":"White","given":"Heath"},{"family":"Williams","given":"John V."},{"family":"Yassin","given":"Mohamed"},{"family":"Zayed","given":"Martha"},{"family":"Zunie","given":"Tnelda"}],"issued":{"date-parts":[["2021",5,7]]}}}],"schema":"https://github.com/citation-style-language/schema/raw/master/csl-citation.json"} </w:instrText>
      </w:r>
      <w:r w:rsidR="00EB03C3" w:rsidRPr="002D0614">
        <w:fldChar w:fldCharType="separate"/>
      </w:r>
      <w:r w:rsidR="00EB03C3" w:rsidRPr="002D0614">
        <w:rPr>
          <w:noProof/>
        </w:rPr>
        <w:t>(1)</w:t>
      </w:r>
      <w:r w:rsidR="00EB03C3" w:rsidRPr="002D0614">
        <w:fldChar w:fldCharType="end"/>
      </w:r>
      <w:r w:rsidR="00EB03C3" w:rsidRPr="002D0614">
        <w:t xml:space="preserve"> and showed adjusted vaccine effectiveness of 94% (95% CI = 49%–99%) for Pfizer-</w:t>
      </w:r>
      <w:proofErr w:type="spellStart"/>
      <w:r w:rsidR="00EB03C3" w:rsidRPr="002D0614">
        <w:t>BioNTech</w:t>
      </w:r>
      <w:proofErr w:type="spellEnd"/>
      <w:r w:rsidR="00EB03C3" w:rsidRPr="002D0614">
        <w:t xml:space="preserve"> and </w:t>
      </w:r>
      <w:proofErr w:type="spellStart"/>
      <w:r w:rsidR="00EB03C3" w:rsidRPr="002D0614">
        <w:t>Moderna</w:t>
      </w:r>
      <w:proofErr w:type="spellEnd"/>
      <w:r w:rsidR="00EB03C3" w:rsidRPr="002D0614">
        <w:t xml:space="preserve"> vaccines. In this work, we will extend the study of the abovementioned vaccines to a larger population and other age groups and examine effectiveness of the other COVID-19 vaccines used in the United States (Janssen).</w:t>
      </w:r>
    </w:p>
    <w:p w14:paraId="741CDE07" w14:textId="574799CE" w:rsidR="003A25D1" w:rsidRPr="002D0614" w:rsidRDefault="00EB03C3" w:rsidP="002D0614">
      <w:pPr>
        <w:spacing w:line="276" w:lineRule="auto"/>
      </w:pPr>
      <w:r w:rsidRPr="002D0614">
        <w:t xml:space="preserve">We will also study the impact of COVID-19 vaccination on COVID-19 hospitalization. </w:t>
      </w:r>
    </w:p>
    <w:p w14:paraId="1308395B" w14:textId="77777777" w:rsidR="003A25D1" w:rsidRPr="002D0614" w:rsidRDefault="003A25D1" w:rsidP="002D0614">
      <w:pPr>
        <w:spacing w:line="276" w:lineRule="auto"/>
      </w:pPr>
    </w:p>
    <w:p w14:paraId="0F7E0B4D" w14:textId="36CD7191" w:rsidR="00123299"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STUDY OBJECTIVES</w:t>
      </w:r>
    </w:p>
    <w:p w14:paraId="028A9B13" w14:textId="77777777" w:rsidR="002D0614" w:rsidRPr="002D0614" w:rsidRDefault="002D0614" w:rsidP="002D0614">
      <w:pPr>
        <w:spacing w:line="276" w:lineRule="auto"/>
        <w:rPr>
          <w:rStyle w:val="normaltextrun"/>
          <w:b/>
          <w:bCs/>
          <w:color w:val="000000"/>
          <w:sz w:val="28"/>
          <w:szCs w:val="28"/>
          <w:shd w:val="clear" w:color="auto" w:fill="FFFFFF"/>
        </w:rPr>
      </w:pPr>
    </w:p>
    <w:p w14:paraId="7583A14C" w14:textId="669C3994" w:rsidR="002F5850" w:rsidRPr="002F5850" w:rsidRDefault="002F5850" w:rsidP="002F5850">
      <w:pPr>
        <w:pStyle w:val="ListParagraph"/>
        <w:numPr>
          <w:ilvl w:val="0"/>
          <w:numId w:val="25"/>
        </w:numPr>
        <w:spacing w:line="276" w:lineRule="auto"/>
        <w:rPr>
          <w:rFonts w:ascii="Times New Roman" w:hAnsi="Times New Roman" w:cs="Times New Roman"/>
          <w:sz w:val="24"/>
          <w:szCs w:val="24"/>
        </w:rPr>
      </w:pPr>
      <w:r w:rsidRPr="002F5850">
        <w:rPr>
          <w:rFonts w:ascii="Times New Roman" w:hAnsi="Times New Roman" w:cs="Times New Roman"/>
          <w:sz w:val="24"/>
          <w:szCs w:val="24"/>
        </w:rPr>
        <w:t xml:space="preserve">Estimating absolute effectiveness of </w:t>
      </w:r>
      <w:r w:rsidRPr="002F5850">
        <w:rPr>
          <w:rFonts w:ascii="Times New Roman" w:hAnsi="Times New Roman" w:cs="Times New Roman"/>
          <w:sz w:val="24"/>
          <w:szCs w:val="24"/>
        </w:rPr>
        <w:t>COVID-19 vaccine</w:t>
      </w:r>
      <w:r w:rsidRPr="002F5850">
        <w:rPr>
          <w:rFonts w:ascii="Times New Roman" w:hAnsi="Times New Roman" w:cs="Times New Roman"/>
          <w:sz w:val="24"/>
          <w:szCs w:val="24"/>
        </w:rPr>
        <w:t>s</w:t>
      </w:r>
    </w:p>
    <w:p w14:paraId="0CDEE444" w14:textId="46E93AAC" w:rsidR="00B911A4" w:rsidRPr="002F5850" w:rsidRDefault="00B911A4" w:rsidP="002D0614">
      <w:pPr>
        <w:spacing w:line="276" w:lineRule="auto"/>
      </w:pPr>
      <w:r w:rsidRPr="002F5850">
        <w:t>Do patients vaccinated with Pfizer-</w:t>
      </w:r>
      <w:proofErr w:type="spellStart"/>
      <w:r w:rsidRPr="002F5850">
        <w:t>BioNTech</w:t>
      </w:r>
      <w:proofErr w:type="spellEnd"/>
      <w:r w:rsidRPr="002F5850">
        <w:t xml:space="preserve">, </w:t>
      </w:r>
      <w:proofErr w:type="spellStart"/>
      <w:r w:rsidRPr="002F5850">
        <w:t>Moderna</w:t>
      </w:r>
      <w:proofErr w:type="spellEnd"/>
      <w:r w:rsidRPr="002F5850">
        <w:t xml:space="preserve"> or Janssen COVID-19 vaccine have a different risk of COVID-19 infection or COVID-19 related hospitalization compared to unvaccinated patients?</w:t>
      </w:r>
    </w:p>
    <w:p w14:paraId="5FE7C0B1" w14:textId="4CFDD0AE" w:rsidR="002F5850" w:rsidRPr="002F5850" w:rsidRDefault="002F5850" w:rsidP="002D0614">
      <w:pPr>
        <w:spacing w:line="276" w:lineRule="auto"/>
      </w:pPr>
    </w:p>
    <w:p w14:paraId="403B8D4F" w14:textId="1D67251C" w:rsidR="002F5850" w:rsidRPr="002F5850" w:rsidRDefault="002F5850" w:rsidP="002F5850">
      <w:pPr>
        <w:pStyle w:val="ListParagraph"/>
        <w:numPr>
          <w:ilvl w:val="0"/>
          <w:numId w:val="25"/>
        </w:numPr>
        <w:spacing w:line="276" w:lineRule="auto"/>
        <w:rPr>
          <w:rFonts w:ascii="Times New Roman" w:hAnsi="Times New Roman" w:cs="Times New Roman"/>
          <w:sz w:val="24"/>
          <w:szCs w:val="24"/>
        </w:rPr>
      </w:pPr>
      <w:r w:rsidRPr="002F5850">
        <w:rPr>
          <w:rFonts w:ascii="Times New Roman" w:hAnsi="Times New Roman" w:cs="Times New Roman"/>
          <w:sz w:val="24"/>
          <w:szCs w:val="24"/>
        </w:rPr>
        <w:t>Estimating comparative effectiveness of COVID-19 vaccines</w:t>
      </w:r>
    </w:p>
    <w:p w14:paraId="19076689" w14:textId="40F8936C" w:rsidR="002F5850" w:rsidRPr="002F5850" w:rsidRDefault="002F5850" w:rsidP="002F5850">
      <w:pPr>
        <w:spacing w:line="276" w:lineRule="auto"/>
      </w:pPr>
      <w:r w:rsidRPr="002F5850">
        <w:t xml:space="preserve">Do patients vaccinated with different COVID-19 vaccines have a different risk </w:t>
      </w:r>
      <w:r w:rsidRPr="002F5850">
        <w:t>of COVID-19 infection or COVID-19 related hospitalization</w:t>
      </w:r>
      <w:r w:rsidRPr="002F5850">
        <w:t xml:space="preserve"> compared to the other COVID vaccines?</w:t>
      </w:r>
    </w:p>
    <w:p w14:paraId="65167189" w14:textId="77777777" w:rsidR="00123299" w:rsidRPr="002D0614" w:rsidRDefault="00123299" w:rsidP="002D0614">
      <w:pPr>
        <w:spacing w:line="276" w:lineRule="auto"/>
        <w:rPr>
          <w:rStyle w:val="normaltextrun"/>
          <w:b/>
          <w:bCs/>
          <w:color w:val="000000"/>
          <w:sz w:val="28"/>
          <w:szCs w:val="28"/>
          <w:shd w:val="clear" w:color="auto" w:fill="FFFFFF"/>
        </w:rPr>
      </w:pPr>
    </w:p>
    <w:p w14:paraId="065B8B0D" w14:textId="5D840EB0" w:rsidR="00123299"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RESEARCH METHODS</w:t>
      </w:r>
    </w:p>
    <w:p w14:paraId="2E346D00" w14:textId="77777777" w:rsidR="002D0614" w:rsidRPr="002D0614" w:rsidRDefault="002D0614" w:rsidP="002D0614">
      <w:pPr>
        <w:spacing w:line="276" w:lineRule="auto"/>
        <w:rPr>
          <w:rStyle w:val="normaltextrun"/>
          <w:b/>
          <w:bCs/>
          <w:color w:val="000000"/>
          <w:sz w:val="28"/>
          <w:szCs w:val="28"/>
          <w:shd w:val="clear" w:color="auto" w:fill="FFFFFF"/>
        </w:rPr>
      </w:pPr>
    </w:p>
    <w:p w14:paraId="0B7F57EC" w14:textId="2C466487" w:rsidR="00123299"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lastRenderedPageBreak/>
        <w:t>Study design and settings</w:t>
      </w:r>
    </w:p>
    <w:p w14:paraId="238B6C7B" w14:textId="77777777" w:rsidR="002D0614" w:rsidRPr="002D0614" w:rsidRDefault="002D0614" w:rsidP="002D0614">
      <w:pPr>
        <w:spacing w:line="276" w:lineRule="auto"/>
        <w:rPr>
          <w:rStyle w:val="normaltextrun"/>
          <w:b/>
          <w:bCs/>
          <w:color w:val="000000"/>
          <w:sz w:val="28"/>
          <w:szCs w:val="28"/>
          <w:shd w:val="clear" w:color="auto" w:fill="FFFFFF"/>
        </w:rPr>
      </w:pPr>
    </w:p>
    <w:p w14:paraId="47B47C4A" w14:textId="51407F85" w:rsidR="00123299" w:rsidRPr="002D0614" w:rsidRDefault="00123299" w:rsidP="002D0614">
      <w:pPr>
        <w:spacing w:line="276" w:lineRule="auto"/>
      </w:pPr>
      <w:r w:rsidRPr="002D0614">
        <w:t>This study will follow a retrospective, observational, comparative cohort design</w:t>
      </w:r>
      <w:r w:rsidR="000050BB" w:rsidRPr="002D0614">
        <w:t xml:space="preserve"> </w:t>
      </w:r>
      <w:r w:rsidR="000050BB" w:rsidRPr="002D0614">
        <w:fldChar w:fldCharType="begin"/>
      </w:r>
      <w:r w:rsidR="00EB03C3" w:rsidRPr="002D0614">
        <w:instrText xml:space="preserve"> ADDIN ZOTERO_ITEM CSL_CITATION {"citationID":"9Utwbip2","properties":{"formattedCitation":"(2)","plainCitation":"(2)","noteIndex":0},"citationItems":[{"id":"cRtUfzta/Wq2vAZWm","uris":["http://zotero.org/users/local/nIgX7BKa/items/6ZAE2CS7"],"uri":["http://zotero.org/users/local/nIgX7BKa/items/6ZAE2CS7"],"itemData":{"id":45,"type":"article-journal","container-title":"Drug Safety","DOI":"10.1007/s40264-013-0099-6","ISSN":"0114-5916, 1179-1942","issue":"S1","journalAbbreviation":"Drug Saf","language":"en","page":"59-72","source":"DOI.org (Crossref)","title":"Empirical Performance of a New User Cohort Method: Lessons for Developing a Risk Identification and Analysis System","title-short":"Empirical Performance of a New User Cohort Method","volume":"36","author":[{"family":"Ryan","given":"Patrick B."},{"family":"Schuemie","given":"Martijn J."},{"family":"Gruber","given":"Susan"},{"family":"Zorych","given":"Ivan"},{"family":"Madigan","given":"David"}],"issued":{"date-parts":[["2013",10]]}}}],"schema":"https://github.com/citation-style-language/schema/raw/master/csl-citation.json"} </w:instrText>
      </w:r>
      <w:r w:rsidR="000050BB" w:rsidRPr="002D0614">
        <w:fldChar w:fldCharType="separate"/>
      </w:r>
      <w:r w:rsidR="00EB03C3" w:rsidRPr="002D0614">
        <w:t>(2)</w:t>
      </w:r>
      <w:r w:rsidR="000050BB" w:rsidRPr="002D0614">
        <w:fldChar w:fldCharType="end"/>
      </w:r>
      <w:r w:rsidRPr="002D0614">
        <w:t>. We define ‘retrospective’ to mean the study will be conducted using data already collected prior to the start of the study. We define ‘observational’ to mean there is no intervention or treatment assignment imposed by the study. We define ‘cohort’ to mean a set of subjects satisfying one or more inclusion criteria for a duration of time. We define ‘comparative cohort design’ to mean the formal comparison between two cohorts, a target cohort and comparator cohort, for the risk of an outcome during a defined time-period after cohort entry.</w:t>
      </w:r>
    </w:p>
    <w:p w14:paraId="1F266DE9" w14:textId="77777777" w:rsidR="00123299" w:rsidRPr="002D0614" w:rsidRDefault="00123299" w:rsidP="002D0614">
      <w:pPr>
        <w:spacing w:line="276" w:lineRule="auto"/>
        <w:rPr>
          <w:rStyle w:val="normaltextrun"/>
          <w:b/>
          <w:bCs/>
          <w:color w:val="000000"/>
          <w:sz w:val="28"/>
          <w:szCs w:val="28"/>
          <w:shd w:val="clear" w:color="auto" w:fill="FFFFFF"/>
        </w:rPr>
      </w:pPr>
    </w:p>
    <w:p w14:paraId="725A2C28" w14:textId="38B04407" w:rsidR="00123299"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Data Sources</w:t>
      </w:r>
    </w:p>
    <w:p w14:paraId="5D2E8A7F" w14:textId="78BB6E5D" w:rsidR="002D0614" w:rsidRDefault="002D0614" w:rsidP="002D0614">
      <w:pPr>
        <w:spacing w:line="276" w:lineRule="auto"/>
      </w:pPr>
    </w:p>
    <w:p w14:paraId="3B2432C4" w14:textId="7D56D28D" w:rsidR="00EF7575" w:rsidRPr="00EF7575" w:rsidRDefault="00EF7575" w:rsidP="00EF7575">
      <w:pPr>
        <w:pStyle w:val="BodyText12"/>
        <w:numPr>
          <w:ilvl w:val="0"/>
          <w:numId w:val="34"/>
        </w:numPr>
        <w:rPr>
          <w:rFonts w:ascii="Times New Roman" w:hAnsi="Times New Roman" w:cs="Times New Roman"/>
          <w:sz w:val="24"/>
        </w:rPr>
      </w:pPr>
      <w:bookmarkStart w:id="1" w:name="_Toc11317357"/>
      <w:r w:rsidRPr="00EF7575">
        <w:rPr>
          <w:rFonts w:ascii="Times New Roman" w:hAnsi="Times New Roman" w:cs="Times New Roman"/>
          <w:sz w:val="24"/>
        </w:rPr>
        <w:t>Columbia University Irving Medical Center (CUIMC)</w:t>
      </w:r>
      <w:bookmarkEnd w:id="1"/>
    </w:p>
    <w:p w14:paraId="76BC67D6" w14:textId="77777777" w:rsidR="00EF7575" w:rsidRDefault="00EF7575" w:rsidP="00EF7575">
      <w:pPr>
        <w:spacing w:line="276" w:lineRule="auto"/>
      </w:pPr>
      <w:r>
        <w:t xml:space="preserve">Columbia University Irving Medical Center (CUIMC) has an anonymized electronic health record data from the Columbia University Irving Medical Center and New York-Presbyterian Hospital clinical transaction-based data repository.  The data are derived from a mixture of inpatient and outpatient visits, span a time period of 4 decades (1980s-present), and represent a population of 4 million patients. </w:t>
      </w:r>
    </w:p>
    <w:p w14:paraId="2CE66111" w14:textId="0FFC973F" w:rsidR="00012662" w:rsidRPr="002D0614" w:rsidRDefault="00012662" w:rsidP="00EF7575">
      <w:pPr>
        <w:spacing w:line="276" w:lineRule="auto"/>
      </w:pPr>
    </w:p>
    <w:p w14:paraId="6C3FDB3F" w14:textId="7BA7640E" w:rsidR="00123299" w:rsidRPr="002D0614" w:rsidRDefault="00123299" w:rsidP="00EF7575">
      <w:pPr>
        <w:spacing w:line="276" w:lineRule="auto"/>
        <w:rPr>
          <w:rStyle w:val="Hyperlink"/>
        </w:rPr>
      </w:pPr>
      <w:r w:rsidRPr="002D0614">
        <w:t xml:space="preserve">All data sources have been standardized to the </w:t>
      </w:r>
      <w:r w:rsidRPr="002D0614">
        <w:rPr>
          <w:rFonts w:eastAsia="Calibri"/>
        </w:rPr>
        <w:t>Observational Medical Outcomes Partnership (OMOP) Common Data Model (CDM)</w:t>
      </w:r>
      <w:r w:rsidR="000050BB" w:rsidRPr="002D0614">
        <w:rPr>
          <w:rFonts w:eastAsia="Calibri"/>
        </w:rPr>
        <w:t xml:space="preserve"> </w:t>
      </w:r>
      <w:r w:rsidR="000050BB" w:rsidRPr="002D0614">
        <w:rPr>
          <w:rFonts w:eastAsia="Calibri"/>
        </w:rPr>
        <w:fldChar w:fldCharType="begin"/>
      </w:r>
      <w:r w:rsidR="00EB03C3" w:rsidRPr="002D0614">
        <w:rPr>
          <w:rFonts w:eastAsia="Calibri"/>
        </w:rPr>
        <w:instrText xml:space="preserve"> ADDIN ZOTERO_ITEM CSL_CITATION {"citationID":"dL6cFvxR","properties":{"formattedCitation":"(3)","plainCitation":"(3)","noteIndex":0},"citationItems":[{"id":"cRtUfzta/nKXanT2a","uris":["http://zotero.org/users/local/nIgX7BKa/items/5CDAWJ2V"],"uri":["http://zotero.org/users/local/nIgX7BKa/items/5CDAWJ2V"],"itemData":{"id":46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0050BB" w:rsidRPr="002D0614">
        <w:rPr>
          <w:rFonts w:eastAsia="Calibri"/>
        </w:rPr>
        <w:fldChar w:fldCharType="separate"/>
      </w:r>
      <w:r w:rsidR="00EB03C3" w:rsidRPr="002D0614">
        <w:t>(3)</w:t>
      </w:r>
      <w:r w:rsidR="000050BB" w:rsidRPr="002D0614">
        <w:rPr>
          <w:rFonts w:eastAsia="Calibri"/>
        </w:rPr>
        <w:fldChar w:fldCharType="end"/>
      </w:r>
      <w:r w:rsidRPr="002D0614">
        <w:rPr>
          <w:rFonts w:eastAsia="Calibri"/>
        </w:rPr>
        <w:t>, version 5.3. The OMOP CDM includes a standard representation of health care experiences (such as information related to drug utilization and condition occurrences), common vocabularies for coding clinical concepts, and enables consistent application of analysis across multiple disparate data</w:t>
      </w:r>
      <w:r w:rsidR="000050BB" w:rsidRPr="002D0614">
        <w:rPr>
          <w:rFonts w:eastAsia="Calibri"/>
        </w:rPr>
        <w:t xml:space="preserve"> </w:t>
      </w:r>
      <w:r w:rsidR="000050BB" w:rsidRPr="002D0614">
        <w:rPr>
          <w:rFonts w:eastAsia="Calibri"/>
        </w:rPr>
        <w:fldChar w:fldCharType="begin"/>
      </w:r>
      <w:r w:rsidR="00EB03C3" w:rsidRPr="002D0614">
        <w:rPr>
          <w:rFonts w:eastAsia="Calibri"/>
        </w:rPr>
        <w:instrText xml:space="preserve"> ADDIN ZOTERO_ITEM CSL_CITATION {"citationID":"NSOvEVzC","properties":{"formattedCitation":"(3)","plainCitation":"(3)","noteIndex":0},"citationItems":[{"id":"cRtUfzta/nKXanT2a","uris":["http://zotero.org/users/local/nIgX7BKa/items/5CDAWJ2V"],"uri":["http://zotero.org/users/local/nIgX7BKa/items/5CDAWJ2V"],"itemData":{"id":46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0050BB" w:rsidRPr="002D0614">
        <w:rPr>
          <w:rFonts w:eastAsia="Calibri"/>
        </w:rPr>
        <w:fldChar w:fldCharType="separate"/>
      </w:r>
      <w:r w:rsidR="00EB03C3" w:rsidRPr="002D0614">
        <w:t>(3)</w:t>
      </w:r>
      <w:r w:rsidR="000050BB" w:rsidRPr="002D0614">
        <w:rPr>
          <w:rFonts w:eastAsia="Calibri"/>
        </w:rPr>
        <w:fldChar w:fldCharType="end"/>
      </w:r>
      <w:r w:rsidRPr="002D0614">
        <w:rPr>
          <w:rFonts w:eastAsia="Calibri"/>
        </w:rPr>
        <w:t xml:space="preserve">. The completed specification for the OMOP CDM is available at:  </w:t>
      </w:r>
      <w:hyperlink r:id="rId10">
        <w:r w:rsidRPr="002D0614">
          <w:rPr>
            <w:rStyle w:val="Hyperlink"/>
            <w:rFonts w:eastAsia="Calibri"/>
          </w:rPr>
          <w:t>https://github.com/OHDSI/CommonDataModel</w:t>
        </w:r>
      </w:hyperlink>
      <w:r w:rsidRPr="002D0614">
        <w:rPr>
          <w:rStyle w:val="Hyperlink"/>
          <w:rFonts w:eastAsia="Calibri"/>
        </w:rPr>
        <w:t xml:space="preserve">. </w:t>
      </w:r>
    </w:p>
    <w:p w14:paraId="36BB1E0F" w14:textId="77777777" w:rsidR="002D0614" w:rsidRPr="002D0614" w:rsidRDefault="002D0614" w:rsidP="002D0614">
      <w:pPr>
        <w:spacing w:line="276" w:lineRule="auto"/>
      </w:pPr>
    </w:p>
    <w:p w14:paraId="12DAF019" w14:textId="3D3AC26F" w:rsidR="00123299"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Study Populations</w:t>
      </w:r>
    </w:p>
    <w:p w14:paraId="1241E2D6" w14:textId="77777777" w:rsidR="002D0614" w:rsidRPr="002D0614" w:rsidRDefault="002D0614" w:rsidP="002D0614">
      <w:pPr>
        <w:spacing w:line="276" w:lineRule="auto"/>
        <w:rPr>
          <w:rStyle w:val="normaltextrun"/>
          <w:b/>
          <w:bCs/>
          <w:color w:val="000000"/>
          <w:sz w:val="28"/>
          <w:szCs w:val="28"/>
          <w:shd w:val="clear" w:color="auto" w:fill="FFFFFF"/>
        </w:rPr>
      </w:pPr>
    </w:p>
    <w:p w14:paraId="28BF88D1" w14:textId="3938BEDA" w:rsidR="00712879" w:rsidRPr="000E45C3" w:rsidRDefault="00712879" w:rsidP="00712879">
      <w:pPr>
        <w:pStyle w:val="ListParagraph"/>
        <w:numPr>
          <w:ilvl w:val="0"/>
          <w:numId w:val="26"/>
        </w:numPr>
        <w:spacing w:line="276" w:lineRule="auto"/>
        <w:rPr>
          <w:rFonts w:ascii="Times New Roman" w:hAnsi="Times New Roman" w:cs="Times New Roman"/>
          <w:sz w:val="24"/>
          <w:szCs w:val="24"/>
        </w:rPr>
      </w:pPr>
      <w:bookmarkStart w:id="2" w:name="_Hlk43235176"/>
      <w:r w:rsidRPr="000E45C3">
        <w:rPr>
          <w:rFonts w:ascii="Times New Roman" w:hAnsi="Times New Roman" w:cs="Times New Roman"/>
          <w:sz w:val="24"/>
          <w:szCs w:val="24"/>
        </w:rPr>
        <w:t>Absolute effectiveness</w:t>
      </w:r>
    </w:p>
    <w:p w14:paraId="7DFD4662" w14:textId="0CFB1006" w:rsidR="000050BB" w:rsidRPr="000E45C3" w:rsidRDefault="000050BB" w:rsidP="002D0614">
      <w:pPr>
        <w:spacing w:line="276" w:lineRule="auto"/>
      </w:pPr>
      <w:r w:rsidRPr="000E45C3">
        <w:t xml:space="preserve">The target cohorts (patients vaccinated with a) </w:t>
      </w:r>
      <w:bookmarkStart w:id="3" w:name="OLE_LINK1"/>
      <w:bookmarkStart w:id="4" w:name="OLE_LINK2"/>
      <w:r w:rsidRPr="000E45C3">
        <w:t>Pfizer-</w:t>
      </w:r>
      <w:proofErr w:type="spellStart"/>
      <w:r w:rsidRPr="000E45C3">
        <w:t>BioNTech</w:t>
      </w:r>
      <w:bookmarkEnd w:id="3"/>
      <w:bookmarkEnd w:id="4"/>
      <w:proofErr w:type="spellEnd"/>
      <w:r w:rsidRPr="000E45C3">
        <w:t>, b)</w:t>
      </w:r>
      <w:r w:rsidR="00777DCB" w:rsidRPr="000E45C3">
        <w:t xml:space="preserve"> </w:t>
      </w:r>
      <w:proofErr w:type="spellStart"/>
      <w:r w:rsidRPr="000E45C3">
        <w:t>Moderna</w:t>
      </w:r>
      <w:proofErr w:type="spellEnd"/>
      <w:r w:rsidRPr="000E45C3">
        <w:t xml:space="preserve"> or c)</w:t>
      </w:r>
      <w:r w:rsidR="00777DCB" w:rsidRPr="000E45C3">
        <w:t xml:space="preserve"> </w:t>
      </w:r>
      <w:r w:rsidRPr="000E45C3">
        <w:t xml:space="preserve">Janssen COVID-19 vaccine) and the comparator cohorts (unvaccinated patients anchored on a) date and b) visit) as well as the outcome cohorts </w:t>
      </w:r>
      <w:proofErr w:type="gramStart"/>
      <w:r w:rsidRPr="000E45C3">
        <w:t>( a</w:t>
      </w:r>
      <w:proofErr w:type="gramEnd"/>
      <w:r w:rsidRPr="000E45C3">
        <w:t xml:space="preserve">) COVID-19 infection and b) COVID-19 hospitalization) are described in further detail below. </w:t>
      </w:r>
      <w:bookmarkEnd w:id="2"/>
    </w:p>
    <w:p w14:paraId="16A270DA" w14:textId="71A9E5ED" w:rsidR="000E45C3" w:rsidRPr="000E45C3" w:rsidRDefault="000E45C3" w:rsidP="002D0614">
      <w:pPr>
        <w:spacing w:line="276" w:lineRule="auto"/>
      </w:pPr>
    </w:p>
    <w:p w14:paraId="0B69FC19" w14:textId="30BF5BD3" w:rsidR="000E45C3" w:rsidRPr="000E45C3" w:rsidRDefault="000E45C3" w:rsidP="000E45C3">
      <w:pPr>
        <w:pStyle w:val="ListParagraph"/>
        <w:numPr>
          <w:ilvl w:val="0"/>
          <w:numId w:val="26"/>
        </w:numPr>
        <w:spacing w:line="276" w:lineRule="auto"/>
        <w:rPr>
          <w:rFonts w:ascii="Times New Roman" w:hAnsi="Times New Roman" w:cs="Times New Roman"/>
          <w:sz w:val="24"/>
          <w:szCs w:val="24"/>
        </w:rPr>
      </w:pPr>
      <w:r w:rsidRPr="000E45C3">
        <w:rPr>
          <w:rFonts w:ascii="Times New Roman" w:hAnsi="Times New Roman" w:cs="Times New Roman"/>
          <w:sz w:val="24"/>
          <w:szCs w:val="24"/>
        </w:rPr>
        <w:t>Comparative effectiveness</w:t>
      </w:r>
    </w:p>
    <w:p w14:paraId="1DE69B3A" w14:textId="1DFA6C70" w:rsidR="000E45C3" w:rsidRPr="000E45C3" w:rsidRDefault="000E45C3" w:rsidP="000E45C3">
      <w:pPr>
        <w:spacing w:line="276" w:lineRule="auto"/>
      </w:pPr>
      <w:r w:rsidRPr="000E45C3">
        <w:t xml:space="preserve">Target and comparator cohorts </w:t>
      </w:r>
      <w:r w:rsidRPr="000E45C3">
        <w:t>(patients vaccinated with a) Pfizer-</w:t>
      </w:r>
      <w:proofErr w:type="spellStart"/>
      <w:r w:rsidRPr="000E45C3">
        <w:t>BioNTech</w:t>
      </w:r>
      <w:proofErr w:type="spellEnd"/>
      <w:r w:rsidRPr="000E45C3">
        <w:t xml:space="preserve">, b) </w:t>
      </w:r>
      <w:proofErr w:type="spellStart"/>
      <w:r w:rsidRPr="000E45C3">
        <w:t>Moderna</w:t>
      </w:r>
      <w:proofErr w:type="spellEnd"/>
      <w:r w:rsidRPr="000E45C3">
        <w:t xml:space="preserve"> or c) Janssen COVID-19 vaccine)</w:t>
      </w:r>
      <w:r w:rsidRPr="000E45C3">
        <w:t xml:space="preserve"> for pairwise vaccine comparison are described below under numbers 1-3.</w:t>
      </w:r>
    </w:p>
    <w:p w14:paraId="6FE8B518" w14:textId="52775351" w:rsidR="00712879" w:rsidRPr="002D0614" w:rsidRDefault="00712879" w:rsidP="002D0614">
      <w:pPr>
        <w:spacing w:line="276" w:lineRule="auto"/>
      </w:pPr>
    </w:p>
    <w:p w14:paraId="134C6DCF" w14:textId="62273A04" w:rsidR="002222AA"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Target Cohorts</w:t>
      </w:r>
    </w:p>
    <w:p w14:paraId="15E99661" w14:textId="77777777" w:rsidR="002D0614" w:rsidRPr="002D0614" w:rsidRDefault="002D0614" w:rsidP="002D0614">
      <w:pPr>
        <w:spacing w:line="276" w:lineRule="auto"/>
        <w:rPr>
          <w:b/>
          <w:bCs/>
          <w:color w:val="000000"/>
          <w:sz w:val="28"/>
          <w:szCs w:val="28"/>
          <w:shd w:val="clear" w:color="auto" w:fill="FFFFFF"/>
        </w:rPr>
      </w:pPr>
    </w:p>
    <w:p w14:paraId="02CFF4E9" w14:textId="27950BF2" w:rsidR="00550B2E" w:rsidRPr="002D0614" w:rsidRDefault="002222AA" w:rsidP="002D0614">
      <w:pPr>
        <w:pStyle w:val="ListParagraph"/>
        <w:numPr>
          <w:ilvl w:val="0"/>
          <w:numId w:val="4"/>
        </w:numPr>
        <w:spacing w:line="276" w:lineRule="auto"/>
        <w:rPr>
          <w:rFonts w:ascii="Times New Roman" w:hAnsi="Times New Roman" w:cs="Times New Roman"/>
          <w:sz w:val="24"/>
          <w:szCs w:val="24"/>
        </w:rPr>
      </w:pPr>
      <w:r w:rsidRPr="002D0614">
        <w:rPr>
          <w:rFonts w:ascii="Times New Roman" w:hAnsi="Times New Roman" w:cs="Times New Roman"/>
          <w:b/>
          <w:bCs/>
          <w:sz w:val="24"/>
          <w:szCs w:val="24"/>
        </w:rPr>
        <w:t xml:space="preserve">Persons fully vaccinated with </w:t>
      </w:r>
      <w:proofErr w:type="spellStart"/>
      <w:r w:rsidRPr="002D0614">
        <w:rPr>
          <w:rFonts w:ascii="Times New Roman" w:hAnsi="Times New Roman" w:cs="Times New Roman"/>
          <w:b/>
          <w:bCs/>
          <w:sz w:val="24"/>
          <w:szCs w:val="24"/>
        </w:rPr>
        <w:t>Moder</w:t>
      </w:r>
      <w:r w:rsidR="00550B2E" w:rsidRPr="002D0614">
        <w:rPr>
          <w:rFonts w:ascii="Times New Roman" w:hAnsi="Times New Roman" w:cs="Times New Roman"/>
          <w:b/>
          <w:bCs/>
          <w:sz w:val="24"/>
          <w:szCs w:val="24"/>
        </w:rPr>
        <w:t>na</w:t>
      </w:r>
      <w:proofErr w:type="spellEnd"/>
      <w:r w:rsidR="00550B2E" w:rsidRPr="002D0614">
        <w:rPr>
          <w:rFonts w:ascii="Times New Roman" w:hAnsi="Times New Roman" w:cs="Times New Roman"/>
          <w:b/>
          <w:bCs/>
          <w:sz w:val="24"/>
          <w:szCs w:val="24"/>
        </w:rPr>
        <w:t xml:space="preserve"> COVID-19 vaccine</w:t>
      </w:r>
      <w:r w:rsidR="00550B2E" w:rsidRPr="002D0614">
        <w:rPr>
          <w:rFonts w:ascii="Times New Roman" w:hAnsi="Times New Roman" w:cs="Times New Roman"/>
          <w:sz w:val="24"/>
          <w:szCs w:val="24"/>
        </w:rPr>
        <w:t xml:space="preserve"> (</w:t>
      </w:r>
      <w:hyperlink r:id="rId11" w:anchor="/cohortdefinition/417" w:history="1">
        <w:r w:rsidRPr="002D0614">
          <w:rPr>
            <w:rStyle w:val="Hyperlink"/>
            <w:rFonts w:ascii="Times New Roman" w:hAnsi="Times New Roman" w:cs="Times New Roman"/>
            <w:sz w:val="24"/>
            <w:szCs w:val="24"/>
          </w:rPr>
          <w:t>https://atlas.ohdsi.org/#/cohortdefinition/417</w:t>
        </w:r>
      </w:hyperlink>
      <w:r w:rsidR="00550B2E" w:rsidRPr="002D0614">
        <w:rPr>
          <w:rStyle w:val="Hyperlink"/>
          <w:rFonts w:ascii="Times New Roman" w:hAnsi="Times New Roman" w:cs="Times New Roman"/>
          <w:sz w:val="24"/>
          <w:szCs w:val="24"/>
        </w:rPr>
        <w:t>)</w:t>
      </w:r>
    </w:p>
    <w:p w14:paraId="7D3A2240" w14:textId="632937EA" w:rsidR="00550B2E" w:rsidRPr="002D0614" w:rsidRDefault="00A96912" w:rsidP="002D0614">
      <w:pPr>
        <w:spacing w:line="276" w:lineRule="auto"/>
      </w:pPr>
      <w:r w:rsidRPr="002D0614">
        <w:t xml:space="preserve">Persons </w:t>
      </w:r>
      <w:r w:rsidR="00550B2E" w:rsidRPr="002D0614">
        <w:t xml:space="preserve">indexed on a drug exposure of </w:t>
      </w:r>
      <w:proofErr w:type="spellStart"/>
      <w:r w:rsidR="00550B2E" w:rsidRPr="002D0614">
        <w:t>Moderna</w:t>
      </w:r>
      <w:proofErr w:type="spellEnd"/>
      <w:r w:rsidR="00550B2E" w:rsidRPr="002D0614">
        <w:t xml:space="preserve"> COVID-19 vaccine with</w:t>
      </w:r>
    </w:p>
    <w:p w14:paraId="0A106C7B" w14:textId="00A61E16"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 xml:space="preserve">At least one drug exposure of </w:t>
      </w:r>
      <w:proofErr w:type="spellStart"/>
      <w:r w:rsidRPr="002D0614">
        <w:rPr>
          <w:rFonts w:ascii="Times New Roman" w:hAnsi="Times New Roman" w:cs="Times New Roman"/>
          <w:sz w:val="24"/>
          <w:szCs w:val="24"/>
        </w:rPr>
        <w:t>Moderna</w:t>
      </w:r>
      <w:proofErr w:type="spellEnd"/>
      <w:r w:rsidRPr="002D0614">
        <w:rPr>
          <w:rFonts w:ascii="Times New Roman" w:hAnsi="Times New Roman" w:cs="Times New Roman"/>
          <w:sz w:val="24"/>
          <w:szCs w:val="24"/>
        </w:rPr>
        <w:t xml:space="preserve"> COVID-19 vaccine within 14-56 days after the index date</w:t>
      </w:r>
    </w:p>
    <w:p w14:paraId="17B5F3CD" w14:textId="5A8EC49A"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At least 14 days of observation after the index date</w:t>
      </w:r>
    </w:p>
    <w:p w14:paraId="6B25F1EE" w14:textId="64F75CFF"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No drug exposures of other COVID-19 vaccines with 120 days prior or after the index date</w:t>
      </w:r>
    </w:p>
    <w:p w14:paraId="4D387549" w14:textId="5858CFF3" w:rsidR="00550B2E" w:rsidRPr="002D0614" w:rsidRDefault="0078005B"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 with location in New York City, to ensure that city immunization registry record does not exist</w:t>
      </w:r>
    </w:p>
    <w:p w14:paraId="303C20FD" w14:textId="77777777" w:rsidR="002222AA" w:rsidRPr="002D0614" w:rsidRDefault="002222AA" w:rsidP="002D0614">
      <w:pPr>
        <w:pStyle w:val="ListParagraph"/>
        <w:spacing w:line="276" w:lineRule="auto"/>
        <w:rPr>
          <w:rFonts w:ascii="Times New Roman" w:hAnsi="Times New Roman" w:cs="Times New Roman"/>
          <w:sz w:val="24"/>
          <w:szCs w:val="24"/>
        </w:rPr>
      </w:pPr>
    </w:p>
    <w:p w14:paraId="0DCA6447" w14:textId="6444A6E8" w:rsidR="002222AA" w:rsidRPr="002D0614" w:rsidRDefault="002222AA" w:rsidP="002D0614">
      <w:pPr>
        <w:pStyle w:val="ListParagraph"/>
        <w:numPr>
          <w:ilvl w:val="0"/>
          <w:numId w:val="4"/>
        </w:numPr>
        <w:spacing w:line="276" w:lineRule="auto"/>
        <w:rPr>
          <w:rStyle w:val="Hyperlink"/>
          <w:rFonts w:ascii="Times New Roman" w:hAnsi="Times New Roman" w:cs="Times New Roman"/>
          <w:color w:val="auto"/>
          <w:sz w:val="24"/>
          <w:szCs w:val="24"/>
          <w:u w:val="none"/>
        </w:rPr>
      </w:pPr>
      <w:r w:rsidRPr="002D0614">
        <w:rPr>
          <w:rFonts w:ascii="Times New Roman" w:hAnsi="Times New Roman" w:cs="Times New Roman"/>
          <w:b/>
          <w:bCs/>
          <w:sz w:val="24"/>
          <w:szCs w:val="24"/>
        </w:rPr>
        <w:t>Persons fully vaccinated</w:t>
      </w:r>
      <w:r w:rsidR="00550B2E" w:rsidRPr="002D0614">
        <w:rPr>
          <w:rFonts w:ascii="Times New Roman" w:hAnsi="Times New Roman" w:cs="Times New Roman"/>
          <w:b/>
          <w:bCs/>
          <w:sz w:val="24"/>
          <w:szCs w:val="24"/>
        </w:rPr>
        <w:t xml:space="preserve"> with Pfizer COVID-19 vaccine</w:t>
      </w:r>
      <w:r w:rsidR="00550B2E" w:rsidRPr="002D0614">
        <w:rPr>
          <w:rFonts w:ascii="Times New Roman" w:hAnsi="Times New Roman" w:cs="Times New Roman"/>
          <w:sz w:val="24"/>
          <w:szCs w:val="24"/>
        </w:rPr>
        <w:t xml:space="preserve"> (</w:t>
      </w:r>
      <w:hyperlink r:id="rId12" w:anchor="/cohortdefinition/418" w:history="1">
        <w:r w:rsidRPr="002D0614">
          <w:rPr>
            <w:rStyle w:val="Hyperlink"/>
            <w:rFonts w:ascii="Times New Roman" w:hAnsi="Times New Roman" w:cs="Times New Roman"/>
            <w:sz w:val="24"/>
            <w:szCs w:val="24"/>
          </w:rPr>
          <w:t>https://atlas.ohdsi.org/#/cohortdefinition/418</w:t>
        </w:r>
      </w:hyperlink>
      <w:r w:rsidR="00550B2E" w:rsidRPr="002D0614">
        <w:rPr>
          <w:rStyle w:val="Hyperlink"/>
          <w:rFonts w:ascii="Times New Roman" w:hAnsi="Times New Roman" w:cs="Times New Roman"/>
          <w:sz w:val="24"/>
          <w:szCs w:val="24"/>
        </w:rPr>
        <w:t>)</w:t>
      </w:r>
    </w:p>
    <w:p w14:paraId="025141A0" w14:textId="17D317D7" w:rsidR="00550B2E" w:rsidRPr="002D0614" w:rsidRDefault="00A96912" w:rsidP="002D0614">
      <w:pPr>
        <w:spacing w:line="276" w:lineRule="auto"/>
      </w:pPr>
      <w:r w:rsidRPr="002D0614">
        <w:t xml:space="preserve">Persons </w:t>
      </w:r>
      <w:r w:rsidR="00550B2E" w:rsidRPr="002D0614">
        <w:t>indexed on a drug exposure of Pfizer COVID-19 vaccine with</w:t>
      </w:r>
    </w:p>
    <w:p w14:paraId="024F412A" w14:textId="72E8D68A"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At least one drug exposure of Pfizer COVID-19 vaccine within 14-56 days after the index date</w:t>
      </w:r>
    </w:p>
    <w:p w14:paraId="358397EA" w14:textId="77777777"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At least 14 days of observation after the index date</w:t>
      </w:r>
    </w:p>
    <w:p w14:paraId="1467CA91" w14:textId="06C78C77"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No drug exposures of other COVID-19 vaccines with 120 days prior or after the index date</w:t>
      </w:r>
    </w:p>
    <w:p w14:paraId="30645798" w14:textId="69DC158D" w:rsidR="0078005B" w:rsidRPr="002D0614" w:rsidRDefault="0078005B"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 with location in New York City, to ensure that city immunization registry record does not exist</w:t>
      </w:r>
    </w:p>
    <w:p w14:paraId="458E83DC" w14:textId="77777777" w:rsidR="002222AA" w:rsidRPr="002D0614" w:rsidRDefault="002222AA" w:rsidP="002D0614">
      <w:pPr>
        <w:pStyle w:val="ListParagraph"/>
        <w:spacing w:line="276" w:lineRule="auto"/>
        <w:rPr>
          <w:rFonts w:ascii="Times New Roman" w:hAnsi="Times New Roman" w:cs="Times New Roman"/>
          <w:sz w:val="24"/>
          <w:szCs w:val="24"/>
        </w:rPr>
      </w:pPr>
    </w:p>
    <w:p w14:paraId="07655FC6" w14:textId="622E57E7" w:rsidR="002222AA" w:rsidRPr="002D0614" w:rsidRDefault="002222AA" w:rsidP="002D0614">
      <w:pPr>
        <w:pStyle w:val="ListParagraph"/>
        <w:numPr>
          <w:ilvl w:val="0"/>
          <w:numId w:val="4"/>
        </w:numPr>
        <w:spacing w:line="276" w:lineRule="auto"/>
        <w:rPr>
          <w:rFonts w:ascii="Times New Roman" w:hAnsi="Times New Roman" w:cs="Times New Roman"/>
          <w:b/>
          <w:bCs/>
          <w:sz w:val="24"/>
          <w:szCs w:val="24"/>
        </w:rPr>
      </w:pPr>
      <w:r w:rsidRPr="002D0614">
        <w:rPr>
          <w:rFonts w:ascii="Times New Roman" w:hAnsi="Times New Roman" w:cs="Times New Roman"/>
          <w:b/>
          <w:bCs/>
          <w:sz w:val="24"/>
          <w:szCs w:val="24"/>
        </w:rPr>
        <w:t xml:space="preserve">Persons fully vaccinated </w:t>
      </w:r>
      <w:r w:rsidR="002D0614" w:rsidRPr="002D0614">
        <w:rPr>
          <w:rFonts w:ascii="Times New Roman" w:hAnsi="Times New Roman" w:cs="Times New Roman"/>
          <w:b/>
          <w:bCs/>
          <w:sz w:val="24"/>
          <w:szCs w:val="24"/>
        </w:rPr>
        <w:t>with</w:t>
      </w:r>
      <w:r w:rsidRPr="002D0614">
        <w:rPr>
          <w:rFonts w:ascii="Times New Roman" w:hAnsi="Times New Roman" w:cs="Times New Roman"/>
          <w:b/>
          <w:bCs/>
          <w:sz w:val="24"/>
          <w:szCs w:val="24"/>
        </w:rPr>
        <w:t xml:space="preserve"> Janssen COVID-19 vaccine:</w:t>
      </w:r>
    </w:p>
    <w:p w14:paraId="5717E208" w14:textId="2036D370" w:rsidR="002222AA" w:rsidRPr="002D0614" w:rsidRDefault="00550B2E"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t>(</w:t>
      </w:r>
      <w:hyperlink r:id="rId13" w:anchor="/cohortdefinition/420" w:history="1">
        <w:r w:rsidR="002222AA" w:rsidRPr="002D0614">
          <w:rPr>
            <w:rStyle w:val="Hyperlink"/>
            <w:rFonts w:ascii="Times New Roman" w:hAnsi="Times New Roman" w:cs="Times New Roman"/>
            <w:sz w:val="24"/>
            <w:szCs w:val="24"/>
          </w:rPr>
          <w:t>https://atlas.ohdsi.org/#/cohortdefinition/420</w:t>
        </w:r>
      </w:hyperlink>
      <w:r w:rsidRPr="002D0614">
        <w:rPr>
          <w:rStyle w:val="Hyperlink"/>
          <w:rFonts w:ascii="Times New Roman" w:hAnsi="Times New Roman" w:cs="Times New Roman"/>
          <w:sz w:val="24"/>
          <w:szCs w:val="24"/>
        </w:rPr>
        <w:t>)</w:t>
      </w:r>
    </w:p>
    <w:p w14:paraId="429DB0E2" w14:textId="0DC481CE" w:rsidR="00550B2E" w:rsidRPr="002D0614" w:rsidRDefault="00A96912" w:rsidP="002D0614">
      <w:pPr>
        <w:spacing w:line="276" w:lineRule="auto"/>
      </w:pPr>
      <w:r w:rsidRPr="002D0614">
        <w:t xml:space="preserve">Persons </w:t>
      </w:r>
      <w:r w:rsidR="00550B2E" w:rsidRPr="002D0614">
        <w:t>indexed on a drug exposure of Janssen COVID-19 vaccine with</w:t>
      </w:r>
    </w:p>
    <w:p w14:paraId="72D07D32" w14:textId="77777777"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At least 14 days of observation after the index date</w:t>
      </w:r>
    </w:p>
    <w:p w14:paraId="435FD29D" w14:textId="52F746FB" w:rsidR="00550B2E" w:rsidRPr="002D0614" w:rsidRDefault="00550B2E"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No drug exposures of other COVID-19 vaccines with 120 days prior or after the index date</w:t>
      </w:r>
    </w:p>
    <w:p w14:paraId="736ADCED" w14:textId="26EF3095" w:rsidR="0078005B" w:rsidRPr="002D0614" w:rsidRDefault="0078005B"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 with location in New York City, to ensure that city immunization registry record does not exist</w:t>
      </w:r>
    </w:p>
    <w:p w14:paraId="41277AAD" w14:textId="77777777" w:rsidR="002D0614" w:rsidRPr="002D0614" w:rsidRDefault="002D0614" w:rsidP="002D0614">
      <w:pPr>
        <w:pStyle w:val="ListParagraph"/>
        <w:spacing w:line="276" w:lineRule="auto"/>
        <w:rPr>
          <w:rFonts w:ascii="Times New Roman" w:hAnsi="Times New Roman" w:cs="Times New Roman"/>
          <w:sz w:val="24"/>
          <w:szCs w:val="24"/>
        </w:rPr>
      </w:pPr>
    </w:p>
    <w:p w14:paraId="3D2E2767" w14:textId="63AA3D70" w:rsidR="002D0614" w:rsidRPr="002D0614" w:rsidRDefault="002D0614" w:rsidP="002D0614">
      <w:pPr>
        <w:pStyle w:val="ListParagraph"/>
        <w:numPr>
          <w:ilvl w:val="0"/>
          <w:numId w:val="4"/>
        </w:numPr>
        <w:spacing w:line="276" w:lineRule="auto"/>
        <w:rPr>
          <w:rFonts w:ascii="Times New Roman" w:hAnsi="Times New Roman" w:cs="Times New Roman"/>
          <w:b/>
          <w:bCs/>
          <w:sz w:val="24"/>
          <w:szCs w:val="24"/>
        </w:rPr>
      </w:pPr>
      <w:r w:rsidRPr="002D0614">
        <w:rPr>
          <w:rFonts w:ascii="Times New Roman" w:hAnsi="Times New Roman" w:cs="Times New Roman"/>
          <w:b/>
          <w:bCs/>
          <w:sz w:val="24"/>
          <w:szCs w:val="24"/>
        </w:rPr>
        <w:t xml:space="preserve">Persons fully or partially vaccinated with </w:t>
      </w:r>
      <w:proofErr w:type="spellStart"/>
      <w:r w:rsidRPr="002D0614">
        <w:rPr>
          <w:rFonts w:ascii="Times New Roman" w:hAnsi="Times New Roman" w:cs="Times New Roman"/>
          <w:b/>
          <w:bCs/>
          <w:sz w:val="24"/>
          <w:szCs w:val="24"/>
        </w:rPr>
        <w:t>Moderna</w:t>
      </w:r>
      <w:proofErr w:type="spellEnd"/>
      <w:r w:rsidRPr="002D0614">
        <w:rPr>
          <w:rFonts w:ascii="Times New Roman" w:hAnsi="Times New Roman" w:cs="Times New Roman"/>
          <w:b/>
          <w:bCs/>
          <w:sz w:val="24"/>
          <w:szCs w:val="24"/>
        </w:rPr>
        <w:t xml:space="preserve"> COVID-19 vaccine</w:t>
      </w:r>
    </w:p>
    <w:p w14:paraId="58B54456" w14:textId="77777777" w:rsidR="002D0614" w:rsidRPr="002D0614" w:rsidRDefault="002D0614" w:rsidP="002D0614">
      <w:pPr>
        <w:spacing w:line="276" w:lineRule="auto"/>
      </w:pPr>
    </w:p>
    <w:p w14:paraId="1503EE4C" w14:textId="51F89EDC" w:rsidR="002D0614" w:rsidRPr="002D0614" w:rsidRDefault="002D0614" w:rsidP="002D0614">
      <w:pPr>
        <w:spacing w:line="276" w:lineRule="auto"/>
      </w:pPr>
      <w:r w:rsidRPr="002D0614">
        <w:t xml:space="preserve">Persons indexed on the first drug exposure of </w:t>
      </w:r>
      <w:proofErr w:type="spellStart"/>
      <w:r w:rsidRPr="002D0614">
        <w:t>Moderna</w:t>
      </w:r>
      <w:proofErr w:type="spellEnd"/>
      <w:r w:rsidRPr="002D0614">
        <w:t xml:space="preserve"> COVID-19 vaccine with</w:t>
      </w:r>
    </w:p>
    <w:p w14:paraId="48AD7999" w14:textId="77777777" w:rsidR="002D0614" w:rsidRPr="002D0614" w:rsidRDefault="002D0614" w:rsidP="002D0614">
      <w:pPr>
        <w:spacing w:line="276" w:lineRule="auto"/>
      </w:pPr>
    </w:p>
    <w:p w14:paraId="601C40F4" w14:textId="77777777" w:rsidR="002D0614" w:rsidRPr="002D0614" w:rsidRDefault="002D0614"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lastRenderedPageBreak/>
        <w:t>No drug exposures of other COVID-19 vaccines with 120 days prior or after the index date</w:t>
      </w:r>
    </w:p>
    <w:p w14:paraId="36F4AD54" w14:textId="77777777" w:rsidR="002D0614" w:rsidRPr="002D0614" w:rsidRDefault="002D0614"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 with location in New York City, to ensure that city immunization registry record does not exist</w:t>
      </w:r>
    </w:p>
    <w:p w14:paraId="5135B3A7" w14:textId="0074F55F" w:rsidR="002D0614" w:rsidRPr="002D0614" w:rsidRDefault="002D0614" w:rsidP="002D0614">
      <w:pPr>
        <w:pStyle w:val="ListParagraph"/>
        <w:spacing w:line="276" w:lineRule="auto"/>
        <w:rPr>
          <w:rFonts w:ascii="Times New Roman" w:hAnsi="Times New Roman" w:cs="Times New Roman"/>
          <w:sz w:val="24"/>
          <w:szCs w:val="24"/>
        </w:rPr>
      </w:pPr>
    </w:p>
    <w:p w14:paraId="215A0715" w14:textId="757BC6BC" w:rsidR="002D0614" w:rsidRPr="002D0614" w:rsidRDefault="002D0614" w:rsidP="002D0614">
      <w:pPr>
        <w:pStyle w:val="ListParagraph"/>
        <w:numPr>
          <w:ilvl w:val="0"/>
          <w:numId w:val="4"/>
        </w:numPr>
        <w:spacing w:line="276" w:lineRule="auto"/>
        <w:rPr>
          <w:rFonts w:ascii="Times New Roman" w:hAnsi="Times New Roman" w:cs="Times New Roman"/>
          <w:b/>
          <w:bCs/>
          <w:sz w:val="24"/>
          <w:szCs w:val="24"/>
        </w:rPr>
      </w:pPr>
      <w:r w:rsidRPr="002D0614">
        <w:rPr>
          <w:rFonts w:ascii="Times New Roman" w:hAnsi="Times New Roman" w:cs="Times New Roman"/>
          <w:b/>
          <w:bCs/>
          <w:sz w:val="24"/>
          <w:szCs w:val="24"/>
        </w:rPr>
        <w:t>Persons fully or partially vaccinated with Pfizer COVID-19 vaccine</w:t>
      </w:r>
    </w:p>
    <w:p w14:paraId="287E7C08" w14:textId="1365A28D" w:rsidR="002D0614" w:rsidRPr="002D0614" w:rsidRDefault="002D0614" w:rsidP="002D0614">
      <w:pPr>
        <w:spacing w:line="276" w:lineRule="auto"/>
      </w:pPr>
      <w:r w:rsidRPr="002D0614">
        <w:t>Persons indexed on the first drug exposure of Pfizer COVID-19 vaccine with</w:t>
      </w:r>
    </w:p>
    <w:p w14:paraId="17691647" w14:textId="77777777" w:rsidR="002D0614" w:rsidRPr="002D0614" w:rsidRDefault="002D0614"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No drug exposures of other COVID-19 vaccines with 120 days prior or after the index date</w:t>
      </w:r>
    </w:p>
    <w:p w14:paraId="28841E53" w14:textId="3D19AC9A" w:rsidR="002D0614" w:rsidRPr="002D0614" w:rsidRDefault="002D0614"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 with location in New York City, to ensure that city immunization registry record does not exist</w:t>
      </w:r>
    </w:p>
    <w:p w14:paraId="1CFF5E53" w14:textId="77777777" w:rsidR="002D0614" w:rsidRPr="002D0614" w:rsidRDefault="002D0614" w:rsidP="002D0614">
      <w:pPr>
        <w:pStyle w:val="ListParagraph"/>
        <w:spacing w:line="276" w:lineRule="auto"/>
        <w:rPr>
          <w:rFonts w:ascii="Times New Roman" w:hAnsi="Times New Roman" w:cs="Times New Roman"/>
          <w:sz w:val="24"/>
          <w:szCs w:val="24"/>
        </w:rPr>
      </w:pPr>
    </w:p>
    <w:p w14:paraId="0F3E7AE8" w14:textId="6EA13F53" w:rsidR="002D0614" w:rsidRPr="002D0614" w:rsidRDefault="002D0614" w:rsidP="002D0614">
      <w:pPr>
        <w:pStyle w:val="ListParagraph"/>
        <w:numPr>
          <w:ilvl w:val="0"/>
          <w:numId w:val="4"/>
        </w:numPr>
        <w:spacing w:line="276" w:lineRule="auto"/>
        <w:rPr>
          <w:rFonts w:ascii="Times New Roman" w:hAnsi="Times New Roman" w:cs="Times New Roman"/>
          <w:b/>
          <w:bCs/>
          <w:sz w:val="24"/>
          <w:szCs w:val="24"/>
        </w:rPr>
      </w:pPr>
      <w:r w:rsidRPr="002D0614">
        <w:rPr>
          <w:rFonts w:ascii="Times New Roman" w:hAnsi="Times New Roman" w:cs="Times New Roman"/>
          <w:b/>
          <w:bCs/>
          <w:sz w:val="24"/>
          <w:szCs w:val="24"/>
        </w:rPr>
        <w:t>Persons fully or partially vaccinated with Janssen COVID-19 vaccine</w:t>
      </w:r>
    </w:p>
    <w:p w14:paraId="490B5772" w14:textId="15DE6581" w:rsidR="002D0614" w:rsidRPr="002D0614" w:rsidRDefault="002D0614" w:rsidP="002D0614">
      <w:pPr>
        <w:spacing w:line="276" w:lineRule="auto"/>
      </w:pPr>
      <w:r w:rsidRPr="002D0614">
        <w:t>Persons indexed on the first drug exposure of Janssen COVID-19 vaccine with</w:t>
      </w:r>
    </w:p>
    <w:p w14:paraId="532698A3" w14:textId="77777777" w:rsidR="002D0614" w:rsidRPr="002D0614" w:rsidRDefault="002D0614" w:rsidP="002D0614">
      <w:pPr>
        <w:spacing w:line="276" w:lineRule="auto"/>
      </w:pPr>
    </w:p>
    <w:p w14:paraId="0ABA9875" w14:textId="1E49D3FE" w:rsidR="002D0614" w:rsidRPr="002D0614" w:rsidRDefault="002D0614"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No drug exposures of other COVID-19 vaccines with 120 days prior or after the index date</w:t>
      </w:r>
    </w:p>
    <w:p w14:paraId="337781EB" w14:textId="5F9F8C24" w:rsidR="002D0614" w:rsidRPr="002D0614" w:rsidRDefault="002D0614"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 with location in New York City, to ensure that city immunization registry record does not exist</w:t>
      </w:r>
    </w:p>
    <w:p w14:paraId="3AA43B8A" w14:textId="77777777" w:rsidR="002222AA" w:rsidRPr="002D0614" w:rsidRDefault="002222AA" w:rsidP="002D0614">
      <w:pPr>
        <w:spacing w:line="276" w:lineRule="auto"/>
      </w:pPr>
    </w:p>
    <w:p w14:paraId="731853D9" w14:textId="1B16D52E" w:rsidR="002222AA"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 xml:space="preserve">Comparator Cohorts </w:t>
      </w:r>
    </w:p>
    <w:p w14:paraId="55FD1103" w14:textId="7B359AAB" w:rsidR="002D0614" w:rsidRDefault="002D0614" w:rsidP="002D0614">
      <w:pPr>
        <w:spacing w:line="276" w:lineRule="auto"/>
        <w:rPr>
          <w:rStyle w:val="normaltextrun"/>
          <w:b/>
          <w:bCs/>
          <w:color w:val="000000"/>
          <w:sz w:val="28"/>
          <w:szCs w:val="28"/>
          <w:shd w:val="clear" w:color="auto" w:fill="FFFFFF"/>
        </w:rPr>
      </w:pPr>
    </w:p>
    <w:p w14:paraId="527B85A9" w14:textId="4FF3234C" w:rsidR="00012662" w:rsidRDefault="00012662" w:rsidP="002D0614">
      <w:pPr>
        <w:spacing w:line="276" w:lineRule="auto"/>
        <w:rPr>
          <w:rStyle w:val="normaltextrun"/>
          <w:b/>
          <w:bCs/>
          <w:i/>
          <w:color w:val="000000"/>
          <w:szCs w:val="28"/>
          <w:shd w:val="clear" w:color="auto" w:fill="FFFFFF"/>
        </w:rPr>
      </w:pPr>
      <w:r w:rsidRPr="00012662">
        <w:rPr>
          <w:rStyle w:val="normaltextrun"/>
          <w:b/>
          <w:bCs/>
          <w:i/>
          <w:color w:val="000000"/>
          <w:szCs w:val="28"/>
          <w:shd w:val="clear" w:color="auto" w:fill="FFFFFF"/>
        </w:rPr>
        <w:t>Absolute effectiveness estimation</w:t>
      </w:r>
    </w:p>
    <w:p w14:paraId="5517A88B" w14:textId="7967429F" w:rsidR="00012662" w:rsidRPr="00012662" w:rsidRDefault="00012662" w:rsidP="00012662">
      <w:pPr>
        <w:spacing w:line="276" w:lineRule="auto"/>
        <w:rPr>
          <w:rStyle w:val="normaltextrun"/>
          <w:bCs/>
          <w:color w:val="000000"/>
          <w:szCs w:val="28"/>
          <w:shd w:val="clear" w:color="auto" w:fill="FFFFFF"/>
        </w:rPr>
      </w:pPr>
    </w:p>
    <w:p w14:paraId="0973B5FE" w14:textId="20589B4C" w:rsidR="00012662" w:rsidRPr="00012662" w:rsidRDefault="00012662" w:rsidP="00012662">
      <w:pPr>
        <w:spacing w:line="276" w:lineRule="auto"/>
      </w:pPr>
      <w:r w:rsidRPr="00012662">
        <w:rPr>
          <w:rStyle w:val="normaltextrun"/>
          <w:bCs/>
          <w:color w:val="000000"/>
          <w:szCs w:val="28"/>
          <w:shd w:val="clear" w:color="auto" w:fill="FFFFFF"/>
        </w:rPr>
        <w:t>There is no established index date for unvaccinated comparators. In this study, we approximate the start date for every comparator person by selecting a visit or a date matching the date of vaccination in the target group. Alternative approaches will be explored.</w:t>
      </w:r>
    </w:p>
    <w:p w14:paraId="13D8D059" w14:textId="77777777" w:rsidR="00012662" w:rsidRPr="00012662" w:rsidRDefault="00012662" w:rsidP="002D0614">
      <w:pPr>
        <w:spacing w:line="276" w:lineRule="auto"/>
        <w:rPr>
          <w:rStyle w:val="normaltextrun"/>
          <w:b/>
          <w:bCs/>
          <w:i/>
          <w:color w:val="000000"/>
          <w:szCs w:val="28"/>
          <w:shd w:val="clear" w:color="auto" w:fill="FFFFFF"/>
        </w:rPr>
      </w:pPr>
    </w:p>
    <w:p w14:paraId="04580C68" w14:textId="7F7FE7ED" w:rsidR="0078005B" w:rsidRPr="002D0614" w:rsidRDefault="002222AA" w:rsidP="002D0614">
      <w:pPr>
        <w:pStyle w:val="ListParagraph"/>
        <w:numPr>
          <w:ilvl w:val="0"/>
          <w:numId w:val="7"/>
        </w:numPr>
        <w:spacing w:line="276" w:lineRule="auto"/>
        <w:rPr>
          <w:rFonts w:ascii="Times New Roman" w:hAnsi="Times New Roman" w:cs="Times New Roman"/>
          <w:sz w:val="24"/>
          <w:szCs w:val="24"/>
        </w:rPr>
      </w:pPr>
      <w:r w:rsidRPr="002D0614">
        <w:rPr>
          <w:rFonts w:ascii="Times New Roman" w:hAnsi="Times New Roman" w:cs="Times New Roman"/>
          <w:sz w:val="24"/>
          <w:szCs w:val="24"/>
        </w:rPr>
        <w:t>Persons</w:t>
      </w:r>
      <w:r w:rsidR="0078005B" w:rsidRPr="002D0614">
        <w:rPr>
          <w:rFonts w:ascii="Times New Roman" w:hAnsi="Times New Roman" w:cs="Times New Roman"/>
          <w:sz w:val="24"/>
          <w:szCs w:val="24"/>
        </w:rPr>
        <w:t xml:space="preserve"> not exposed to any COVID-19 vaccine indexed on a visit </w:t>
      </w:r>
    </w:p>
    <w:p w14:paraId="334EA253" w14:textId="0B3BE90A" w:rsidR="002222AA" w:rsidRPr="002D0614" w:rsidRDefault="0078005B"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t xml:space="preserve">- </w:t>
      </w:r>
      <w:r w:rsidR="002222AA" w:rsidRPr="002D0614">
        <w:rPr>
          <w:rFonts w:ascii="Times New Roman" w:hAnsi="Times New Roman" w:cs="Times New Roman"/>
          <w:sz w:val="24"/>
          <w:szCs w:val="24"/>
        </w:rPr>
        <w:t xml:space="preserve"> index </w:t>
      </w:r>
      <w:r w:rsidRPr="002D0614">
        <w:rPr>
          <w:rFonts w:ascii="Times New Roman" w:hAnsi="Times New Roman" w:cs="Times New Roman"/>
          <w:sz w:val="24"/>
          <w:szCs w:val="24"/>
        </w:rPr>
        <w:t>visit</w:t>
      </w:r>
      <w:r w:rsidR="002222AA" w:rsidRPr="002D0614">
        <w:rPr>
          <w:rFonts w:ascii="Times New Roman" w:hAnsi="Times New Roman" w:cs="Times New Roman"/>
          <w:sz w:val="24"/>
          <w:szCs w:val="24"/>
        </w:rPr>
        <w:t xml:space="preserve"> matched </w:t>
      </w:r>
      <w:r w:rsidRPr="002D0614">
        <w:rPr>
          <w:rFonts w:ascii="Times New Roman" w:hAnsi="Times New Roman" w:cs="Times New Roman"/>
          <w:sz w:val="24"/>
          <w:szCs w:val="24"/>
        </w:rPr>
        <w:t>to the date of vaccination in patients in a</w:t>
      </w:r>
      <w:r w:rsidR="002222AA" w:rsidRPr="002D0614">
        <w:rPr>
          <w:rFonts w:ascii="Times New Roman" w:hAnsi="Times New Roman" w:cs="Times New Roman"/>
          <w:sz w:val="24"/>
          <w:szCs w:val="24"/>
        </w:rPr>
        <w:t xml:space="preserve"> target</w:t>
      </w:r>
      <w:r w:rsidRPr="002D0614">
        <w:rPr>
          <w:rFonts w:ascii="Times New Roman" w:hAnsi="Times New Roman" w:cs="Times New Roman"/>
          <w:sz w:val="24"/>
          <w:szCs w:val="24"/>
        </w:rPr>
        <w:t xml:space="preserve"> group as well as on their age and sex</w:t>
      </w:r>
      <w:r w:rsidR="002222AA" w:rsidRPr="002D0614">
        <w:rPr>
          <w:rFonts w:ascii="Times New Roman" w:hAnsi="Times New Roman" w:cs="Times New Roman"/>
          <w:sz w:val="24"/>
          <w:szCs w:val="24"/>
        </w:rPr>
        <w:t xml:space="preserve"> </w:t>
      </w:r>
    </w:p>
    <w:p w14:paraId="713B2470" w14:textId="1C6BD853" w:rsidR="0078005B" w:rsidRPr="002D0614" w:rsidRDefault="0078005B"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t>- &gt;=365 days of prior observation</w:t>
      </w:r>
    </w:p>
    <w:p w14:paraId="47403B88" w14:textId="018A8A32" w:rsidR="0078005B" w:rsidRPr="002D0614" w:rsidRDefault="0078005B"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t>- persons with location in New York City, to ensure that city immunization registry record does not exist</w:t>
      </w:r>
    </w:p>
    <w:p w14:paraId="3AE451EB" w14:textId="006D940D" w:rsidR="0078005B" w:rsidRPr="002D0614" w:rsidRDefault="0078005B" w:rsidP="002D0614">
      <w:pPr>
        <w:pStyle w:val="ListParagraph"/>
        <w:spacing w:line="276" w:lineRule="auto"/>
        <w:rPr>
          <w:rFonts w:ascii="Times New Roman" w:hAnsi="Times New Roman" w:cs="Times New Roman"/>
          <w:sz w:val="24"/>
          <w:szCs w:val="24"/>
        </w:rPr>
      </w:pPr>
    </w:p>
    <w:p w14:paraId="3584C376" w14:textId="0CCF421B" w:rsidR="0078005B" w:rsidRPr="002D0614" w:rsidRDefault="0078005B" w:rsidP="002D0614">
      <w:pPr>
        <w:pStyle w:val="ListParagraph"/>
        <w:numPr>
          <w:ilvl w:val="0"/>
          <w:numId w:val="7"/>
        </w:numPr>
        <w:spacing w:line="276" w:lineRule="auto"/>
        <w:rPr>
          <w:rFonts w:ascii="Times New Roman" w:hAnsi="Times New Roman" w:cs="Times New Roman"/>
          <w:sz w:val="24"/>
          <w:szCs w:val="24"/>
        </w:rPr>
      </w:pPr>
      <w:r w:rsidRPr="002D0614">
        <w:rPr>
          <w:rFonts w:ascii="Times New Roman" w:hAnsi="Times New Roman" w:cs="Times New Roman"/>
          <w:sz w:val="24"/>
          <w:szCs w:val="24"/>
        </w:rPr>
        <w:t xml:space="preserve">Persons not exposed to any COVID-19 vaccine indexed on a random date </w:t>
      </w:r>
    </w:p>
    <w:p w14:paraId="414B610E" w14:textId="26051B55" w:rsidR="0078005B" w:rsidRPr="002D0614" w:rsidRDefault="0078005B"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t xml:space="preserve">-  index date matched to the date of vaccination in patients in a target group as well as on their age and sex </w:t>
      </w:r>
    </w:p>
    <w:p w14:paraId="03D7321A" w14:textId="77777777" w:rsidR="0078005B" w:rsidRPr="002D0614" w:rsidRDefault="0078005B"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t>- &gt;=365 days of prior observation</w:t>
      </w:r>
    </w:p>
    <w:p w14:paraId="70697677" w14:textId="4F241C19" w:rsidR="002222AA" w:rsidRDefault="0078005B" w:rsidP="002D0614">
      <w:pPr>
        <w:pStyle w:val="ListParagraph"/>
        <w:spacing w:line="276" w:lineRule="auto"/>
        <w:rPr>
          <w:rFonts w:ascii="Times New Roman" w:hAnsi="Times New Roman" w:cs="Times New Roman"/>
          <w:sz w:val="24"/>
          <w:szCs w:val="24"/>
        </w:rPr>
      </w:pPr>
      <w:r w:rsidRPr="002D0614">
        <w:rPr>
          <w:rFonts w:ascii="Times New Roman" w:hAnsi="Times New Roman" w:cs="Times New Roman"/>
          <w:sz w:val="24"/>
          <w:szCs w:val="24"/>
        </w:rPr>
        <w:lastRenderedPageBreak/>
        <w:t>- persons with location in New York City, to ensure that city immunization registry record does not exist</w:t>
      </w:r>
    </w:p>
    <w:p w14:paraId="190B1CB4" w14:textId="6D033665" w:rsidR="00012662" w:rsidRPr="00012662" w:rsidRDefault="00012662" w:rsidP="00012662">
      <w:pPr>
        <w:spacing w:line="276" w:lineRule="auto"/>
        <w:rPr>
          <w:b/>
          <w:i/>
        </w:rPr>
      </w:pPr>
      <w:r w:rsidRPr="00012662">
        <w:rPr>
          <w:b/>
          <w:i/>
        </w:rPr>
        <w:t>Comparative effectiveness estimation</w:t>
      </w:r>
    </w:p>
    <w:p w14:paraId="2F4AC4F1" w14:textId="6C39A179" w:rsidR="00012662" w:rsidRDefault="00012662" w:rsidP="002D0614">
      <w:pPr>
        <w:pStyle w:val="ListParagraph"/>
        <w:spacing w:line="276" w:lineRule="auto"/>
        <w:rPr>
          <w:rFonts w:ascii="Times New Roman" w:hAnsi="Times New Roman" w:cs="Times New Roman"/>
          <w:sz w:val="24"/>
          <w:szCs w:val="24"/>
        </w:rPr>
      </w:pPr>
    </w:p>
    <w:p w14:paraId="79F49CAF" w14:textId="51C20B24" w:rsidR="00012662" w:rsidRDefault="00012662" w:rsidP="00012662">
      <w:pPr>
        <w:spacing w:line="276" w:lineRule="auto"/>
      </w:pPr>
      <w:r w:rsidRPr="00012662">
        <w:t>Pairwise comparison of COVID-19 vaccines</w:t>
      </w:r>
    </w:p>
    <w:p w14:paraId="1C3254FF" w14:textId="784A327C" w:rsidR="00012662" w:rsidRDefault="00012662" w:rsidP="00012662">
      <w:pPr>
        <w:spacing w:line="276" w:lineRule="auto"/>
      </w:pPr>
    </w:p>
    <w:p w14:paraId="517FB74E" w14:textId="77777777" w:rsidR="00012662" w:rsidRPr="00012662" w:rsidRDefault="00012662" w:rsidP="00012662">
      <w:pPr>
        <w:spacing w:line="276" w:lineRule="auto"/>
      </w:pPr>
    </w:p>
    <w:p w14:paraId="6C9FA224" w14:textId="15EA4DA0" w:rsidR="002222AA" w:rsidRDefault="00123299" w:rsidP="002D0614">
      <w:pPr>
        <w:spacing w:line="276" w:lineRule="auto"/>
        <w:rPr>
          <w:rStyle w:val="normaltextrun"/>
          <w:b/>
          <w:bCs/>
          <w:color w:val="000000"/>
          <w:shd w:val="clear" w:color="auto" w:fill="FFFFFF"/>
        </w:rPr>
      </w:pPr>
      <w:r w:rsidRPr="002D0614">
        <w:rPr>
          <w:rStyle w:val="normaltextrun"/>
          <w:b/>
          <w:bCs/>
          <w:color w:val="000000"/>
          <w:shd w:val="clear" w:color="auto" w:fill="FFFFFF"/>
        </w:rPr>
        <w:t>Outcomes of Interest</w:t>
      </w:r>
    </w:p>
    <w:p w14:paraId="58B0B8CF" w14:textId="61EDB6FE" w:rsidR="00FA2F61" w:rsidRDefault="00FA2F61" w:rsidP="002D0614">
      <w:pPr>
        <w:spacing w:line="276" w:lineRule="auto"/>
        <w:rPr>
          <w:rStyle w:val="normaltextrun"/>
          <w:b/>
          <w:bCs/>
          <w:color w:val="000000"/>
          <w:shd w:val="clear" w:color="auto" w:fill="FFFFFF"/>
        </w:rPr>
      </w:pPr>
    </w:p>
    <w:p w14:paraId="7792239C" w14:textId="6475C4D9" w:rsidR="000E45C3" w:rsidRPr="000E45C3" w:rsidRDefault="000E45C3" w:rsidP="002D0614">
      <w:pPr>
        <w:spacing w:line="276" w:lineRule="auto"/>
        <w:rPr>
          <w:rStyle w:val="normaltextrun"/>
          <w:bCs/>
          <w:color w:val="000000"/>
          <w:shd w:val="clear" w:color="auto" w:fill="FFFFFF"/>
        </w:rPr>
      </w:pPr>
      <w:r w:rsidRPr="000E45C3">
        <w:rPr>
          <w:rStyle w:val="normaltextrun"/>
          <w:bCs/>
          <w:color w:val="000000"/>
          <w:shd w:val="clear" w:color="auto" w:fill="FFFFFF"/>
        </w:rPr>
        <w:t>Both absolute and comparative effectiveness estimations use two outcome cohorts:</w:t>
      </w:r>
    </w:p>
    <w:p w14:paraId="150DB2AB" w14:textId="77777777" w:rsidR="000E45C3" w:rsidRPr="002D0614" w:rsidRDefault="000E45C3" w:rsidP="002D0614">
      <w:pPr>
        <w:spacing w:line="276" w:lineRule="auto"/>
        <w:rPr>
          <w:rStyle w:val="normaltextrun"/>
          <w:b/>
          <w:bCs/>
          <w:color w:val="000000"/>
          <w:shd w:val="clear" w:color="auto" w:fill="FFFFFF"/>
        </w:rPr>
      </w:pPr>
    </w:p>
    <w:p w14:paraId="6E5AD70F" w14:textId="0025E298" w:rsidR="002222AA" w:rsidRPr="002D0614" w:rsidRDefault="002222AA" w:rsidP="002D0614">
      <w:pPr>
        <w:pStyle w:val="ListParagraph"/>
        <w:numPr>
          <w:ilvl w:val="0"/>
          <w:numId w:val="9"/>
        </w:numPr>
        <w:spacing w:line="276" w:lineRule="auto"/>
        <w:rPr>
          <w:rStyle w:val="Hyperlink"/>
          <w:rFonts w:ascii="Times New Roman" w:hAnsi="Times New Roman" w:cs="Times New Roman"/>
          <w:color w:val="auto"/>
          <w:sz w:val="24"/>
          <w:szCs w:val="24"/>
          <w:u w:val="none"/>
        </w:rPr>
      </w:pPr>
      <w:r w:rsidRPr="002D0614">
        <w:rPr>
          <w:rFonts w:ascii="Times New Roman" w:hAnsi="Times New Roman" w:cs="Times New Roman"/>
          <w:sz w:val="24"/>
          <w:szCs w:val="24"/>
        </w:rPr>
        <w:t xml:space="preserve">Episodes with observed COVID-19 (COVID-19 diagnosis or a positive SARS-CoV-2 test): </w:t>
      </w:r>
      <w:r w:rsidR="008F0105" w:rsidRPr="002D0614">
        <w:rPr>
          <w:rFonts w:ascii="Times New Roman" w:hAnsi="Times New Roman" w:cs="Times New Roman"/>
          <w:sz w:val="24"/>
          <w:szCs w:val="24"/>
        </w:rPr>
        <w:t>(</w:t>
      </w:r>
      <w:hyperlink r:id="rId14" w:anchor="/cohortdefinition/422" w:history="1">
        <w:r w:rsidRPr="002D0614">
          <w:rPr>
            <w:rStyle w:val="Hyperlink"/>
            <w:rFonts w:ascii="Times New Roman" w:hAnsi="Times New Roman" w:cs="Times New Roman"/>
            <w:sz w:val="24"/>
            <w:szCs w:val="24"/>
          </w:rPr>
          <w:t>https://atlas.ohdsi.org/#/cohortdefinition/422</w:t>
        </w:r>
      </w:hyperlink>
      <w:r w:rsidR="008F0105" w:rsidRPr="002D0614">
        <w:rPr>
          <w:rStyle w:val="Hyperlink"/>
          <w:rFonts w:ascii="Times New Roman" w:hAnsi="Times New Roman" w:cs="Times New Roman"/>
          <w:sz w:val="24"/>
          <w:szCs w:val="24"/>
        </w:rPr>
        <w:t>)</w:t>
      </w:r>
    </w:p>
    <w:p w14:paraId="48728C61" w14:textId="0EAEB432" w:rsidR="00A96912" w:rsidRDefault="00A96912" w:rsidP="002D0614">
      <w:pPr>
        <w:spacing w:line="276" w:lineRule="auto"/>
        <w:ind w:left="360"/>
      </w:pPr>
      <w:r w:rsidRPr="002D0614">
        <w:t xml:space="preserve">Persons indexed on observed diagnosis or positive test for COVID-19 after 2019-12-01 </w:t>
      </w:r>
    </w:p>
    <w:p w14:paraId="5F439138" w14:textId="77777777" w:rsidR="00FA2F61" w:rsidRPr="002D0614" w:rsidRDefault="00FA2F61" w:rsidP="002D0614">
      <w:pPr>
        <w:spacing w:line="276" w:lineRule="auto"/>
        <w:ind w:left="360"/>
        <w:rPr>
          <w:rStyle w:val="Hyperlink"/>
          <w:color w:val="auto"/>
          <w:u w:val="none"/>
        </w:rPr>
      </w:pPr>
    </w:p>
    <w:p w14:paraId="72590CF9" w14:textId="77777777" w:rsidR="002222AA" w:rsidRPr="002D0614" w:rsidRDefault="002222AA" w:rsidP="002D0614">
      <w:pPr>
        <w:pStyle w:val="ListParagraph"/>
        <w:numPr>
          <w:ilvl w:val="0"/>
          <w:numId w:val="9"/>
        </w:numPr>
        <w:spacing w:line="276" w:lineRule="auto"/>
        <w:rPr>
          <w:rFonts w:ascii="Times New Roman" w:hAnsi="Times New Roman" w:cs="Times New Roman"/>
          <w:sz w:val="24"/>
          <w:szCs w:val="24"/>
        </w:rPr>
      </w:pPr>
      <w:r w:rsidRPr="002D0614">
        <w:rPr>
          <w:rFonts w:ascii="Times New Roman" w:hAnsi="Times New Roman" w:cs="Times New Roman"/>
          <w:sz w:val="24"/>
          <w:szCs w:val="24"/>
        </w:rPr>
        <w:t>Hospitalizations with observed COVID-19 in 30d prior (diagnosis or a positive SARS-CoV-2 test):</w:t>
      </w:r>
    </w:p>
    <w:p w14:paraId="0A700156" w14:textId="61B4060A" w:rsidR="002222AA" w:rsidRPr="00FA2F61" w:rsidRDefault="008F0105" w:rsidP="00FA2F61">
      <w:pPr>
        <w:pStyle w:val="ListParagraph"/>
        <w:spacing w:line="276" w:lineRule="auto"/>
        <w:rPr>
          <w:rFonts w:ascii="Times New Roman" w:hAnsi="Times New Roman" w:cs="Times New Roman"/>
          <w:color w:val="0563C1" w:themeColor="hyperlink"/>
          <w:sz w:val="24"/>
          <w:szCs w:val="24"/>
          <w:u w:val="single"/>
        </w:rPr>
      </w:pPr>
      <w:r w:rsidRPr="002D0614">
        <w:rPr>
          <w:rFonts w:ascii="Times New Roman" w:hAnsi="Times New Roman" w:cs="Times New Roman"/>
          <w:sz w:val="24"/>
          <w:szCs w:val="24"/>
        </w:rPr>
        <w:t>(</w:t>
      </w:r>
      <w:hyperlink r:id="rId15" w:anchor="/cohortdefinition/425">
        <w:r w:rsidR="002222AA" w:rsidRPr="002D0614">
          <w:rPr>
            <w:rStyle w:val="Hyperlink"/>
            <w:rFonts w:ascii="Times New Roman" w:hAnsi="Times New Roman" w:cs="Times New Roman"/>
            <w:sz w:val="24"/>
            <w:szCs w:val="24"/>
          </w:rPr>
          <w:t>https://atlas.ohdsi.org/#/cohortdefinition/425</w:t>
        </w:r>
      </w:hyperlink>
      <w:r w:rsidRPr="002D0614">
        <w:rPr>
          <w:rStyle w:val="Hyperlink"/>
          <w:rFonts w:ascii="Times New Roman" w:hAnsi="Times New Roman" w:cs="Times New Roman"/>
          <w:sz w:val="24"/>
          <w:szCs w:val="24"/>
        </w:rPr>
        <w:t>)</w:t>
      </w:r>
    </w:p>
    <w:p w14:paraId="298CEAFA" w14:textId="3B8A12BD" w:rsidR="00A96912" w:rsidRPr="002D0614" w:rsidRDefault="00A96912" w:rsidP="002D0614">
      <w:pPr>
        <w:spacing w:line="276" w:lineRule="auto"/>
        <w:ind w:left="360"/>
      </w:pPr>
      <w:r w:rsidRPr="002D0614">
        <w:t>Persons indexed on an inpatient or emergency room visit after 2019-12-01 with</w:t>
      </w:r>
    </w:p>
    <w:p w14:paraId="3AFDB334" w14:textId="4A633823" w:rsidR="00A96912" w:rsidRPr="002D0614" w:rsidRDefault="00A96912" w:rsidP="002D0614">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 xml:space="preserve">A diagnosis of COVID-19 </w:t>
      </w:r>
      <w:r w:rsidR="004C50DC" w:rsidRPr="002D0614">
        <w:rPr>
          <w:rFonts w:ascii="Times New Roman" w:hAnsi="Times New Roman" w:cs="Times New Roman"/>
          <w:sz w:val="24"/>
          <w:szCs w:val="24"/>
        </w:rPr>
        <w:t>within 30 days prior to the index date OR</w:t>
      </w:r>
    </w:p>
    <w:p w14:paraId="580FB35D" w14:textId="43753423" w:rsidR="00FA2F61" w:rsidRPr="000E45C3" w:rsidRDefault="004C50DC" w:rsidP="000E45C3">
      <w:pPr>
        <w:pStyle w:val="ListParagraph"/>
        <w:numPr>
          <w:ilvl w:val="0"/>
          <w:numId w:val="23"/>
        </w:numPr>
        <w:spacing w:line="276" w:lineRule="auto"/>
        <w:rPr>
          <w:rFonts w:ascii="Times New Roman" w:hAnsi="Times New Roman" w:cs="Times New Roman"/>
          <w:sz w:val="24"/>
          <w:szCs w:val="24"/>
        </w:rPr>
      </w:pPr>
      <w:r w:rsidRPr="002D0614">
        <w:rPr>
          <w:rFonts w:ascii="Times New Roman" w:hAnsi="Times New Roman" w:cs="Times New Roman"/>
          <w:sz w:val="24"/>
          <w:szCs w:val="24"/>
        </w:rPr>
        <w:t>A positive test for COVID-19 within 30 days prior to the index date</w:t>
      </w:r>
    </w:p>
    <w:p w14:paraId="35F9BE41" w14:textId="77777777" w:rsidR="00FA2F61" w:rsidRPr="002D0614" w:rsidRDefault="00FA2F61" w:rsidP="00FA2F61">
      <w:pPr>
        <w:pStyle w:val="ListParagraph"/>
        <w:spacing w:line="276" w:lineRule="auto"/>
        <w:rPr>
          <w:rFonts w:ascii="Times New Roman" w:hAnsi="Times New Roman" w:cs="Times New Roman"/>
          <w:sz w:val="24"/>
          <w:szCs w:val="24"/>
        </w:rPr>
      </w:pPr>
    </w:p>
    <w:p w14:paraId="0BB01C67" w14:textId="52588599" w:rsidR="00C0444C" w:rsidRDefault="00C0444C"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Time-at-risk</w:t>
      </w:r>
    </w:p>
    <w:p w14:paraId="290A21DD" w14:textId="2C82FEBA" w:rsidR="00FA2F61" w:rsidRDefault="00FA2F61" w:rsidP="002D0614">
      <w:pPr>
        <w:spacing w:line="276" w:lineRule="auto"/>
        <w:rPr>
          <w:rStyle w:val="normaltextrun"/>
          <w:b/>
          <w:bCs/>
          <w:color w:val="000000"/>
          <w:sz w:val="28"/>
          <w:szCs w:val="28"/>
          <w:shd w:val="clear" w:color="auto" w:fill="FFFFFF"/>
        </w:rPr>
      </w:pPr>
    </w:p>
    <w:p w14:paraId="3872F751" w14:textId="7606A56F" w:rsidR="000E45C3" w:rsidRPr="000E45C3" w:rsidRDefault="000E45C3" w:rsidP="002D0614">
      <w:pPr>
        <w:spacing w:line="276" w:lineRule="auto"/>
        <w:rPr>
          <w:rStyle w:val="normaltextrun"/>
          <w:b/>
          <w:bCs/>
          <w:i/>
          <w:color w:val="000000"/>
          <w:szCs w:val="28"/>
          <w:shd w:val="clear" w:color="auto" w:fill="FFFFFF"/>
        </w:rPr>
      </w:pPr>
      <w:r w:rsidRPr="000E45C3">
        <w:rPr>
          <w:rStyle w:val="normaltextrun"/>
          <w:b/>
          <w:bCs/>
          <w:i/>
          <w:color w:val="000000"/>
          <w:szCs w:val="28"/>
          <w:shd w:val="clear" w:color="auto" w:fill="FFFFFF"/>
        </w:rPr>
        <w:t>Absolute effectiveness estimation</w:t>
      </w:r>
    </w:p>
    <w:p w14:paraId="7805941F" w14:textId="77777777" w:rsidR="000E45C3" w:rsidRPr="000E45C3" w:rsidRDefault="000E45C3" w:rsidP="002D0614">
      <w:pPr>
        <w:spacing w:line="276" w:lineRule="auto"/>
        <w:rPr>
          <w:rStyle w:val="normaltextrun"/>
          <w:bCs/>
          <w:color w:val="000000"/>
          <w:szCs w:val="28"/>
          <w:shd w:val="clear" w:color="auto" w:fill="FFFFFF"/>
        </w:rPr>
      </w:pPr>
    </w:p>
    <w:p w14:paraId="192D5327" w14:textId="5C4B457A" w:rsidR="00FA2F61" w:rsidRPr="00FA2F61" w:rsidRDefault="00FA2F61" w:rsidP="00FA2F61">
      <w:pPr>
        <w:pStyle w:val="ListParagraph"/>
        <w:numPr>
          <w:ilvl w:val="0"/>
          <w:numId w:val="24"/>
        </w:numPr>
        <w:spacing w:line="276" w:lineRule="auto"/>
        <w:rPr>
          <w:rFonts w:ascii="Times New Roman" w:hAnsi="Times New Roman" w:cs="Times New Roman"/>
          <w:sz w:val="24"/>
          <w:szCs w:val="24"/>
        </w:rPr>
      </w:pPr>
      <w:r w:rsidRPr="00FA2F61">
        <w:rPr>
          <w:rFonts w:ascii="Times New Roman" w:hAnsi="Times New Roman" w:cs="Times New Roman"/>
          <w:sz w:val="24"/>
          <w:szCs w:val="24"/>
        </w:rPr>
        <w:t>For fully vaccinated patients:</w:t>
      </w:r>
    </w:p>
    <w:p w14:paraId="37D873B1" w14:textId="1782E230" w:rsidR="00C0444C" w:rsidRPr="00DC3AED" w:rsidRDefault="00FA2F61" w:rsidP="00FA2F61">
      <w:pPr>
        <w:spacing w:line="276" w:lineRule="auto"/>
        <w:ind w:left="360" w:firstLine="360"/>
      </w:pPr>
      <w:r w:rsidRPr="00DC3AED">
        <w:t>1.1 C</w:t>
      </w:r>
      <w:r w:rsidR="00C0444C" w:rsidRPr="00DC3AED">
        <w:t xml:space="preserve">ohort end (14d from last vaccination) </w:t>
      </w:r>
      <w:r w:rsidRPr="00DC3AED">
        <w:t xml:space="preserve">-- </w:t>
      </w:r>
      <w:r w:rsidR="00C0444C" w:rsidRPr="00DC3AED">
        <w:t>cohort end + 365 days, end of observation period, outcome or death whichever comes earlier</w:t>
      </w:r>
    </w:p>
    <w:p w14:paraId="0EDD2F5F" w14:textId="566F0203" w:rsidR="00FA2F61" w:rsidRPr="00DC3AED" w:rsidRDefault="00FA2F61" w:rsidP="00FA2F61">
      <w:pPr>
        <w:spacing w:line="276" w:lineRule="auto"/>
        <w:ind w:left="360"/>
      </w:pPr>
    </w:p>
    <w:p w14:paraId="7BAD1743" w14:textId="5779B328" w:rsidR="00FA2F61" w:rsidRPr="00DC3AED" w:rsidRDefault="00FA2F61" w:rsidP="00FA2F61">
      <w:pPr>
        <w:pStyle w:val="ListParagraph"/>
        <w:numPr>
          <w:ilvl w:val="0"/>
          <w:numId w:val="24"/>
        </w:numPr>
        <w:spacing w:line="276" w:lineRule="auto"/>
        <w:rPr>
          <w:rFonts w:ascii="Times New Roman" w:hAnsi="Times New Roman" w:cs="Times New Roman"/>
          <w:sz w:val="24"/>
          <w:szCs w:val="24"/>
        </w:rPr>
      </w:pPr>
      <w:r w:rsidRPr="00DC3AED">
        <w:rPr>
          <w:rFonts w:ascii="Times New Roman" w:hAnsi="Times New Roman" w:cs="Times New Roman"/>
          <w:sz w:val="24"/>
          <w:szCs w:val="24"/>
        </w:rPr>
        <w:t>For fully and partially vaccinated patients:</w:t>
      </w:r>
    </w:p>
    <w:p w14:paraId="72DAE390" w14:textId="132C0942" w:rsidR="00FA2F61" w:rsidRPr="00DC3AED" w:rsidRDefault="00DC3AED" w:rsidP="00DC3AED">
      <w:pPr>
        <w:pStyle w:val="ListParagraph"/>
        <w:numPr>
          <w:ilvl w:val="1"/>
          <w:numId w:val="24"/>
        </w:numPr>
        <w:spacing w:line="276" w:lineRule="auto"/>
        <w:rPr>
          <w:rFonts w:ascii="Times New Roman" w:hAnsi="Times New Roman" w:cs="Times New Roman"/>
          <w:sz w:val="24"/>
          <w:szCs w:val="24"/>
        </w:rPr>
      </w:pPr>
      <w:proofErr w:type="gramStart"/>
      <w:r w:rsidRPr="00DC3AED">
        <w:rPr>
          <w:rFonts w:ascii="Times New Roman" w:hAnsi="Times New Roman" w:cs="Times New Roman"/>
          <w:sz w:val="24"/>
          <w:szCs w:val="24"/>
        </w:rPr>
        <w:t>One week</w:t>
      </w:r>
      <w:proofErr w:type="gramEnd"/>
      <w:r w:rsidRPr="00DC3AED">
        <w:rPr>
          <w:rFonts w:ascii="Times New Roman" w:hAnsi="Times New Roman" w:cs="Times New Roman"/>
          <w:sz w:val="24"/>
          <w:szCs w:val="24"/>
        </w:rPr>
        <w:t xml:space="preserve"> time-at-risk interval starting after the first dose and ending with the second dose, end of observation period, outcome or death (1- 7 days, 8 – 14 days, 15 – 21 days etc.)</w:t>
      </w:r>
    </w:p>
    <w:p w14:paraId="7DE2B7BE" w14:textId="1B6BD6D6" w:rsidR="00DC3AED" w:rsidRPr="00DC3AED" w:rsidRDefault="00DC3AED" w:rsidP="00DC3AED">
      <w:pPr>
        <w:pStyle w:val="ListParagraph"/>
        <w:numPr>
          <w:ilvl w:val="1"/>
          <w:numId w:val="24"/>
        </w:numPr>
        <w:spacing w:line="276" w:lineRule="auto"/>
        <w:rPr>
          <w:rFonts w:ascii="Times New Roman" w:hAnsi="Times New Roman" w:cs="Times New Roman"/>
          <w:sz w:val="24"/>
          <w:szCs w:val="24"/>
        </w:rPr>
      </w:pPr>
      <w:proofErr w:type="gramStart"/>
      <w:r w:rsidRPr="00DC3AED">
        <w:rPr>
          <w:rFonts w:ascii="Times New Roman" w:hAnsi="Times New Roman" w:cs="Times New Roman"/>
          <w:sz w:val="24"/>
          <w:szCs w:val="24"/>
        </w:rPr>
        <w:t>One week</w:t>
      </w:r>
      <w:proofErr w:type="gramEnd"/>
      <w:r w:rsidRPr="00DC3AED">
        <w:rPr>
          <w:rFonts w:ascii="Times New Roman" w:hAnsi="Times New Roman" w:cs="Times New Roman"/>
          <w:sz w:val="24"/>
          <w:szCs w:val="24"/>
        </w:rPr>
        <w:t xml:space="preserve"> time-at-risk interval starting after the first dose and ending with the end of observation period, outcome or death (no truncation at the second dose, 1- 7 days, 8 – 14 days, 15 – 21 days etc.)</w:t>
      </w:r>
    </w:p>
    <w:p w14:paraId="7F9876C4" w14:textId="73D73603" w:rsidR="000E45C3" w:rsidRDefault="00DC3AED" w:rsidP="000E45C3">
      <w:pPr>
        <w:pStyle w:val="ListParagraph"/>
        <w:numPr>
          <w:ilvl w:val="1"/>
          <w:numId w:val="24"/>
        </w:numPr>
        <w:spacing w:line="276" w:lineRule="auto"/>
        <w:rPr>
          <w:rFonts w:ascii="Times New Roman" w:hAnsi="Times New Roman" w:cs="Times New Roman"/>
          <w:sz w:val="24"/>
          <w:szCs w:val="24"/>
        </w:rPr>
      </w:pPr>
      <w:proofErr w:type="gramStart"/>
      <w:r w:rsidRPr="00DC3AED">
        <w:rPr>
          <w:rFonts w:ascii="Times New Roman" w:hAnsi="Times New Roman" w:cs="Times New Roman"/>
          <w:sz w:val="24"/>
          <w:szCs w:val="24"/>
        </w:rPr>
        <w:lastRenderedPageBreak/>
        <w:t>One week</w:t>
      </w:r>
      <w:proofErr w:type="gramEnd"/>
      <w:r w:rsidRPr="00DC3AED">
        <w:rPr>
          <w:rFonts w:ascii="Times New Roman" w:hAnsi="Times New Roman" w:cs="Times New Roman"/>
          <w:sz w:val="24"/>
          <w:szCs w:val="24"/>
        </w:rPr>
        <w:t xml:space="preserve"> time-at-risk interval starting after the second dose and ending with the end of observation period, outcome or death (1- 7 days, 8 – 14 days, 15 – 21 days etc.)</w:t>
      </w:r>
    </w:p>
    <w:p w14:paraId="792AEC0C" w14:textId="77777777" w:rsidR="00012662" w:rsidRDefault="00012662" w:rsidP="000E45C3">
      <w:pPr>
        <w:spacing w:line="276" w:lineRule="auto"/>
        <w:rPr>
          <w:b/>
          <w:i/>
        </w:rPr>
      </w:pPr>
    </w:p>
    <w:p w14:paraId="22401005" w14:textId="47894BBA" w:rsidR="000E45C3" w:rsidRPr="000E45C3" w:rsidRDefault="000E45C3" w:rsidP="000E45C3">
      <w:pPr>
        <w:spacing w:line="276" w:lineRule="auto"/>
        <w:rPr>
          <w:b/>
          <w:i/>
        </w:rPr>
      </w:pPr>
      <w:r w:rsidRPr="000E45C3">
        <w:rPr>
          <w:b/>
          <w:i/>
        </w:rPr>
        <w:t>Comparative effectiveness estimation</w:t>
      </w:r>
    </w:p>
    <w:p w14:paraId="6E25E666" w14:textId="2ACB02AE" w:rsidR="000E45C3" w:rsidRDefault="000E45C3" w:rsidP="000E45C3">
      <w:pPr>
        <w:spacing w:line="276" w:lineRule="auto"/>
      </w:pPr>
    </w:p>
    <w:p w14:paraId="4C5B10D2" w14:textId="77777777" w:rsidR="000E45C3" w:rsidRPr="000E45C3" w:rsidRDefault="000E45C3" w:rsidP="000E45C3">
      <w:pPr>
        <w:spacing w:line="276" w:lineRule="auto"/>
      </w:pPr>
      <w:proofErr w:type="gramStart"/>
      <w:r w:rsidRPr="000E45C3">
        <w:t>One week</w:t>
      </w:r>
      <w:proofErr w:type="gramEnd"/>
      <w:r w:rsidRPr="000E45C3">
        <w:t xml:space="preserve"> time-at-risk interval starting after the first dose and ending with the end of observation period, outcome or death (no truncation at the second dose, 1- 7 days, 8 – 14 days, 15 – 21 days etc.)</w:t>
      </w:r>
    </w:p>
    <w:p w14:paraId="493295D1" w14:textId="77777777" w:rsidR="000E45C3" w:rsidRPr="000E45C3" w:rsidRDefault="000E45C3" w:rsidP="000E45C3">
      <w:pPr>
        <w:spacing w:line="276" w:lineRule="auto"/>
      </w:pPr>
    </w:p>
    <w:p w14:paraId="131D8984" w14:textId="3685B5E4" w:rsidR="00DC3AED" w:rsidRDefault="00DC3AED" w:rsidP="00DC3AED">
      <w:pPr>
        <w:spacing w:line="276" w:lineRule="auto"/>
        <w:ind w:left="720"/>
      </w:pPr>
    </w:p>
    <w:p w14:paraId="5504712B" w14:textId="77777777" w:rsidR="002D0614" w:rsidRPr="002D0614" w:rsidRDefault="002D0614" w:rsidP="002D0614">
      <w:pPr>
        <w:spacing w:line="276" w:lineRule="auto"/>
        <w:rPr>
          <w:rStyle w:val="normaltextrun"/>
          <w:b/>
          <w:bCs/>
          <w:color w:val="000000"/>
          <w:sz w:val="28"/>
          <w:szCs w:val="28"/>
          <w:shd w:val="clear" w:color="auto" w:fill="FFFFFF"/>
        </w:rPr>
      </w:pPr>
    </w:p>
    <w:p w14:paraId="52897DB2" w14:textId="267655C4" w:rsidR="00AE432A" w:rsidRDefault="00123299" w:rsidP="002D0614">
      <w:pPr>
        <w:spacing w:line="276" w:lineRule="auto"/>
        <w:rPr>
          <w:rStyle w:val="normaltextrun"/>
          <w:b/>
          <w:bCs/>
          <w:color w:val="000000"/>
          <w:sz w:val="28"/>
          <w:szCs w:val="28"/>
          <w:shd w:val="clear" w:color="auto" w:fill="FFFFFF"/>
        </w:rPr>
      </w:pPr>
      <w:r w:rsidRPr="002D0614">
        <w:rPr>
          <w:rStyle w:val="normaltextrun"/>
          <w:b/>
          <w:bCs/>
          <w:color w:val="000000"/>
          <w:sz w:val="28"/>
          <w:szCs w:val="28"/>
          <w:shd w:val="clear" w:color="auto" w:fill="FFFFFF"/>
        </w:rPr>
        <w:t>Negative Controls</w:t>
      </w:r>
    </w:p>
    <w:p w14:paraId="24C4FD32" w14:textId="77777777" w:rsidR="002D0614" w:rsidRPr="002D0614" w:rsidRDefault="002D0614" w:rsidP="002D0614">
      <w:pPr>
        <w:spacing w:line="276" w:lineRule="auto"/>
        <w:rPr>
          <w:b/>
          <w:bCs/>
          <w:color w:val="000000"/>
          <w:sz w:val="28"/>
          <w:szCs w:val="28"/>
          <w:shd w:val="clear" w:color="auto" w:fill="FFFFFF"/>
        </w:rPr>
      </w:pPr>
    </w:p>
    <w:p w14:paraId="429107FE" w14:textId="4D581708" w:rsidR="008F0105" w:rsidRPr="002D0614" w:rsidRDefault="00AE432A" w:rsidP="002D0614">
      <w:pPr>
        <w:spacing w:line="276" w:lineRule="auto"/>
      </w:pPr>
      <w:r w:rsidRPr="002D0614">
        <w:t xml:space="preserve">We </w:t>
      </w:r>
      <w:r w:rsidR="00633AF5" w:rsidRPr="002D0614">
        <w:t>will</w:t>
      </w:r>
      <w:r w:rsidRPr="002D0614">
        <w:t xml:space="preserve"> </w:t>
      </w:r>
      <w:r w:rsidR="008F0105" w:rsidRPr="002D0614">
        <w:t xml:space="preserve">a sample of </w:t>
      </w:r>
      <w:r w:rsidRPr="002D0614">
        <w:t xml:space="preserve">93 </w:t>
      </w:r>
      <w:r w:rsidR="008F0105" w:rsidRPr="002D0614">
        <w:t>outcomes known to not be associated with COVID vaccines to allow for estimation of residual bias and empirical calibration</w:t>
      </w:r>
      <w:r w:rsidRPr="002D0614">
        <w:t xml:space="preserve"> from EUMAEUS (</w:t>
      </w:r>
      <w:hyperlink r:id="rId16" w:history="1">
        <w:r w:rsidR="00633AF5" w:rsidRPr="002D0614">
          <w:rPr>
            <w:rStyle w:val="Hyperlink"/>
          </w:rPr>
          <w:t>https://ohdsi-studies.github.io/Eumaeus/Protocol.html</w:t>
        </w:r>
      </w:hyperlink>
      <w:r w:rsidRPr="002D0614">
        <w:t>)</w:t>
      </w:r>
    </w:p>
    <w:p w14:paraId="0A47816D" w14:textId="78095725" w:rsidR="00633AF5" w:rsidRPr="002D0614" w:rsidRDefault="006736BE" w:rsidP="002D0614">
      <w:pPr>
        <w:spacing w:line="276" w:lineRule="auto"/>
      </w:pPr>
      <w:r w:rsidRPr="002D0614">
        <w:t xml:space="preserve">                                                       </w:t>
      </w:r>
    </w:p>
    <w:p w14:paraId="4D0350D5" w14:textId="528D6F89" w:rsidR="00123299" w:rsidRDefault="00633AF5" w:rsidP="002D0614">
      <w:pPr>
        <w:spacing w:line="276" w:lineRule="auto"/>
        <w:rPr>
          <w:b/>
          <w:bCs/>
          <w:sz w:val="28"/>
          <w:szCs w:val="28"/>
        </w:rPr>
      </w:pPr>
      <w:r w:rsidRPr="002D0614">
        <w:rPr>
          <w:b/>
          <w:bCs/>
          <w:sz w:val="28"/>
          <w:szCs w:val="28"/>
        </w:rPr>
        <w:t>Propensity score model</w:t>
      </w:r>
    </w:p>
    <w:p w14:paraId="16FCCD6A" w14:textId="77777777" w:rsidR="002D0614" w:rsidRPr="002D0614" w:rsidRDefault="002D0614" w:rsidP="002D0614">
      <w:pPr>
        <w:spacing w:line="276" w:lineRule="auto"/>
        <w:rPr>
          <w:b/>
          <w:bCs/>
          <w:sz w:val="28"/>
          <w:szCs w:val="28"/>
        </w:rPr>
      </w:pPr>
    </w:p>
    <w:p w14:paraId="25EE8876" w14:textId="4BDCB94C" w:rsidR="00123299" w:rsidRPr="002D0614" w:rsidRDefault="00123299" w:rsidP="002D0614">
      <w:pPr>
        <w:spacing w:line="276" w:lineRule="auto"/>
      </w:pPr>
      <w:r w:rsidRPr="002D0614">
        <w:t>Propensity scores (PS) will be used as an analytic strategy to reduce potential confounding due to imbalance between the target and comparator cohorts in baseline covariate</w:t>
      </w:r>
      <w:r w:rsidR="003A25D1" w:rsidRPr="002D0614">
        <w:t xml:space="preserve">s </w:t>
      </w:r>
      <w:r w:rsidR="003A25D1" w:rsidRPr="002D0614">
        <w:fldChar w:fldCharType="begin"/>
      </w:r>
      <w:r w:rsidR="00EB03C3" w:rsidRPr="002D0614">
        <w:instrText xml:space="preserve"> ADDIN ZOTERO_ITEM CSL_CITATION {"citationID":"u14TjkVi","properties":{"formattedCitation":"(4)","plainCitation":"(4)","noteIndex":0},"citationItems":[{"id":9240,"uris":["http://zotero.org/users/local/DyUaTr24/items/SEKDEVP3"],"uri":["http://zotero.org/users/local/DyUaTr24/items/SEKDEVP3"],"itemData":{"id":9240,"type":"article-journal","container-title":"International Journal of Epidemiology","DOI":"10.1093/ije/dyy120","ISSN":"0300-5771, 1464-3685","issue":"6","language":"en","page":"2005-2014","source":"DOI.org (Crossref)","title":"Evaluating large-scale propensity score performance through real-world and synthetic data experiments","volume":"47","author":[{"family":"Tian","given":"Yuxi"},{"family":"Schuemie","given":"Martijn J"},{"family":"Suchard","given":"Marc A"}],"issued":{"date-parts":[["2018",12,1]]}}}],"schema":"https://github.com/citation-style-language/schema/raw/master/csl-citation.json"} </w:instrText>
      </w:r>
      <w:r w:rsidR="003A25D1" w:rsidRPr="002D0614">
        <w:fldChar w:fldCharType="separate"/>
      </w:r>
      <w:r w:rsidR="00EB03C3" w:rsidRPr="002D0614">
        <w:rPr>
          <w:noProof/>
        </w:rPr>
        <w:t>(4)</w:t>
      </w:r>
      <w:r w:rsidR="003A25D1" w:rsidRPr="002D0614">
        <w:fldChar w:fldCharType="end"/>
      </w:r>
      <w:r w:rsidRPr="002D0614">
        <w:t>. The PS is the probability of a subject being classified in the target cohort versus the comparator cohort, given a set of observed covariates</w:t>
      </w:r>
      <w:r w:rsidR="003A25D1" w:rsidRPr="002D0614">
        <w:t>.</w:t>
      </w:r>
      <w:r w:rsidRPr="002D0614">
        <w:t xml:space="preserve"> </w:t>
      </w:r>
    </w:p>
    <w:p w14:paraId="4AF5D834" w14:textId="77777777" w:rsidR="00123299" w:rsidRPr="002D0614" w:rsidRDefault="00123299" w:rsidP="002D0614">
      <w:pPr>
        <w:spacing w:line="276" w:lineRule="auto"/>
      </w:pPr>
      <w:r w:rsidRPr="002D0614">
        <w:t xml:space="preserve">The </w:t>
      </w:r>
      <w:r w:rsidRPr="002D0614">
        <w:rPr>
          <w:spacing w:val="-1"/>
        </w:rPr>
        <w:t>types</w:t>
      </w:r>
      <w:r w:rsidRPr="002D0614">
        <w:t xml:space="preserve"> of baseline covariates used to fit the propensity</w:t>
      </w:r>
      <w:r w:rsidRPr="002D0614">
        <w:rPr>
          <w:spacing w:val="-5"/>
        </w:rPr>
        <w:t xml:space="preserve"> </w:t>
      </w:r>
      <w:r w:rsidRPr="002D0614">
        <w:t>score model will be:</w:t>
      </w:r>
    </w:p>
    <w:p w14:paraId="54742BB7" w14:textId="77777777" w:rsidR="00123299" w:rsidRPr="002D0614" w:rsidRDefault="00123299" w:rsidP="002D0614">
      <w:pPr>
        <w:pStyle w:val="ListParagraph"/>
        <w:numPr>
          <w:ilvl w:val="0"/>
          <w:numId w:val="15"/>
        </w:numPr>
        <w:spacing w:after="200" w:line="276" w:lineRule="auto"/>
        <w:rPr>
          <w:rFonts w:ascii="Times New Roman" w:hAnsi="Times New Roman" w:cs="Times New Roman"/>
          <w:sz w:val="24"/>
          <w:szCs w:val="24"/>
        </w:rPr>
      </w:pPr>
      <w:r w:rsidRPr="002D0614">
        <w:rPr>
          <w:rFonts w:ascii="Times New Roman" w:hAnsi="Times New Roman" w:cs="Times New Roman"/>
          <w:spacing w:val="-1"/>
          <w:sz w:val="24"/>
          <w:szCs w:val="24"/>
        </w:rPr>
        <w:t>Demographics</w:t>
      </w:r>
    </w:p>
    <w:p w14:paraId="07BDE9BE" w14:textId="77777777"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Gender</w:t>
      </w:r>
    </w:p>
    <w:p w14:paraId="1BBCE4D5" w14:textId="77777777"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pacing w:val="-1"/>
          <w:sz w:val="24"/>
          <w:szCs w:val="24"/>
        </w:rPr>
        <w:t xml:space="preserve">Age group </w:t>
      </w:r>
      <w:r w:rsidRPr="002D0614">
        <w:rPr>
          <w:rFonts w:ascii="Times New Roman" w:hAnsi="Times New Roman" w:cs="Times New Roman"/>
          <w:sz w:val="24"/>
          <w:szCs w:val="24"/>
        </w:rPr>
        <w:t>(5-year</w:t>
      </w:r>
      <w:r w:rsidRPr="002D0614">
        <w:rPr>
          <w:rFonts w:ascii="Times New Roman" w:hAnsi="Times New Roman" w:cs="Times New Roman"/>
          <w:spacing w:val="-1"/>
          <w:sz w:val="24"/>
          <w:szCs w:val="24"/>
        </w:rPr>
        <w:t xml:space="preserve"> bands)</w:t>
      </w:r>
    </w:p>
    <w:p w14:paraId="38A38BCE" w14:textId="77777777"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Index</w:t>
      </w:r>
      <w:r w:rsidRPr="002D0614">
        <w:rPr>
          <w:rFonts w:ascii="Times New Roman" w:hAnsi="Times New Roman" w:cs="Times New Roman"/>
          <w:spacing w:val="1"/>
          <w:sz w:val="24"/>
          <w:szCs w:val="24"/>
        </w:rPr>
        <w:t xml:space="preserve"> </w:t>
      </w:r>
      <w:r w:rsidRPr="002D0614">
        <w:rPr>
          <w:rFonts w:ascii="Times New Roman" w:hAnsi="Times New Roman" w:cs="Times New Roman"/>
          <w:spacing w:val="-2"/>
          <w:sz w:val="24"/>
          <w:szCs w:val="24"/>
        </w:rPr>
        <w:t>year</w:t>
      </w:r>
    </w:p>
    <w:p w14:paraId="75374229" w14:textId="77777777"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Index month</w:t>
      </w:r>
    </w:p>
    <w:p w14:paraId="63F22769" w14:textId="77777777" w:rsidR="00123299" w:rsidRPr="002D0614" w:rsidRDefault="00123299" w:rsidP="002D0614">
      <w:pPr>
        <w:pStyle w:val="ListParagraph"/>
        <w:numPr>
          <w:ilvl w:val="0"/>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Time Bound Era Covariates</w:t>
      </w:r>
    </w:p>
    <w:p w14:paraId="1119161C" w14:textId="6E535FCE"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Condition group concepts both 365 days and 30 days on or prior to cohort index</w:t>
      </w:r>
    </w:p>
    <w:p w14:paraId="0A71F961" w14:textId="77777777"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Drug groups both 365 days and 30 days on or prior to cohort index</w:t>
      </w:r>
    </w:p>
    <w:p w14:paraId="5178C379" w14:textId="77777777" w:rsidR="00123299" w:rsidRPr="002D0614" w:rsidRDefault="00123299" w:rsidP="002D0614">
      <w:pPr>
        <w:pStyle w:val="ListParagraph"/>
        <w:numPr>
          <w:ilvl w:val="0"/>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Time Bound Covariates</w:t>
      </w:r>
    </w:p>
    <w:p w14:paraId="20EFCC81" w14:textId="4B8B2666"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Procedure occurrence concept and any of its descendants both 365 days and 30 days on or prior to cohort index</w:t>
      </w:r>
      <w:r w:rsidR="00030B46" w:rsidRPr="002D0614">
        <w:rPr>
          <w:rFonts w:ascii="Times New Roman" w:hAnsi="Times New Roman" w:cs="Times New Roman"/>
          <w:sz w:val="24"/>
          <w:szCs w:val="24"/>
        </w:rPr>
        <w:t xml:space="preserve"> </w:t>
      </w:r>
    </w:p>
    <w:p w14:paraId="2A8538A5" w14:textId="1E555ADA"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The occurrence of a measurement concept and any of its descendants both 365 days and 30 days on or prior to cohort index</w:t>
      </w:r>
      <w:r w:rsidR="00030B46" w:rsidRPr="002D0614">
        <w:rPr>
          <w:rFonts w:ascii="Times New Roman" w:hAnsi="Times New Roman" w:cs="Times New Roman"/>
          <w:sz w:val="24"/>
          <w:szCs w:val="24"/>
        </w:rPr>
        <w:t xml:space="preserve"> </w:t>
      </w:r>
    </w:p>
    <w:p w14:paraId="53DAEC3B" w14:textId="6219CD38"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The occurrence of an observation concept and any of its descendants both 365 days and 30 days on or prior to cohort index</w:t>
      </w:r>
      <w:r w:rsidR="00030B46" w:rsidRPr="002D0614">
        <w:rPr>
          <w:rFonts w:ascii="Times New Roman" w:hAnsi="Times New Roman" w:cs="Times New Roman"/>
          <w:sz w:val="24"/>
          <w:szCs w:val="24"/>
        </w:rPr>
        <w:t xml:space="preserve"> </w:t>
      </w:r>
    </w:p>
    <w:p w14:paraId="10A5688E" w14:textId="12E2B563"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lastRenderedPageBreak/>
        <w:t>Device concept and any of its descendants both 365 days and 30 days on or prior to cohort index</w:t>
      </w:r>
      <w:r w:rsidR="00030B46" w:rsidRPr="002D0614">
        <w:rPr>
          <w:rFonts w:ascii="Times New Roman" w:hAnsi="Times New Roman" w:cs="Times New Roman"/>
          <w:sz w:val="24"/>
          <w:szCs w:val="24"/>
        </w:rPr>
        <w:t xml:space="preserve"> </w:t>
      </w:r>
    </w:p>
    <w:p w14:paraId="34A8D040" w14:textId="35ADA82E" w:rsidR="00123299" w:rsidRPr="002D0614" w:rsidRDefault="00123299"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Number of visits observed both 365 days and 30 days on or prior to cohort index</w:t>
      </w:r>
      <w:r w:rsidR="00C353FC" w:rsidRPr="002D0614">
        <w:rPr>
          <w:rFonts w:ascii="Times New Roman" w:hAnsi="Times New Roman" w:cs="Times New Roman"/>
          <w:sz w:val="24"/>
          <w:szCs w:val="24"/>
        </w:rPr>
        <w:t xml:space="preserve"> </w:t>
      </w:r>
    </w:p>
    <w:p w14:paraId="6FB15131" w14:textId="77777777" w:rsidR="00123299" w:rsidRPr="002D0614" w:rsidRDefault="00123299" w:rsidP="002D0614">
      <w:pPr>
        <w:pStyle w:val="ListParagraph"/>
        <w:numPr>
          <w:ilvl w:val="0"/>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Index Score Covariates</w:t>
      </w:r>
    </w:p>
    <w:p w14:paraId="5DFE9B7A" w14:textId="6FC2E8D2" w:rsidR="00030B46" w:rsidRPr="002D0614" w:rsidRDefault="00030B46" w:rsidP="002D0614">
      <w:pPr>
        <w:pStyle w:val="ListParagraph"/>
        <w:numPr>
          <w:ilvl w:val="1"/>
          <w:numId w:val="15"/>
        </w:numPr>
        <w:spacing w:after="200" w:line="276" w:lineRule="auto"/>
        <w:rPr>
          <w:rFonts w:ascii="Times New Roman" w:hAnsi="Times New Roman" w:cs="Times New Roman"/>
          <w:sz w:val="24"/>
          <w:szCs w:val="24"/>
        </w:rPr>
      </w:pPr>
      <w:r w:rsidRPr="002D0614">
        <w:rPr>
          <w:rFonts w:ascii="Times New Roman" w:hAnsi="Times New Roman" w:cs="Times New Roman"/>
          <w:sz w:val="24"/>
          <w:szCs w:val="24"/>
        </w:rPr>
        <w:t xml:space="preserve">CHADS2, </w:t>
      </w:r>
      <w:r w:rsidR="00123299" w:rsidRPr="002D0614">
        <w:rPr>
          <w:rFonts w:ascii="Times New Roman" w:hAnsi="Times New Roman" w:cs="Times New Roman"/>
          <w:sz w:val="24"/>
          <w:szCs w:val="24"/>
        </w:rPr>
        <w:t>CHA2DS2-VASc</w:t>
      </w:r>
      <w:r w:rsidRPr="002D0614">
        <w:rPr>
          <w:rFonts w:ascii="Times New Roman" w:hAnsi="Times New Roman" w:cs="Times New Roman"/>
          <w:sz w:val="24"/>
          <w:szCs w:val="24"/>
        </w:rPr>
        <w:t xml:space="preserve">, </w:t>
      </w:r>
      <w:proofErr w:type="spellStart"/>
      <w:r w:rsidR="00123299" w:rsidRPr="002D0614">
        <w:rPr>
          <w:rFonts w:ascii="Times New Roman" w:hAnsi="Times New Roman" w:cs="Times New Roman"/>
          <w:sz w:val="24"/>
          <w:szCs w:val="24"/>
        </w:rPr>
        <w:t>Charlson</w:t>
      </w:r>
      <w:proofErr w:type="spellEnd"/>
      <w:r w:rsidR="00123299" w:rsidRPr="002D0614">
        <w:rPr>
          <w:rFonts w:ascii="Times New Roman" w:hAnsi="Times New Roman" w:cs="Times New Roman"/>
          <w:sz w:val="24"/>
          <w:szCs w:val="24"/>
        </w:rPr>
        <w:t xml:space="preserve"> Index</w:t>
      </w:r>
      <w:r w:rsidRPr="002D0614">
        <w:rPr>
          <w:rFonts w:ascii="Times New Roman" w:hAnsi="Times New Roman" w:cs="Times New Roman"/>
          <w:sz w:val="24"/>
          <w:szCs w:val="24"/>
        </w:rPr>
        <w:t xml:space="preserve">, DCSI </w:t>
      </w:r>
    </w:p>
    <w:p w14:paraId="1FCC8D65" w14:textId="77777777" w:rsidR="00030B46" w:rsidRPr="002D0614" w:rsidRDefault="00030B46" w:rsidP="002D0614">
      <w:pPr>
        <w:pStyle w:val="ListParagraph"/>
        <w:spacing w:after="200" w:line="276" w:lineRule="auto"/>
        <w:rPr>
          <w:rFonts w:ascii="Times New Roman" w:hAnsi="Times New Roman" w:cs="Times New Roman"/>
          <w:sz w:val="24"/>
          <w:szCs w:val="24"/>
          <w:highlight w:val="yellow"/>
        </w:rPr>
      </w:pPr>
    </w:p>
    <w:p w14:paraId="0FB53822" w14:textId="52DCD861" w:rsidR="00581E17" w:rsidRPr="002D0614" w:rsidRDefault="00581E17" w:rsidP="002D0614">
      <w:pPr>
        <w:spacing w:line="276" w:lineRule="auto"/>
      </w:pPr>
      <w:r w:rsidRPr="002D0614">
        <w:t>Note: covariates on the index date itself are excluded from the analysis</w:t>
      </w:r>
    </w:p>
    <w:p w14:paraId="78064A59" w14:textId="78397B1F" w:rsidR="00123299" w:rsidRPr="002D0614" w:rsidRDefault="00123299" w:rsidP="002D0614">
      <w:pPr>
        <w:spacing w:line="276" w:lineRule="auto"/>
      </w:pPr>
      <w:r w:rsidRPr="002D0614">
        <w:t>Specific</w:t>
      </w:r>
      <w:r w:rsidRPr="002D0614">
        <w:rPr>
          <w:spacing w:val="18"/>
        </w:rPr>
        <w:t xml:space="preserve"> </w:t>
      </w:r>
      <w:r w:rsidRPr="002D0614">
        <w:t>drug</w:t>
      </w:r>
      <w:r w:rsidRPr="002D0614">
        <w:rPr>
          <w:spacing w:val="19"/>
        </w:rPr>
        <w:t xml:space="preserve"> </w:t>
      </w:r>
      <w:r w:rsidRPr="002D0614">
        <w:t>exposure</w:t>
      </w:r>
      <w:r w:rsidRPr="002D0614">
        <w:rPr>
          <w:spacing w:val="19"/>
        </w:rPr>
        <w:t xml:space="preserve"> </w:t>
      </w:r>
      <w:r w:rsidRPr="002D0614">
        <w:t>concepts</w:t>
      </w:r>
      <w:r w:rsidRPr="002D0614">
        <w:rPr>
          <w:spacing w:val="18"/>
        </w:rPr>
        <w:t xml:space="preserve"> </w:t>
      </w:r>
      <w:r w:rsidRPr="002D0614">
        <w:t>that</w:t>
      </w:r>
      <w:r w:rsidRPr="002D0614">
        <w:rPr>
          <w:spacing w:val="19"/>
        </w:rPr>
        <w:t xml:space="preserve"> </w:t>
      </w:r>
      <w:r w:rsidRPr="002D0614">
        <w:t>define</w:t>
      </w:r>
      <w:r w:rsidRPr="002D0614">
        <w:rPr>
          <w:spacing w:val="18"/>
        </w:rPr>
        <w:t xml:space="preserve"> </w:t>
      </w:r>
      <w:r w:rsidRPr="002D0614">
        <w:t>the</w:t>
      </w:r>
      <w:r w:rsidRPr="002D0614">
        <w:rPr>
          <w:spacing w:val="18"/>
        </w:rPr>
        <w:t xml:space="preserve"> </w:t>
      </w:r>
      <w:r w:rsidRPr="002D0614">
        <w:t>target</w:t>
      </w:r>
      <w:r w:rsidRPr="002D0614">
        <w:rPr>
          <w:spacing w:val="18"/>
        </w:rPr>
        <w:t xml:space="preserve"> </w:t>
      </w:r>
      <w:r w:rsidRPr="002D0614">
        <w:t>and</w:t>
      </w:r>
      <w:r w:rsidRPr="002D0614">
        <w:rPr>
          <w:spacing w:val="18"/>
        </w:rPr>
        <w:t xml:space="preserve"> </w:t>
      </w:r>
      <w:r w:rsidRPr="002D0614">
        <w:t>comparator</w:t>
      </w:r>
      <w:r w:rsidRPr="002D0614">
        <w:rPr>
          <w:spacing w:val="18"/>
        </w:rPr>
        <w:t xml:space="preserve"> </w:t>
      </w:r>
      <w:r w:rsidRPr="002D0614">
        <w:t>cohorts</w:t>
      </w:r>
      <w:r w:rsidRPr="002D0614">
        <w:rPr>
          <w:spacing w:val="19"/>
        </w:rPr>
        <w:t xml:space="preserve"> </w:t>
      </w:r>
      <w:r w:rsidRPr="002D0614">
        <w:t>will</w:t>
      </w:r>
      <w:r w:rsidRPr="002D0614">
        <w:rPr>
          <w:spacing w:val="19"/>
        </w:rPr>
        <w:t xml:space="preserve"> </w:t>
      </w:r>
      <w:r w:rsidRPr="002D0614">
        <w:t>be</w:t>
      </w:r>
      <w:r w:rsidRPr="002D0614">
        <w:rPr>
          <w:spacing w:val="18"/>
        </w:rPr>
        <w:t xml:space="preserve"> </w:t>
      </w:r>
      <w:r w:rsidRPr="002D0614">
        <w:t>excluded</w:t>
      </w:r>
      <w:r w:rsidRPr="002D0614">
        <w:rPr>
          <w:spacing w:val="29"/>
        </w:rPr>
        <w:t xml:space="preserve"> </w:t>
      </w:r>
      <w:r w:rsidRPr="002D0614">
        <w:t>from</w:t>
      </w:r>
      <w:r w:rsidRPr="002D0614">
        <w:rPr>
          <w:spacing w:val="38"/>
        </w:rPr>
        <w:t xml:space="preserve"> </w:t>
      </w:r>
      <w:r w:rsidRPr="002D0614">
        <w:t>the</w:t>
      </w:r>
      <w:r w:rsidRPr="002D0614">
        <w:rPr>
          <w:spacing w:val="38"/>
        </w:rPr>
        <w:t xml:space="preserve"> </w:t>
      </w:r>
      <w:r w:rsidRPr="002D0614">
        <w:t>propensity</w:t>
      </w:r>
      <w:r w:rsidRPr="002D0614">
        <w:rPr>
          <w:spacing w:val="31"/>
        </w:rPr>
        <w:t xml:space="preserve"> </w:t>
      </w:r>
      <w:r w:rsidRPr="002D0614">
        <w:t>score</w:t>
      </w:r>
      <w:r w:rsidRPr="002D0614">
        <w:rPr>
          <w:spacing w:val="38"/>
        </w:rPr>
        <w:t xml:space="preserve"> </w:t>
      </w:r>
      <w:r w:rsidRPr="002D0614">
        <w:t>model</w:t>
      </w:r>
      <w:r w:rsidRPr="002D0614">
        <w:rPr>
          <w:spacing w:val="38"/>
        </w:rPr>
        <w:t xml:space="preserve"> </w:t>
      </w:r>
      <w:r w:rsidRPr="002D0614">
        <w:t>fitting.</w:t>
      </w:r>
    </w:p>
    <w:p w14:paraId="5114C14B" w14:textId="77777777" w:rsidR="00581E17" w:rsidRPr="002D0614" w:rsidRDefault="00581E17" w:rsidP="002D0614">
      <w:pPr>
        <w:spacing w:line="276" w:lineRule="auto"/>
      </w:pPr>
    </w:p>
    <w:p w14:paraId="747BAC57" w14:textId="7A740C9C" w:rsidR="00123299" w:rsidRPr="002D0614" w:rsidRDefault="00123299" w:rsidP="002D0614">
      <w:pPr>
        <w:spacing w:line="276" w:lineRule="auto"/>
      </w:pPr>
      <w:r w:rsidRPr="002D0614">
        <w:t>This study will be designed using OHDSI tool</w:t>
      </w:r>
      <w:r w:rsidR="003A25D1" w:rsidRPr="002D0614">
        <w:t>s</w:t>
      </w:r>
      <w:r w:rsidRPr="002D0614">
        <w:t xml:space="preserve"> (specifically the Population-Level Estimation tools) and run with R </w:t>
      </w:r>
      <w:r w:rsidRPr="002D0614">
        <w:fldChar w:fldCharType="begin"/>
      </w:r>
      <w:r w:rsidRPr="002D0614">
        <w:instrText xml:space="preserve"> ADDIN EN.CITE &lt;EndNote&gt;&lt;Cite&gt;&lt;Year&gt;2019&lt;/Year&gt;&lt;RecNum&gt;14&lt;/RecNum&gt;&lt;DisplayText&gt;[19]&lt;/DisplayText&gt;&lt;record&gt;&lt;rec-number&gt;14&lt;/rec-number&gt;&lt;foreign-keys&gt;&lt;key app="EN" db-id="frzpazxz3txefzeerpuv5pztp2vzw99dvwsd" timestamp="1582664672"&gt;14&lt;/key&gt;&lt;/foreign-keys&gt;&lt;ref-type name="Computer Program"&gt;9&lt;/ref-type&gt;&lt;contributors&gt;&lt;/contributors&gt;&lt;titles&gt;&lt;title&gt;R: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2D0614">
        <w:fldChar w:fldCharType="separate"/>
      </w:r>
      <w:r w:rsidRPr="002D0614">
        <w:rPr>
          <w:noProof/>
        </w:rPr>
        <w:t>[19]</w:t>
      </w:r>
      <w:r w:rsidRPr="002D0614">
        <w:fldChar w:fldCharType="end"/>
      </w:r>
      <w:r w:rsidRPr="002D0614">
        <w:t>.</w:t>
      </w:r>
    </w:p>
    <w:p w14:paraId="0F223D44" w14:textId="4A1050D8" w:rsidR="00012662" w:rsidRPr="00012662" w:rsidRDefault="00012662" w:rsidP="00012662"/>
    <w:p w14:paraId="478F80F0" w14:textId="157F7C58" w:rsidR="00123299" w:rsidRDefault="00123299" w:rsidP="002D0614">
      <w:pPr>
        <w:spacing w:line="276" w:lineRule="auto"/>
        <w:rPr>
          <w:b/>
          <w:bCs/>
          <w:sz w:val="28"/>
          <w:szCs w:val="28"/>
        </w:rPr>
      </w:pPr>
      <w:r w:rsidRPr="002D0614">
        <w:rPr>
          <w:b/>
          <w:bCs/>
          <w:sz w:val="28"/>
          <w:szCs w:val="28"/>
        </w:rPr>
        <w:t>Sample Size and Study Power</w:t>
      </w:r>
    </w:p>
    <w:p w14:paraId="56D20818" w14:textId="77777777" w:rsidR="002D0614" w:rsidRPr="002D0614" w:rsidRDefault="002D0614" w:rsidP="002D0614">
      <w:pPr>
        <w:spacing w:line="276" w:lineRule="auto"/>
        <w:rPr>
          <w:b/>
          <w:bCs/>
          <w:sz w:val="28"/>
          <w:szCs w:val="28"/>
        </w:rPr>
      </w:pPr>
    </w:p>
    <w:p w14:paraId="6752506D" w14:textId="425ABE1D" w:rsidR="00123299" w:rsidRPr="002D0614" w:rsidRDefault="00123299" w:rsidP="002D0614">
      <w:pPr>
        <w:spacing w:line="276" w:lineRule="auto"/>
      </w:pPr>
      <w:r w:rsidRPr="002D0614">
        <w:t xml:space="preserve">The sample size of the cohorts is reported in Table </w:t>
      </w:r>
      <w:r w:rsidR="00581E17" w:rsidRPr="002D0614">
        <w:t>1</w:t>
      </w:r>
      <w:r w:rsidRPr="002D0614">
        <w:t xml:space="preserve">. These patient counts represent the initial population, prior to statistical adjustment, so provide an upper bound of exposure available for each analysis. For population-level effect estimation, where our aim is to produce an unbiased estimate of the average treatment effect, the precision we will achieve will vary by the incidence rate of each outcome. Because our focus is to estimate the magnitude of the effect, it is acceptable to be underpowered for the analyses, recognizing that this will manifest as wider confidence intervals that account for the random sampling error inherent to the analysis. Smaller sample size for specific comparisons may be associated with larger statistical uncertainty. Small samples may also limit the ability to fit adequate propensity models and thus limit our ability to control confounding. </w:t>
      </w:r>
    </w:p>
    <w:p w14:paraId="480AB5AE" w14:textId="22403D61" w:rsidR="00BF75C3" w:rsidRPr="002D0614" w:rsidRDefault="00123299" w:rsidP="002D0614">
      <w:pPr>
        <w:spacing w:line="276" w:lineRule="auto"/>
      </w:pPr>
      <w:r w:rsidRPr="002D0614">
        <w:t xml:space="preserve">There is no a priori hypothesis testing for this study, therefore there is no </w:t>
      </w:r>
      <w:proofErr w:type="spellStart"/>
      <w:r w:rsidRPr="002D0614">
        <w:t>prespecified</w:t>
      </w:r>
      <w:proofErr w:type="spellEnd"/>
      <w:r w:rsidRPr="002D0614">
        <w:t xml:space="preserve"> requirement of sample sizes for the comparative analyses. After all design specifications have been implemented for each pairwise comparison, the minimum detectable hazard ratio will be calculated. The calculation includes a targeted type I error rate (alpha) of 0.05 (2-sided) and a type II error rate (beta) of 0.20 (power=80%) and reports the minimum hazard ratio detectable given the final target and comparator patient count, outcome event count, and TA</w:t>
      </w:r>
      <w:r w:rsidR="00581E17" w:rsidRPr="002D0614">
        <w:t xml:space="preserve">R </w:t>
      </w:r>
      <w:r w:rsidR="00581E17" w:rsidRPr="002D0614">
        <w:fldChar w:fldCharType="begin"/>
      </w:r>
      <w:r w:rsidR="00EB03C3" w:rsidRPr="002D0614">
        <w:instrText xml:space="preserve"> ADDIN ZOTERO_ITEM CSL_CITATION {"citationID":"jgnwvYEV","properties":{"formattedCitation":"(5)","plainCitation":"(5)","noteIndex":0},"citationItems":[{"id":9267,"uris":["http://zotero.org/users/local/DyUaTr24/items/BC7KKG4Y"],"uri":["http://zotero.org/users/local/DyUaTr24/items/BC7KKG4Y"],"itemData":{"id":9267,"type":"article-journal","container-title":"Biometrics","DOI":"10.2307/2531021","ISSN":"0006341X","issue":"2","journalAbbreviation":"Biometrics","page":"499","source":"DOI.org (Crossref)","title":"Sample-Size Formula for the Proportional-Hazards Regression Model","volume":"39","author":[{"family":"Schoenfeld","given":"David A."}],"issued":{"date-parts":[["1983",6]]}}}],"schema":"https://github.com/citation-style-language/schema/raw/master/csl-citation.json"} </w:instrText>
      </w:r>
      <w:r w:rsidR="00581E17" w:rsidRPr="002D0614">
        <w:fldChar w:fldCharType="separate"/>
      </w:r>
      <w:r w:rsidR="00EB03C3" w:rsidRPr="002D0614">
        <w:rPr>
          <w:noProof/>
        </w:rPr>
        <w:t>(5)</w:t>
      </w:r>
      <w:r w:rsidR="00581E17" w:rsidRPr="002D0614">
        <w:fldChar w:fldCharType="end"/>
      </w:r>
      <w:r w:rsidRPr="002D0614">
        <w:t>.</w:t>
      </w:r>
    </w:p>
    <w:p w14:paraId="42F6D40F" w14:textId="77777777" w:rsidR="00BF75C3" w:rsidRPr="002D0614" w:rsidRDefault="00BF75C3" w:rsidP="002D0614">
      <w:pPr>
        <w:spacing w:line="276" w:lineRule="auto"/>
      </w:pPr>
    </w:p>
    <w:p w14:paraId="409565DF" w14:textId="3F4698AB" w:rsidR="00C02CB4" w:rsidRPr="002D0614" w:rsidRDefault="00581E17" w:rsidP="002D0614">
      <w:pPr>
        <w:spacing w:line="276" w:lineRule="auto"/>
      </w:pPr>
      <w:r w:rsidRPr="002D0614">
        <w:rPr>
          <w:b/>
          <w:bCs/>
        </w:rPr>
        <w:t>Table 1</w:t>
      </w:r>
      <w:r w:rsidR="00C02CB4" w:rsidRPr="002D0614">
        <w:rPr>
          <w:b/>
          <w:bCs/>
        </w:rPr>
        <w:t>.</w:t>
      </w:r>
      <w:r w:rsidR="00C02CB4" w:rsidRPr="002D0614">
        <w:t xml:space="preserve"> Initial pre-matching sample size for target, comparator and outcome cohorts in CUMC data.</w:t>
      </w:r>
    </w:p>
    <w:p w14:paraId="5468CDC8" w14:textId="53AB6259" w:rsidR="00C02CB4" w:rsidRPr="00541F56" w:rsidRDefault="00C02CB4" w:rsidP="002D0614">
      <w:pPr>
        <w:spacing w:line="276" w:lineRule="auto"/>
      </w:pPr>
    </w:p>
    <w:tbl>
      <w:tblPr>
        <w:tblStyle w:val="TableGrid"/>
        <w:tblW w:w="0" w:type="auto"/>
        <w:tblLook w:val="04A0" w:firstRow="1" w:lastRow="0" w:firstColumn="1" w:lastColumn="0" w:noHBand="0" w:noVBand="1"/>
      </w:tblPr>
      <w:tblGrid>
        <w:gridCol w:w="2875"/>
        <w:gridCol w:w="1440"/>
        <w:gridCol w:w="2250"/>
        <w:gridCol w:w="2340"/>
      </w:tblGrid>
      <w:tr w:rsidR="00C02CB4" w:rsidRPr="002D0614" w14:paraId="40E4A71E" w14:textId="77777777" w:rsidTr="00BF75C3">
        <w:tc>
          <w:tcPr>
            <w:tcW w:w="2875" w:type="dxa"/>
          </w:tcPr>
          <w:p w14:paraId="24B8441C" w14:textId="77777777" w:rsidR="00C02CB4" w:rsidRPr="002D0614" w:rsidRDefault="00C02CB4" w:rsidP="002D0614">
            <w:pPr>
              <w:spacing w:line="276" w:lineRule="auto"/>
            </w:pPr>
            <w:bookmarkStart w:id="5" w:name="OLE_LINK3"/>
            <w:bookmarkStart w:id="6" w:name="OLE_LINK4"/>
          </w:p>
        </w:tc>
        <w:tc>
          <w:tcPr>
            <w:tcW w:w="1440" w:type="dxa"/>
          </w:tcPr>
          <w:p w14:paraId="4C19B572" w14:textId="222E6A67" w:rsidR="00C02CB4" w:rsidRPr="002D0614" w:rsidRDefault="00C02CB4" w:rsidP="002D0614">
            <w:pPr>
              <w:spacing w:line="276" w:lineRule="auto"/>
            </w:pPr>
            <w:r w:rsidRPr="002D0614">
              <w:t>Target</w:t>
            </w:r>
          </w:p>
        </w:tc>
        <w:tc>
          <w:tcPr>
            <w:tcW w:w="2250" w:type="dxa"/>
          </w:tcPr>
          <w:p w14:paraId="1152B700" w14:textId="1FE871D3" w:rsidR="00C02CB4" w:rsidRPr="002D0614" w:rsidRDefault="00C02CB4" w:rsidP="002D0614">
            <w:pPr>
              <w:spacing w:line="276" w:lineRule="auto"/>
            </w:pPr>
            <w:r w:rsidRPr="002D0614">
              <w:t>Comparator (anchored on a date)</w:t>
            </w:r>
          </w:p>
        </w:tc>
        <w:tc>
          <w:tcPr>
            <w:tcW w:w="2340" w:type="dxa"/>
          </w:tcPr>
          <w:p w14:paraId="2D4333A6" w14:textId="45DF3E4F" w:rsidR="00C02CB4" w:rsidRPr="002D0614" w:rsidRDefault="00C02CB4" w:rsidP="002D0614">
            <w:pPr>
              <w:spacing w:line="276" w:lineRule="auto"/>
            </w:pPr>
            <w:r w:rsidRPr="002D0614">
              <w:t>Comparator (anchored on a visit)</w:t>
            </w:r>
          </w:p>
        </w:tc>
      </w:tr>
      <w:tr w:rsidR="00C02CB4" w:rsidRPr="002D0614" w14:paraId="13F5DF34" w14:textId="77777777" w:rsidTr="00BF75C3">
        <w:tc>
          <w:tcPr>
            <w:tcW w:w="2875" w:type="dxa"/>
          </w:tcPr>
          <w:p w14:paraId="1EEC11FA" w14:textId="032BEB1E" w:rsidR="00C02CB4" w:rsidRPr="002D0614" w:rsidRDefault="00370FD2" w:rsidP="002D0614">
            <w:pPr>
              <w:spacing w:line="276" w:lineRule="auto"/>
            </w:pPr>
            <w:r w:rsidRPr="002D0614">
              <w:t xml:space="preserve">Patients fully vaccinated with </w:t>
            </w:r>
            <w:r w:rsidR="00C02CB4" w:rsidRPr="002D0614">
              <w:t>Pfizer-</w:t>
            </w:r>
            <w:proofErr w:type="spellStart"/>
            <w:r w:rsidR="00C02CB4" w:rsidRPr="002D0614">
              <w:t>BioNTech</w:t>
            </w:r>
            <w:proofErr w:type="spellEnd"/>
          </w:p>
        </w:tc>
        <w:tc>
          <w:tcPr>
            <w:tcW w:w="1440" w:type="dxa"/>
          </w:tcPr>
          <w:p w14:paraId="7D40186E" w14:textId="20EFBF8D" w:rsidR="00881265" w:rsidRPr="002D0614" w:rsidRDefault="00881265" w:rsidP="002D0614">
            <w:pPr>
              <w:spacing w:line="276" w:lineRule="auto"/>
              <w:rPr>
                <w:color w:val="000000"/>
              </w:rPr>
            </w:pPr>
            <w:r w:rsidRPr="002D0614">
              <w:rPr>
                <w:color w:val="000000"/>
              </w:rPr>
              <w:t>96</w:t>
            </w:r>
            <w:r w:rsidR="00011E41" w:rsidRPr="002D0614">
              <w:rPr>
                <w:color w:val="000000"/>
              </w:rPr>
              <w:t>,</w:t>
            </w:r>
            <w:r w:rsidRPr="002D0614">
              <w:rPr>
                <w:color w:val="000000"/>
              </w:rPr>
              <w:t>383</w:t>
            </w:r>
          </w:p>
          <w:p w14:paraId="617A62C2" w14:textId="77777777" w:rsidR="00C02CB4" w:rsidRPr="002D0614" w:rsidRDefault="00C02CB4" w:rsidP="002D0614">
            <w:pPr>
              <w:spacing w:line="276" w:lineRule="auto"/>
            </w:pPr>
          </w:p>
        </w:tc>
        <w:tc>
          <w:tcPr>
            <w:tcW w:w="2250" w:type="dxa"/>
          </w:tcPr>
          <w:p w14:paraId="0085828F" w14:textId="00F0F33D" w:rsidR="00BF75C3" w:rsidRPr="002D0614" w:rsidRDefault="00BF75C3" w:rsidP="002D0614">
            <w:pPr>
              <w:spacing w:line="276" w:lineRule="auto"/>
              <w:rPr>
                <w:color w:val="000000"/>
              </w:rPr>
            </w:pPr>
            <w:r w:rsidRPr="002D0614">
              <w:rPr>
                <w:color w:val="000000"/>
              </w:rPr>
              <w:t>93</w:t>
            </w:r>
            <w:r w:rsidR="00011E41" w:rsidRPr="002D0614">
              <w:rPr>
                <w:color w:val="000000"/>
              </w:rPr>
              <w:t>,</w:t>
            </w:r>
            <w:r w:rsidRPr="002D0614">
              <w:rPr>
                <w:color w:val="000000"/>
              </w:rPr>
              <w:t>284</w:t>
            </w:r>
          </w:p>
          <w:p w14:paraId="2F2B9C7F" w14:textId="77777777" w:rsidR="00C02CB4" w:rsidRPr="002D0614" w:rsidRDefault="00C02CB4" w:rsidP="002D0614">
            <w:pPr>
              <w:spacing w:line="276" w:lineRule="auto"/>
            </w:pPr>
          </w:p>
        </w:tc>
        <w:tc>
          <w:tcPr>
            <w:tcW w:w="2340" w:type="dxa"/>
          </w:tcPr>
          <w:p w14:paraId="068DE754" w14:textId="22826F34" w:rsidR="00BF75C3" w:rsidRPr="002D0614" w:rsidRDefault="00BF75C3" w:rsidP="002D0614">
            <w:pPr>
              <w:spacing w:line="276" w:lineRule="auto"/>
              <w:rPr>
                <w:color w:val="000000"/>
              </w:rPr>
            </w:pPr>
            <w:r w:rsidRPr="002D0614">
              <w:rPr>
                <w:color w:val="000000"/>
              </w:rPr>
              <w:t>73</w:t>
            </w:r>
            <w:r w:rsidR="00011E41" w:rsidRPr="002D0614">
              <w:rPr>
                <w:color w:val="000000"/>
              </w:rPr>
              <w:t>,</w:t>
            </w:r>
            <w:r w:rsidRPr="002D0614">
              <w:rPr>
                <w:color w:val="000000"/>
              </w:rPr>
              <w:t>848</w:t>
            </w:r>
          </w:p>
          <w:p w14:paraId="371F7CD1" w14:textId="77777777" w:rsidR="00C02CB4" w:rsidRPr="002D0614" w:rsidRDefault="00C02CB4" w:rsidP="002D0614">
            <w:pPr>
              <w:spacing w:line="276" w:lineRule="auto"/>
            </w:pPr>
          </w:p>
        </w:tc>
      </w:tr>
      <w:tr w:rsidR="00C02CB4" w:rsidRPr="002D0614" w14:paraId="0F7E6EF4" w14:textId="77777777" w:rsidTr="00BF75C3">
        <w:tc>
          <w:tcPr>
            <w:tcW w:w="2875" w:type="dxa"/>
          </w:tcPr>
          <w:p w14:paraId="5A80930C" w14:textId="0BBF5229" w:rsidR="00C02CB4" w:rsidRPr="002D0614" w:rsidRDefault="00370FD2" w:rsidP="002D0614">
            <w:pPr>
              <w:spacing w:line="276" w:lineRule="auto"/>
            </w:pPr>
            <w:r w:rsidRPr="002D0614">
              <w:lastRenderedPageBreak/>
              <w:t xml:space="preserve">Patients fully vaccinated with </w:t>
            </w:r>
            <w:proofErr w:type="spellStart"/>
            <w:r w:rsidR="00C02CB4" w:rsidRPr="002D0614">
              <w:t>Moderna</w:t>
            </w:r>
            <w:proofErr w:type="spellEnd"/>
            <w:r w:rsidR="00C02CB4" w:rsidRPr="002D0614">
              <w:t xml:space="preserve"> </w:t>
            </w:r>
          </w:p>
        </w:tc>
        <w:tc>
          <w:tcPr>
            <w:tcW w:w="1440" w:type="dxa"/>
          </w:tcPr>
          <w:p w14:paraId="1196264D" w14:textId="28944723" w:rsidR="00C02CB4" w:rsidRPr="002D0614" w:rsidRDefault="00881265" w:rsidP="002D0614">
            <w:pPr>
              <w:spacing w:line="276" w:lineRule="auto"/>
              <w:rPr>
                <w:color w:val="000000"/>
              </w:rPr>
            </w:pPr>
            <w:r w:rsidRPr="002D0614">
              <w:rPr>
                <w:color w:val="000000"/>
              </w:rPr>
              <w:t>35</w:t>
            </w:r>
            <w:r w:rsidR="00011E41" w:rsidRPr="002D0614">
              <w:rPr>
                <w:color w:val="000000"/>
              </w:rPr>
              <w:t>,</w:t>
            </w:r>
            <w:r w:rsidRPr="002D0614">
              <w:rPr>
                <w:color w:val="000000"/>
              </w:rPr>
              <w:t>168</w:t>
            </w:r>
          </w:p>
        </w:tc>
        <w:tc>
          <w:tcPr>
            <w:tcW w:w="2250" w:type="dxa"/>
          </w:tcPr>
          <w:p w14:paraId="484823E0" w14:textId="36B01A5E" w:rsidR="00C02CB4" w:rsidRPr="002D0614" w:rsidRDefault="00BF75C3" w:rsidP="002D0614">
            <w:pPr>
              <w:spacing w:line="276" w:lineRule="auto"/>
              <w:rPr>
                <w:color w:val="000000"/>
              </w:rPr>
            </w:pPr>
            <w:r w:rsidRPr="002D0614">
              <w:rPr>
                <w:color w:val="000000"/>
              </w:rPr>
              <w:t>66</w:t>
            </w:r>
            <w:r w:rsidR="00011E41" w:rsidRPr="002D0614">
              <w:rPr>
                <w:color w:val="000000"/>
              </w:rPr>
              <w:t>,</w:t>
            </w:r>
            <w:r w:rsidRPr="002D0614">
              <w:rPr>
                <w:color w:val="000000"/>
              </w:rPr>
              <w:t>582</w:t>
            </w:r>
          </w:p>
        </w:tc>
        <w:tc>
          <w:tcPr>
            <w:tcW w:w="2340" w:type="dxa"/>
          </w:tcPr>
          <w:p w14:paraId="1295224B" w14:textId="4E3D58BF" w:rsidR="00C02CB4" w:rsidRPr="002D0614" w:rsidRDefault="00BF75C3" w:rsidP="002D0614">
            <w:pPr>
              <w:spacing w:line="276" w:lineRule="auto"/>
              <w:rPr>
                <w:color w:val="000000"/>
              </w:rPr>
            </w:pPr>
            <w:r w:rsidRPr="002D0614">
              <w:rPr>
                <w:color w:val="000000"/>
              </w:rPr>
              <w:t>41</w:t>
            </w:r>
            <w:r w:rsidR="00011E41" w:rsidRPr="002D0614">
              <w:rPr>
                <w:color w:val="000000"/>
              </w:rPr>
              <w:t>,</w:t>
            </w:r>
            <w:r w:rsidRPr="002D0614">
              <w:rPr>
                <w:color w:val="000000"/>
              </w:rPr>
              <w:t>458</w:t>
            </w:r>
          </w:p>
        </w:tc>
      </w:tr>
      <w:tr w:rsidR="00C02CB4" w:rsidRPr="002D0614" w14:paraId="121445C5" w14:textId="77777777" w:rsidTr="00BF75C3">
        <w:tc>
          <w:tcPr>
            <w:tcW w:w="2875" w:type="dxa"/>
          </w:tcPr>
          <w:p w14:paraId="00732F08" w14:textId="45BF9FD3" w:rsidR="00C02CB4" w:rsidRPr="002D0614" w:rsidRDefault="00370FD2" w:rsidP="002D0614">
            <w:pPr>
              <w:spacing w:line="276" w:lineRule="auto"/>
            </w:pPr>
            <w:r w:rsidRPr="002D0614">
              <w:t xml:space="preserve">Patients fully vaccinated with </w:t>
            </w:r>
            <w:r w:rsidR="00C02CB4" w:rsidRPr="002D0614">
              <w:t>Janssen vaccine</w:t>
            </w:r>
          </w:p>
        </w:tc>
        <w:tc>
          <w:tcPr>
            <w:tcW w:w="1440" w:type="dxa"/>
          </w:tcPr>
          <w:p w14:paraId="5DDFF5B6" w14:textId="5B79C50F" w:rsidR="00C02CB4" w:rsidRPr="002D0614" w:rsidRDefault="00881265" w:rsidP="002D0614">
            <w:pPr>
              <w:spacing w:line="276" w:lineRule="auto"/>
              <w:rPr>
                <w:color w:val="000000"/>
              </w:rPr>
            </w:pPr>
            <w:r w:rsidRPr="002D0614">
              <w:rPr>
                <w:color w:val="000000"/>
              </w:rPr>
              <w:t>4</w:t>
            </w:r>
            <w:r w:rsidR="00011E41" w:rsidRPr="002D0614">
              <w:rPr>
                <w:color w:val="000000"/>
              </w:rPr>
              <w:t>,</w:t>
            </w:r>
            <w:r w:rsidRPr="002D0614">
              <w:rPr>
                <w:color w:val="000000"/>
              </w:rPr>
              <w:t>023</w:t>
            </w:r>
          </w:p>
        </w:tc>
        <w:tc>
          <w:tcPr>
            <w:tcW w:w="2250" w:type="dxa"/>
          </w:tcPr>
          <w:p w14:paraId="73E21C9C" w14:textId="1CF04C43" w:rsidR="00C02CB4" w:rsidRPr="002D0614" w:rsidRDefault="00BF75C3" w:rsidP="002D0614">
            <w:pPr>
              <w:spacing w:line="276" w:lineRule="auto"/>
              <w:rPr>
                <w:color w:val="000000"/>
              </w:rPr>
            </w:pPr>
            <w:r w:rsidRPr="002D0614">
              <w:rPr>
                <w:color w:val="000000"/>
              </w:rPr>
              <w:t>8</w:t>
            </w:r>
            <w:r w:rsidR="00011E41" w:rsidRPr="002D0614">
              <w:rPr>
                <w:color w:val="000000"/>
              </w:rPr>
              <w:t>,</w:t>
            </w:r>
            <w:r w:rsidRPr="002D0614">
              <w:rPr>
                <w:color w:val="000000"/>
              </w:rPr>
              <w:t>046</w:t>
            </w:r>
          </w:p>
        </w:tc>
        <w:tc>
          <w:tcPr>
            <w:tcW w:w="2340" w:type="dxa"/>
          </w:tcPr>
          <w:p w14:paraId="44707BA4" w14:textId="604EE894" w:rsidR="00C02CB4" w:rsidRPr="002D0614" w:rsidRDefault="00BF75C3" w:rsidP="002D0614">
            <w:pPr>
              <w:spacing w:line="276" w:lineRule="auto"/>
              <w:rPr>
                <w:color w:val="000000"/>
              </w:rPr>
            </w:pPr>
            <w:r w:rsidRPr="002D0614">
              <w:rPr>
                <w:color w:val="000000"/>
              </w:rPr>
              <w:t>7</w:t>
            </w:r>
            <w:r w:rsidR="00011E41" w:rsidRPr="002D0614">
              <w:rPr>
                <w:color w:val="000000"/>
              </w:rPr>
              <w:t>,</w:t>
            </w:r>
            <w:r w:rsidRPr="002D0614">
              <w:rPr>
                <w:color w:val="000000"/>
              </w:rPr>
              <w:t>290</w:t>
            </w:r>
          </w:p>
        </w:tc>
      </w:tr>
      <w:tr w:rsidR="00370FD2" w:rsidRPr="002D0614" w14:paraId="58E1613F" w14:textId="77777777" w:rsidTr="00BF75C3">
        <w:tc>
          <w:tcPr>
            <w:tcW w:w="2875" w:type="dxa"/>
          </w:tcPr>
          <w:p w14:paraId="2110CCD2" w14:textId="546588A9" w:rsidR="00370FD2" w:rsidRPr="002D0614" w:rsidRDefault="00370FD2" w:rsidP="002D0614">
            <w:pPr>
              <w:spacing w:line="276" w:lineRule="auto"/>
            </w:pPr>
            <w:r w:rsidRPr="002D0614">
              <w:t xml:space="preserve">Patients </w:t>
            </w:r>
            <w:r w:rsidR="003131A1" w:rsidRPr="002D0614">
              <w:t>partially and fully</w:t>
            </w:r>
            <w:r w:rsidRPr="002D0614">
              <w:t xml:space="preserve"> vaccinated with Pfizer-</w:t>
            </w:r>
            <w:proofErr w:type="spellStart"/>
            <w:r w:rsidRPr="002D0614">
              <w:t>BioNTech</w:t>
            </w:r>
            <w:proofErr w:type="spellEnd"/>
          </w:p>
        </w:tc>
        <w:tc>
          <w:tcPr>
            <w:tcW w:w="1440" w:type="dxa"/>
          </w:tcPr>
          <w:p w14:paraId="5C9F97C0" w14:textId="6989A4E4" w:rsidR="00011E41" w:rsidRPr="002D0614" w:rsidRDefault="00011E41" w:rsidP="002D0614">
            <w:pPr>
              <w:spacing w:line="276" w:lineRule="auto"/>
              <w:rPr>
                <w:color w:val="000000"/>
              </w:rPr>
            </w:pPr>
            <w:r w:rsidRPr="002D0614">
              <w:rPr>
                <w:color w:val="000000"/>
              </w:rPr>
              <w:t>116,646</w:t>
            </w:r>
          </w:p>
          <w:p w14:paraId="1C8E5328" w14:textId="77777777" w:rsidR="00370FD2" w:rsidRPr="002D0614" w:rsidRDefault="00370FD2" w:rsidP="002D0614">
            <w:pPr>
              <w:spacing w:line="276" w:lineRule="auto"/>
              <w:rPr>
                <w:color w:val="000000"/>
              </w:rPr>
            </w:pPr>
          </w:p>
        </w:tc>
        <w:tc>
          <w:tcPr>
            <w:tcW w:w="2250" w:type="dxa"/>
          </w:tcPr>
          <w:p w14:paraId="6B2AECFC" w14:textId="49AA698D" w:rsidR="00011E41" w:rsidRPr="002D0614" w:rsidRDefault="00011E41" w:rsidP="002D0614">
            <w:pPr>
              <w:spacing w:line="276" w:lineRule="auto"/>
              <w:rPr>
                <w:color w:val="000000"/>
              </w:rPr>
            </w:pPr>
            <w:r w:rsidRPr="002D0614">
              <w:rPr>
                <w:color w:val="000000"/>
              </w:rPr>
              <w:t>148,580</w:t>
            </w:r>
          </w:p>
          <w:p w14:paraId="1B18E838" w14:textId="77777777" w:rsidR="00370FD2" w:rsidRPr="002D0614" w:rsidRDefault="00370FD2" w:rsidP="002D0614">
            <w:pPr>
              <w:spacing w:line="276" w:lineRule="auto"/>
              <w:rPr>
                <w:color w:val="000000"/>
              </w:rPr>
            </w:pPr>
          </w:p>
        </w:tc>
        <w:tc>
          <w:tcPr>
            <w:tcW w:w="2340" w:type="dxa"/>
          </w:tcPr>
          <w:p w14:paraId="5B9BA29A" w14:textId="44E6AB85" w:rsidR="00011E41" w:rsidRPr="002D0614" w:rsidRDefault="00011E41" w:rsidP="002D0614">
            <w:pPr>
              <w:spacing w:line="276" w:lineRule="auto"/>
              <w:rPr>
                <w:color w:val="000000"/>
              </w:rPr>
            </w:pPr>
            <w:r w:rsidRPr="002D0614">
              <w:rPr>
                <w:color w:val="000000"/>
              </w:rPr>
              <w:t>83,137</w:t>
            </w:r>
          </w:p>
          <w:p w14:paraId="25917926" w14:textId="77777777" w:rsidR="00370FD2" w:rsidRPr="002D0614" w:rsidRDefault="00370FD2" w:rsidP="002D0614">
            <w:pPr>
              <w:spacing w:line="276" w:lineRule="auto"/>
              <w:rPr>
                <w:color w:val="000000"/>
              </w:rPr>
            </w:pPr>
          </w:p>
        </w:tc>
      </w:tr>
      <w:tr w:rsidR="00370FD2" w:rsidRPr="002D0614" w14:paraId="0822AE2B" w14:textId="77777777" w:rsidTr="00BF75C3">
        <w:tc>
          <w:tcPr>
            <w:tcW w:w="2875" w:type="dxa"/>
          </w:tcPr>
          <w:p w14:paraId="3F313912" w14:textId="5B965C32" w:rsidR="00370FD2" w:rsidRPr="002D0614" w:rsidRDefault="00370FD2" w:rsidP="002D0614">
            <w:pPr>
              <w:spacing w:line="276" w:lineRule="auto"/>
            </w:pPr>
            <w:r w:rsidRPr="002D0614">
              <w:t xml:space="preserve">Patients </w:t>
            </w:r>
            <w:r w:rsidR="003131A1" w:rsidRPr="002D0614">
              <w:t xml:space="preserve">partially and fully </w:t>
            </w:r>
            <w:r w:rsidRPr="002D0614">
              <w:t xml:space="preserve">vaccinated with </w:t>
            </w:r>
            <w:proofErr w:type="spellStart"/>
            <w:r w:rsidRPr="002D0614">
              <w:t>Moderna</w:t>
            </w:r>
            <w:proofErr w:type="spellEnd"/>
            <w:r w:rsidRPr="002D0614">
              <w:t xml:space="preserve"> </w:t>
            </w:r>
          </w:p>
        </w:tc>
        <w:tc>
          <w:tcPr>
            <w:tcW w:w="1440" w:type="dxa"/>
          </w:tcPr>
          <w:p w14:paraId="2D00D13B" w14:textId="6087B3DD" w:rsidR="00011E41" w:rsidRPr="002D0614" w:rsidRDefault="00011E41" w:rsidP="002D0614">
            <w:pPr>
              <w:spacing w:line="276" w:lineRule="auto"/>
              <w:rPr>
                <w:color w:val="000000"/>
              </w:rPr>
            </w:pPr>
            <w:r w:rsidRPr="002D0614">
              <w:rPr>
                <w:color w:val="000000"/>
              </w:rPr>
              <w:t>48,904</w:t>
            </w:r>
          </w:p>
          <w:p w14:paraId="5E6748A5" w14:textId="77777777" w:rsidR="00370FD2" w:rsidRPr="002D0614" w:rsidRDefault="00370FD2" w:rsidP="002D0614">
            <w:pPr>
              <w:spacing w:line="276" w:lineRule="auto"/>
              <w:rPr>
                <w:color w:val="000000"/>
              </w:rPr>
            </w:pPr>
          </w:p>
        </w:tc>
        <w:tc>
          <w:tcPr>
            <w:tcW w:w="2250" w:type="dxa"/>
          </w:tcPr>
          <w:p w14:paraId="3069D7E6" w14:textId="29A01D71" w:rsidR="00011E41" w:rsidRPr="002D0614" w:rsidRDefault="00011E41" w:rsidP="002D0614">
            <w:pPr>
              <w:spacing w:line="276" w:lineRule="auto"/>
              <w:rPr>
                <w:color w:val="000000"/>
              </w:rPr>
            </w:pPr>
            <w:r w:rsidRPr="002D0614">
              <w:rPr>
                <w:color w:val="000000"/>
              </w:rPr>
              <w:t>65,937</w:t>
            </w:r>
          </w:p>
          <w:p w14:paraId="3B5ACB5E" w14:textId="77777777" w:rsidR="00370FD2" w:rsidRPr="002D0614" w:rsidRDefault="00370FD2" w:rsidP="002D0614">
            <w:pPr>
              <w:spacing w:line="276" w:lineRule="auto"/>
              <w:rPr>
                <w:color w:val="000000"/>
              </w:rPr>
            </w:pPr>
          </w:p>
        </w:tc>
        <w:tc>
          <w:tcPr>
            <w:tcW w:w="2340" w:type="dxa"/>
          </w:tcPr>
          <w:p w14:paraId="13B98D3C" w14:textId="605F5903" w:rsidR="00011E41" w:rsidRPr="002D0614" w:rsidRDefault="00011E41" w:rsidP="002D0614">
            <w:pPr>
              <w:spacing w:line="276" w:lineRule="auto"/>
              <w:rPr>
                <w:color w:val="000000"/>
              </w:rPr>
            </w:pPr>
            <w:r w:rsidRPr="002D0614">
              <w:rPr>
                <w:color w:val="000000"/>
              </w:rPr>
              <w:t>55,137</w:t>
            </w:r>
          </w:p>
          <w:p w14:paraId="25389E6E" w14:textId="77777777" w:rsidR="00370FD2" w:rsidRPr="002D0614" w:rsidRDefault="00370FD2" w:rsidP="002D0614">
            <w:pPr>
              <w:spacing w:line="276" w:lineRule="auto"/>
              <w:rPr>
                <w:color w:val="000000"/>
              </w:rPr>
            </w:pPr>
          </w:p>
        </w:tc>
      </w:tr>
      <w:tr w:rsidR="00011E41" w:rsidRPr="002D0614" w14:paraId="3B0962B6" w14:textId="77777777" w:rsidTr="00BF75C3">
        <w:tc>
          <w:tcPr>
            <w:tcW w:w="2875" w:type="dxa"/>
          </w:tcPr>
          <w:p w14:paraId="0905E7E1" w14:textId="05FF6617" w:rsidR="00011E41" w:rsidRPr="002D0614" w:rsidRDefault="00011E41" w:rsidP="002D0614">
            <w:pPr>
              <w:spacing w:line="276" w:lineRule="auto"/>
            </w:pPr>
            <w:r w:rsidRPr="002D0614">
              <w:t>Patients partially and fully vaccinated with Janssen vaccine</w:t>
            </w:r>
          </w:p>
        </w:tc>
        <w:tc>
          <w:tcPr>
            <w:tcW w:w="1440" w:type="dxa"/>
          </w:tcPr>
          <w:p w14:paraId="1DB60475" w14:textId="510C1AD9" w:rsidR="00011E41" w:rsidRPr="002D0614" w:rsidRDefault="00011E41" w:rsidP="002D0614">
            <w:pPr>
              <w:spacing w:line="276" w:lineRule="auto"/>
              <w:rPr>
                <w:color w:val="000000"/>
              </w:rPr>
            </w:pPr>
            <w:r w:rsidRPr="002D0614">
              <w:rPr>
                <w:color w:val="000000"/>
              </w:rPr>
              <w:t>4,059</w:t>
            </w:r>
          </w:p>
          <w:p w14:paraId="429D620E" w14:textId="77777777" w:rsidR="00011E41" w:rsidRPr="002D0614" w:rsidRDefault="00011E41" w:rsidP="002D0614">
            <w:pPr>
              <w:spacing w:line="276" w:lineRule="auto"/>
              <w:rPr>
                <w:color w:val="000000"/>
              </w:rPr>
            </w:pPr>
          </w:p>
        </w:tc>
        <w:tc>
          <w:tcPr>
            <w:tcW w:w="2250" w:type="dxa"/>
          </w:tcPr>
          <w:p w14:paraId="3717FA76" w14:textId="5666223F" w:rsidR="00011E41" w:rsidRPr="002D0614" w:rsidRDefault="00011E41" w:rsidP="002D0614">
            <w:pPr>
              <w:spacing w:line="276" w:lineRule="auto"/>
              <w:rPr>
                <w:color w:val="000000"/>
              </w:rPr>
            </w:pPr>
            <w:r w:rsidRPr="002D0614">
              <w:rPr>
                <w:color w:val="000000"/>
              </w:rPr>
              <w:t>7,958</w:t>
            </w:r>
          </w:p>
          <w:p w14:paraId="2AC77938" w14:textId="77777777" w:rsidR="00011E41" w:rsidRPr="002D0614" w:rsidRDefault="00011E41" w:rsidP="002D0614">
            <w:pPr>
              <w:spacing w:line="276" w:lineRule="auto"/>
              <w:rPr>
                <w:color w:val="000000"/>
              </w:rPr>
            </w:pPr>
          </w:p>
        </w:tc>
        <w:tc>
          <w:tcPr>
            <w:tcW w:w="2340" w:type="dxa"/>
          </w:tcPr>
          <w:p w14:paraId="2DF04F05" w14:textId="273CBE5A" w:rsidR="00011E41" w:rsidRPr="002D0614" w:rsidRDefault="00011E41" w:rsidP="002D0614">
            <w:pPr>
              <w:spacing w:line="276" w:lineRule="auto"/>
              <w:rPr>
                <w:color w:val="000000"/>
              </w:rPr>
            </w:pPr>
            <w:r w:rsidRPr="002D0614">
              <w:rPr>
                <w:color w:val="000000"/>
              </w:rPr>
              <w:t>5,525</w:t>
            </w:r>
          </w:p>
          <w:p w14:paraId="418233C8" w14:textId="77777777" w:rsidR="00011E41" w:rsidRPr="002D0614" w:rsidRDefault="00011E41" w:rsidP="002D0614">
            <w:pPr>
              <w:spacing w:line="276" w:lineRule="auto"/>
              <w:rPr>
                <w:color w:val="000000"/>
              </w:rPr>
            </w:pPr>
          </w:p>
        </w:tc>
      </w:tr>
      <w:tr w:rsidR="00C02CB4" w:rsidRPr="002D0614" w14:paraId="712994B8" w14:textId="77777777" w:rsidTr="00BF75C3">
        <w:tc>
          <w:tcPr>
            <w:tcW w:w="2875" w:type="dxa"/>
          </w:tcPr>
          <w:p w14:paraId="2EC5573B" w14:textId="647F6C9E" w:rsidR="00C02CB4" w:rsidRPr="002D0614" w:rsidRDefault="00C02CB4" w:rsidP="002D0614">
            <w:pPr>
              <w:spacing w:line="276" w:lineRule="auto"/>
            </w:pPr>
            <w:r w:rsidRPr="002D0614">
              <w:t>COVID-19 infection episodes</w:t>
            </w:r>
          </w:p>
        </w:tc>
        <w:tc>
          <w:tcPr>
            <w:tcW w:w="1440" w:type="dxa"/>
          </w:tcPr>
          <w:p w14:paraId="63B042E8" w14:textId="586ED072" w:rsidR="00C02CB4" w:rsidRPr="002D0614" w:rsidRDefault="00881265" w:rsidP="002D0614">
            <w:pPr>
              <w:spacing w:line="276" w:lineRule="auto"/>
              <w:rPr>
                <w:color w:val="000000"/>
              </w:rPr>
            </w:pPr>
            <w:r w:rsidRPr="002D0614">
              <w:rPr>
                <w:color w:val="000000"/>
              </w:rPr>
              <w:t>58</w:t>
            </w:r>
            <w:r w:rsidR="00011E41" w:rsidRPr="002D0614">
              <w:rPr>
                <w:color w:val="000000"/>
              </w:rPr>
              <w:t>,</w:t>
            </w:r>
            <w:r w:rsidRPr="002D0614">
              <w:rPr>
                <w:color w:val="000000"/>
              </w:rPr>
              <w:t>759</w:t>
            </w:r>
          </w:p>
        </w:tc>
        <w:tc>
          <w:tcPr>
            <w:tcW w:w="2250" w:type="dxa"/>
          </w:tcPr>
          <w:p w14:paraId="7C039B44" w14:textId="77777777" w:rsidR="00C02CB4" w:rsidRPr="002D0614" w:rsidRDefault="00C02CB4" w:rsidP="002D0614">
            <w:pPr>
              <w:spacing w:line="276" w:lineRule="auto"/>
            </w:pPr>
          </w:p>
        </w:tc>
        <w:tc>
          <w:tcPr>
            <w:tcW w:w="2340" w:type="dxa"/>
          </w:tcPr>
          <w:p w14:paraId="31686981" w14:textId="77777777" w:rsidR="00C02CB4" w:rsidRPr="002D0614" w:rsidRDefault="00C02CB4" w:rsidP="002D0614">
            <w:pPr>
              <w:spacing w:line="276" w:lineRule="auto"/>
            </w:pPr>
          </w:p>
        </w:tc>
      </w:tr>
      <w:tr w:rsidR="00C02CB4" w:rsidRPr="002D0614" w14:paraId="4E776726" w14:textId="77777777" w:rsidTr="00BF75C3">
        <w:tc>
          <w:tcPr>
            <w:tcW w:w="2875" w:type="dxa"/>
          </w:tcPr>
          <w:p w14:paraId="633B4E81" w14:textId="111254E8" w:rsidR="00C02CB4" w:rsidRPr="002D0614" w:rsidRDefault="00C02CB4" w:rsidP="002D0614">
            <w:pPr>
              <w:spacing w:line="276" w:lineRule="auto"/>
            </w:pPr>
            <w:r w:rsidRPr="002D0614">
              <w:t>COVID-19 hospitalization</w:t>
            </w:r>
          </w:p>
        </w:tc>
        <w:tc>
          <w:tcPr>
            <w:tcW w:w="1440" w:type="dxa"/>
          </w:tcPr>
          <w:p w14:paraId="753F87D9" w14:textId="2E3F888C" w:rsidR="00C02CB4" w:rsidRPr="002D0614" w:rsidRDefault="00881265" w:rsidP="002D0614">
            <w:pPr>
              <w:spacing w:line="276" w:lineRule="auto"/>
              <w:rPr>
                <w:color w:val="000000"/>
              </w:rPr>
            </w:pPr>
            <w:r w:rsidRPr="002D0614">
              <w:rPr>
                <w:color w:val="000000"/>
              </w:rPr>
              <w:t>11</w:t>
            </w:r>
            <w:r w:rsidR="00011E41" w:rsidRPr="002D0614">
              <w:rPr>
                <w:color w:val="000000"/>
              </w:rPr>
              <w:t>,</w:t>
            </w:r>
            <w:r w:rsidRPr="002D0614">
              <w:rPr>
                <w:color w:val="000000"/>
              </w:rPr>
              <w:t>455</w:t>
            </w:r>
          </w:p>
        </w:tc>
        <w:tc>
          <w:tcPr>
            <w:tcW w:w="2250" w:type="dxa"/>
          </w:tcPr>
          <w:p w14:paraId="214B79A2" w14:textId="77777777" w:rsidR="00C02CB4" w:rsidRPr="002D0614" w:rsidRDefault="00C02CB4" w:rsidP="002D0614">
            <w:pPr>
              <w:spacing w:line="276" w:lineRule="auto"/>
            </w:pPr>
          </w:p>
        </w:tc>
        <w:tc>
          <w:tcPr>
            <w:tcW w:w="2340" w:type="dxa"/>
          </w:tcPr>
          <w:p w14:paraId="6786019C" w14:textId="77777777" w:rsidR="00C02CB4" w:rsidRPr="002D0614" w:rsidRDefault="00C02CB4" w:rsidP="002D0614">
            <w:pPr>
              <w:spacing w:line="276" w:lineRule="auto"/>
            </w:pPr>
          </w:p>
        </w:tc>
      </w:tr>
      <w:bookmarkEnd w:id="5"/>
      <w:bookmarkEnd w:id="6"/>
    </w:tbl>
    <w:p w14:paraId="70E8D15D" w14:textId="77777777" w:rsidR="00C02CB4" w:rsidRPr="002D0614" w:rsidRDefault="00C02CB4" w:rsidP="002D0614">
      <w:pPr>
        <w:spacing w:line="276" w:lineRule="auto"/>
      </w:pPr>
    </w:p>
    <w:p w14:paraId="0727E5AE" w14:textId="3310E7FF" w:rsidR="00633AF5" w:rsidRDefault="00633AF5" w:rsidP="002D0614">
      <w:pPr>
        <w:spacing w:line="276" w:lineRule="auto"/>
        <w:rPr>
          <w:b/>
          <w:bCs/>
          <w:sz w:val="28"/>
          <w:szCs w:val="28"/>
        </w:rPr>
      </w:pPr>
      <w:r w:rsidRPr="002D0614">
        <w:rPr>
          <w:b/>
          <w:bCs/>
          <w:sz w:val="28"/>
          <w:szCs w:val="28"/>
        </w:rPr>
        <w:t>Study Diagnostics</w:t>
      </w:r>
    </w:p>
    <w:p w14:paraId="2AA0FED9" w14:textId="77777777" w:rsidR="00012662" w:rsidRPr="002D0614" w:rsidRDefault="00012662" w:rsidP="002D0614">
      <w:pPr>
        <w:spacing w:line="276" w:lineRule="auto"/>
        <w:rPr>
          <w:b/>
          <w:bCs/>
          <w:sz w:val="28"/>
          <w:szCs w:val="28"/>
        </w:rPr>
      </w:pPr>
    </w:p>
    <w:p w14:paraId="69B1236B" w14:textId="009085EE" w:rsidR="00C919D9" w:rsidRPr="002D0614" w:rsidRDefault="00C919D9" w:rsidP="002D0614">
      <w:pPr>
        <w:spacing w:line="276" w:lineRule="auto"/>
      </w:pPr>
      <w:r w:rsidRPr="002D0614">
        <w:t>For each population-level effect estimate generated by the study, i.e. each target-comparator-outcome-analysis-database combination, we will report diagnostics to assess its potential for bias and threats to its valid interpretation. The diagnostics include both propensity score distribution and covariate balance before and after propensity score matching.</w:t>
      </w:r>
    </w:p>
    <w:p w14:paraId="436E9D2E" w14:textId="77777777" w:rsidR="00DF1EEF" w:rsidRPr="002D0614" w:rsidRDefault="00DF1EEF" w:rsidP="002D0614">
      <w:pPr>
        <w:spacing w:line="276" w:lineRule="auto"/>
      </w:pPr>
    </w:p>
    <w:p w14:paraId="4BA8C132" w14:textId="77777777" w:rsidR="00C919D9" w:rsidRPr="002D0614" w:rsidRDefault="00C919D9" w:rsidP="002D0614">
      <w:pPr>
        <w:spacing w:line="276" w:lineRule="auto"/>
        <w:rPr>
          <w:b/>
          <w:bCs/>
        </w:rPr>
      </w:pPr>
      <w:r w:rsidRPr="002D0614">
        <w:rPr>
          <w:b/>
          <w:bCs/>
        </w:rPr>
        <w:t>Propensity Score Distribution</w:t>
      </w:r>
    </w:p>
    <w:p w14:paraId="240888A3" w14:textId="0590BD84" w:rsidR="00C919D9" w:rsidRPr="002D0614" w:rsidRDefault="00C919D9" w:rsidP="002D0614">
      <w:pPr>
        <w:spacing w:line="276" w:lineRule="auto"/>
      </w:pPr>
      <w:r w:rsidRPr="002D0614">
        <w:t>Once the PS model is fit for each pairwise comparison, the PS distribution for the target and comparator cohort will be plotted to evaluate the comparability, as a proxy for exchange ability, of the two cohorts before matching. The plot will be scaled to the preference score, which normalizes for initial cohort size imbalance. If the proportion of subjects in clinical equipoise, i.e. the patients with a preference score between 0.3 and 0.718, is less than 50%, then the estimate will not be reported.</w:t>
      </w:r>
    </w:p>
    <w:p w14:paraId="1CC31AB1" w14:textId="77777777" w:rsidR="00DF1EEF" w:rsidRPr="002D0614" w:rsidRDefault="00DF1EEF" w:rsidP="002D0614">
      <w:pPr>
        <w:spacing w:line="276" w:lineRule="auto"/>
      </w:pPr>
    </w:p>
    <w:p w14:paraId="766E9726" w14:textId="77777777" w:rsidR="00C919D9" w:rsidRPr="002D0614" w:rsidRDefault="00C919D9" w:rsidP="002D0614">
      <w:pPr>
        <w:spacing w:line="276" w:lineRule="auto"/>
        <w:rPr>
          <w:b/>
          <w:bCs/>
        </w:rPr>
      </w:pPr>
      <w:r w:rsidRPr="002D0614">
        <w:rPr>
          <w:b/>
          <w:bCs/>
        </w:rPr>
        <w:t>Covariate balance before and after propensity score matching</w:t>
      </w:r>
    </w:p>
    <w:p w14:paraId="0BA98704" w14:textId="03E3B273" w:rsidR="00C919D9" w:rsidRPr="002D0614" w:rsidRDefault="00C919D9" w:rsidP="002D0614">
      <w:pPr>
        <w:spacing w:line="276" w:lineRule="auto"/>
      </w:pPr>
      <w:r w:rsidRPr="002D0614">
        <w:t>Covariate balance will be evaluated by plotting the standardized mean difference (SMD) of each covariate before against the SMD after propensity score matching. After matching SMDs with values of &lt;0.1 are asserted to indicate negligible group differences</w:t>
      </w:r>
      <w:r w:rsidR="00633AF5" w:rsidRPr="002D0614">
        <w:t>.</w:t>
      </w:r>
    </w:p>
    <w:p w14:paraId="51419774" w14:textId="77777777" w:rsidR="00DF1EEF" w:rsidRPr="002D0614" w:rsidRDefault="00DF1EEF" w:rsidP="002D0614">
      <w:pPr>
        <w:spacing w:line="276" w:lineRule="auto"/>
      </w:pPr>
    </w:p>
    <w:p w14:paraId="23CE9B4D" w14:textId="4DC78661" w:rsidR="00633AF5" w:rsidRDefault="00633AF5" w:rsidP="002D0614">
      <w:pPr>
        <w:spacing w:line="276" w:lineRule="auto"/>
        <w:rPr>
          <w:b/>
          <w:bCs/>
          <w:sz w:val="28"/>
          <w:szCs w:val="28"/>
        </w:rPr>
      </w:pPr>
      <w:r w:rsidRPr="002D0614">
        <w:rPr>
          <w:b/>
          <w:bCs/>
          <w:sz w:val="28"/>
          <w:szCs w:val="28"/>
        </w:rPr>
        <w:t xml:space="preserve">Study </w:t>
      </w:r>
      <w:r w:rsidR="00C919D9" w:rsidRPr="002D0614">
        <w:rPr>
          <w:b/>
          <w:bCs/>
          <w:sz w:val="28"/>
          <w:szCs w:val="28"/>
        </w:rPr>
        <w:t>Output</w:t>
      </w:r>
    </w:p>
    <w:p w14:paraId="7A7B03F6" w14:textId="77777777" w:rsidR="002D0614" w:rsidRPr="002D0614" w:rsidRDefault="002D0614" w:rsidP="002D0614">
      <w:pPr>
        <w:spacing w:line="276" w:lineRule="auto"/>
        <w:rPr>
          <w:b/>
          <w:bCs/>
          <w:sz w:val="28"/>
          <w:szCs w:val="28"/>
        </w:rPr>
      </w:pPr>
    </w:p>
    <w:p w14:paraId="4CCD89AD" w14:textId="77777777" w:rsidR="00633AF5" w:rsidRPr="002D0614" w:rsidRDefault="00633AF5" w:rsidP="002D0614">
      <w:pPr>
        <w:spacing w:line="276" w:lineRule="auto"/>
      </w:pPr>
      <w:r w:rsidRPr="002D0614">
        <w:t xml:space="preserve">The final outcome model, a conditional Cox proportional hazards model, will be summarized by providing the hazards ratio and associated 95% confidence interval. The number of persons, </w:t>
      </w:r>
      <w:r w:rsidRPr="002D0614">
        <w:lastRenderedPageBreak/>
        <w:t>amount of time-at-risk, and number of outcomes in each cohort will also be reported along with the characteristics of the subjects.</w:t>
      </w:r>
    </w:p>
    <w:p w14:paraId="2ECB844B" w14:textId="77777777" w:rsidR="00C919D9" w:rsidRPr="002D0614" w:rsidRDefault="00C919D9" w:rsidP="002D0614">
      <w:pPr>
        <w:spacing w:line="276" w:lineRule="auto"/>
      </w:pPr>
      <w:r w:rsidRPr="002D0614">
        <w:t>Covariate balance before and after matching will be summarized in tabular form by showing the mean value for all baseline covariates in the target and comparator cohort, with the associated standardized mean difference computed for each covariate.</w:t>
      </w:r>
    </w:p>
    <w:p w14:paraId="509F0A56" w14:textId="77777777" w:rsidR="00C919D9" w:rsidRPr="002D0614" w:rsidRDefault="00C919D9" w:rsidP="002D0614">
      <w:pPr>
        <w:spacing w:line="276" w:lineRule="auto"/>
      </w:pPr>
      <w:r w:rsidRPr="002D0614">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005C5DF6" w14:textId="1DA9890A" w:rsidR="00C919D9" w:rsidRPr="002D0614" w:rsidRDefault="00C919D9" w:rsidP="002D0614">
      <w:pPr>
        <w:spacing w:line="276" w:lineRule="auto"/>
      </w:pPr>
      <w:r w:rsidRPr="002D0614">
        <w:t>Covariate balance will be evaluated by plotting the standardized mean difference of each covariate before propensity score stratification against the standardized mean difference for each covariate after propensity score stratification.</w:t>
      </w:r>
    </w:p>
    <w:p w14:paraId="728D5C3D" w14:textId="77777777" w:rsidR="00C919D9" w:rsidRPr="002D0614" w:rsidRDefault="00C919D9" w:rsidP="002D0614">
      <w:pPr>
        <w:spacing w:line="276" w:lineRule="auto"/>
      </w:pPr>
      <w:r w:rsidRPr="002D0614">
        <w:t>An attrition diagram will be provided to detail the loss of subjects from the original target cohort and comparator cohort to the subpopulations that remain after all design considerations have been applied.</w:t>
      </w:r>
    </w:p>
    <w:p w14:paraId="75D59936" w14:textId="77777777" w:rsidR="003E425F" w:rsidRPr="002D0614" w:rsidRDefault="003E425F" w:rsidP="002D0614">
      <w:pPr>
        <w:widowControl w:val="0"/>
        <w:pBdr>
          <w:top w:val="nil"/>
          <w:left w:val="nil"/>
          <w:bottom w:val="nil"/>
          <w:right w:val="nil"/>
          <w:between w:val="nil"/>
        </w:pBdr>
        <w:spacing w:after="200" w:line="276" w:lineRule="auto"/>
        <w:ind w:left="720"/>
        <w:contextualSpacing/>
      </w:pPr>
    </w:p>
    <w:p w14:paraId="09B5B24B" w14:textId="5C53F491" w:rsidR="00C82864" w:rsidRDefault="00C919D9" w:rsidP="002D0614">
      <w:pPr>
        <w:spacing w:line="276" w:lineRule="auto"/>
        <w:rPr>
          <w:b/>
          <w:bCs/>
          <w:sz w:val="28"/>
          <w:szCs w:val="28"/>
        </w:rPr>
      </w:pPr>
      <w:r w:rsidRPr="002D0614">
        <w:rPr>
          <w:b/>
          <w:bCs/>
          <w:sz w:val="28"/>
          <w:szCs w:val="28"/>
        </w:rPr>
        <w:t>Limitations</w:t>
      </w:r>
    </w:p>
    <w:p w14:paraId="1BDA56CA" w14:textId="77777777" w:rsidR="002D0614" w:rsidRPr="002D0614" w:rsidRDefault="002D0614" w:rsidP="002D0614">
      <w:pPr>
        <w:spacing w:line="276" w:lineRule="auto"/>
        <w:rPr>
          <w:b/>
          <w:bCs/>
          <w:sz w:val="28"/>
          <w:szCs w:val="28"/>
        </w:rPr>
      </w:pPr>
    </w:p>
    <w:p w14:paraId="40CEFAEB" w14:textId="755CFE03" w:rsidR="00C919D9" w:rsidRPr="002D0614" w:rsidRDefault="00C82864" w:rsidP="002D0614">
      <w:pPr>
        <w:widowControl w:val="0"/>
        <w:pBdr>
          <w:top w:val="nil"/>
          <w:left w:val="nil"/>
          <w:bottom w:val="nil"/>
          <w:right w:val="nil"/>
          <w:between w:val="nil"/>
        </w:pBdr>
        <w:spacing w:line="276" w:lineRule="auto"/>
        <w:contextualSpacing/>
      </w:pPr>
      <w:r w:rsidRPr="002D0614">
        <w:t>T</w:t>
      </w:r>
      <w:r w:rsidR="00C919D9" w:rsidRPr="002D0614">
        <w:t xml:space="preserve">here may be residual bias due to unmeasured or </w:t>
      </w:r>
      <w:proofErr w:type="spellStart"/>
      <w:r w:rsidR="00C919D9" w:rsidRPr="002D0614">
        <w:t>mis</w:t>
      </w:r>
      <w:proofErr w:type="spellEnd"/>
      <w:r w:rsidR="00C919D9" w:rsidRPr="002D0614">
        <w:t xml:space="preserve">-specified confounders. </w:t>
      </w:r>
      <w:r w:rsidRPr="002D0614">
        <w:t xml:space="preserve">COVID-19 episodes may be subject to outcome misclassification due to out-of-system testing. </w:t>
      </w:r>
      <w:r w:rsidR="003E425F" w:rsidRPr="002D0614">
        <w:t xml:space="preserve"> Nevertheless, propensity score matching allows balancing on many baseline potential confounders and use of negative and positive control outcomes allows for evaluating the study design in terms of residual bias. </w:t>
      </w:r>
      <w:r w:rsidR="00C919D9" w:rsidRPr="002D0614">
        <w:t xml:space="preserve">Causality between drug exposure and any given event cannot be drawn for individual cases. </w:t>
      </w:r>
    </w:p>
    <w:p w14:paraId="1FCC52E9" w14:textId="77777777" w:rsidR="00964829" w:rsidRPr="002D0614" w:rsidRDefault="00964829" w:rsidP="002D0614">
      <w:pPr>
        <w:widowControl w:val="0"/>
        <w:pBdr>
          <w:top w:val="nil"/>
          <w:left w:val="nil"/>
          <w:bottom w:val="nil"/>
          <w:right w:val="nil"/>
          <w:between w:val="nil"/>
        </w:pBdr>
        <w:spacing w:line="276" w:lineRule="auto"/>
        <w:contextualSpacing/>
      </w:pPr>
    </w:p>
    <w:p w14:paraId="2D583BF9" w14:textId="569FECC9" w:rsidR="00581E17" w:rsidRPr="002D0614" w:rsidRDefault="00C919D9" w:rsidP="002D0614">
      <w:pPr>
        <w:spacing w:line="276" w:lineRule="auto"/>
        <w:rPr>
          <w:b/>
          <w:bCs/>
          <w:sz w:val="28"/>
          <w:szCs w:val="28"/>
        </w:rPr>
      </w:pPr>
      <w:r w:rsidRPr="002D0614">
        <w:rPr>
          <w:b/>
          <w:bCs/>
          <w:sz w:val="28"/>
          <w:szCs w:val="28"/>
        </w:rPr>
        <w:t>Protection of Human Subjects</w:t>
      </w:r>
    </w:p>
    <w:p w14:paraId="5FDBB564" w14:textId="77777777" w:rsidR="00581E17" w:rsidRPr="002D0614" w:rsidRDefault="00C919D9" w:rsidP="002D0614">
      <w:pPr>
        <w:spacing w:line="276" w:lineRule="auto"/>
      </w:pPr>
      <w:r w:rsidRPr="002D0614">
        <w:t>The</w:t>
      </w:r>
      <w:r w:rsidR="00581E17" w:rsidRPr="002D0614">
        <w:t xml:space="preserve"> study is the subject to the relevant </w:t>
      </w:r>
      <w:r w:rsidRPr="002D0614">
        <w:t xml:space="preserve">Institutional Review Board </w:t>
      </w:r>
      <w:r w:rsidR="00581E17" w:rsidRPr="002D0614">
        <w:t xml:space="preserve">approval. </w:t>
      </w:r>
      <w:r w:rsidRPr="002D0614">
        <w:t xml:space="preserve">All study reports will contain aggregate data only and will not identify individual subjects or physicians. </w:t>
      </w:r>
    </w:p>
    <w:p w14:paraId="16B0339E" w14:textId="012F8603" w:rsidR="00C919D9" w:rsidRPr="002D0614" w:rsidRDefault="00C919D9" w:rsidP="002D0614">
      <w:pPr>
        <w:spacing w:line="276" w:lineRule="auto"/>
      </w:pPr>
    </w:p>
    <w:p w14:paraId="3DAD83DD" w14:textId="5A7ACF85" w:rsidR="006A1C10" w:rsidRDefault="006A1C10" w:rsidP="002D0614">
      <w:pPr>
        <w:spacing w:line="276" w:lineRule="auto"/>
      </w:pPr>
    </w:p>
    <w:p w14:paraId="34780D24" w14:textId="7C9CE029" w:rsidR="0062696D" w:rsidRDefault="0062696D" w:rsidP="002D0614">
      <w:pPr>
        <w:spacing w:line="276" w:lineRule="auto"/>
      </w:pPr>
    </w:p>
    <w:p w14:paraId="29508D0A" w14:textId="77777777" w:rsidR="0062696D" w:rsidRPr="002D0614" w:rsidRDefault="0062696D" w:rsidP="002D0614">
      <w:pPr>
        <w:spacing w:line="276" w:lineRule="auto"/>
      </w:pPr>
    </w:p>
    <w:p w14:paraId="55D7BD98" w14:textId="3A3027B5" w:rsidR="00123299" w:rsidRPr="002D0614" w:rsidRDefault="00123299" w:rsidP="002D0614">
      <w:pPr>
        <w:spacing w:line="276" w:lineRule="auto"/>
        <w:rPr>
          <w:b/>
          <w:sz w:val="28"/>
          <w:szCs w:val="28"/>
        </w:rPr>
      </w:pPr>
      <w:r w:rsidRPr="002D0614">
        <w:rPr>
          <w:b/>
          <w:sz w:val="28"/>
          <w:szCs w:val="28"/>
        </w:rPr>
        <w:t>REFERENCES</w:t>
      </w:r>
    </w:p>
    <w:p w14:paraId="64703021" w14:textId="7DDC1C07" w:rsidR="000050BB" w:rsidRPr="002D0614" w:rsidRDefault="000050BB" w:rsidP="002D0614">
      <w:pPr>
        <w:spacing w:line="276" w:lineRule="auto"/>
        <w:rPr>
          <w:b/>
          <w:sz w:val="28"/>
          <w:szCs w:val="28"/>
        </w:rPr>
      </w:pPr>
    </w:p>
    <w:p w14:paraId="18231AEF" w14:textId="77777777" w:rsidR="00EB03C3" w:rsidRPr="002D0614" w:rsidRDefault="000050BB" w:rsidP="002D0614">
      <w:pPr>
        <w:pStyle w:val="Bibliography"/>
        <w:spacing w:line="276" w:lineRule="auto"/>
        <w:rPr>
          <w:rFonts w:ascii="Times New Roman" w:hAnsi="Times New Roman" w:cs="Times New Roman"/>
        </w:rPr>
      </w:pPr>
      <w:r w:rsidRPr="002D0614">
        <w:rPr>
          <w:rFonts w:ascii="Times New Roman" w:hAnsi="Times New Roman" w:cs="Times New Roman"/>
          <w:b/>
        </w:rPr>
        <w:fldChar w:fldCharType="begin"/>
      </w:r>
      <w:r w:rsidRPr="002D0614">
        <w:rPr>
          <w:rFonts w:ascii="Times New Roman" w:hAnsi="Times New Roman" w:cs="Times New Roman"/>
          <w:b/>
        </w:rPr>
        <w:instrText xml:space="preserve"> ADDIN ZOTERO_BIBL {"uncited":[],"omitted":[],"custom":[]} CSL_BIBLIOGRAPHY </w:instrText>
      </w:r>
      <w:r w:rsidRPr="002D0614">
        <w:rPr>
          <w:rFonts w:ascii="Times New Roman" w:hAnsi="Times New Roman" w:cs="Times New Roman"/>
          <w:b/>
        </w:rPr>
        <w:fldChar w:fldCharType="separate"/>
      </w:r>
      <w:r w:rsidR="00EB03C3" w:rsidRPr="002D0614">
        <w:rPr>
          <w:rFonts w:ascii="Times New Roman" w:hAnsi="Times New Roman" w:cs="Times New Roman"/>
        </w:rPr>
        <w:t xml:space="preserve">1. </w:t>
      </w:r>
      <w:r w:rsidR="00EB03C3" w:rsidRPr="002D0614">
        <w:rPr>
          <w:rFonts w:ascii="Times New Roman" w:hAnsi="Times New Roman" w:cs="Times New Roman"/>
        </w:rPr>
        <w:tab/>
        <w:t xml:space="preserve">Tenforde MW, Olson SM, Self WH, Talbot HK, Lindsell CJ, Steingrub JS, et al. Effectiveness of Pfizer-BioNTech and Moderna Vaccines Against COVID-19 Among Hospitalized Adults Aged ≥65 Years — United States, January–March 2021. MMWR Morb Mortal Wkly Rep. 2021 May 7;70(18):674–9. </w:t>
      </w:r>
    </w:p>
    <w:p w14:paraId="15CD0AAF" w14:textId="77777777" w:rsidR="00EB03C3" w:rsidRPr="002D0614" w:rsidRDefault="00EB03C3" w:rsidP="002D0614">
      <w:pPr>
        <w:pStyle w:val="Bibliography"/>
        <w:spacing w:line="276" w:lineRule="auto"/>
        <w:rPr>
          <w:rFonts w:ascii="Times New Roman" w:hAnsi="Times New Roman" w:cs="Times New Roman"/>
        </w:rPr>
      </w:pPr>
      <w:r w:rsidRPr="002D0614">
        <w:rPr>
          <w:rFonts w:ascii="Times New Roman" w:hAnsi="Times New Roman" w:cs="Times New Roman"/>
        </w:rPr>
        <w:lastRenderedPageBreak/>
        <w:t xml:space="preserve">2. </w:t>
      </w:r>
      <w:r w:rsidRPr="002D0614">
        <w:rPr>
          <w:rFonts w:ascii="Times New Roman" w:hAnsi="Times New Roman" w:cs="Times New Roman"/>
        </w:rPr>
        <w:tab/>
        <w:t xml:space="preserve">Ryan PB, Schuemie MJ, Gruber S, Zorych I, Madigan D. Empirical Performance of a New User Cohort Method: Lessons for Developing a Risk Identification and Analysis System. Drug Saf. 2013 Oct;36(S1):59–72. </w:t>
      </w:r>
    </w:p>
    <w:p w14:paraId="761F9677" w14:textId="77777777" w:rsidR="00EB03C3" w:rsidRPr="002D0614" w:rsidRDefault="00EB03C3" w:rsidP="002D0614">
      <w:pPr>
        <w:pStyle w:val="Bibliography"/>
        <w:spacing w:line="276" w:lineRule="auto"/>
        <w:rPr>
          <w:rFonts w:ascii="Times New Roman" w:hAnsi="Times New Roman" w:cs="Times New Roman"/>
        </w:rPr>
      </w:pPr>
      <w:r w:rsidRPr="002D0614">
        <w:rPr>
          <w:rFonts w:ascii="Times New Roman" w:hAnsi="Times New Roman" w:cs="Times New Roman"/>
        </w:rPr>
        <w:t xml:space="preserve">3. </w:t>
      </w:r>
      <w:r w:rsidRPr="002D0614">
        <w:rPr>
          <w:rFonts w:ascii="Times New Roman" w:hAnsi="Times New Roman" w:cs="Times New Roman"/>
        </w:rPr>
        <w:tab/>
        <w:t xml:space="preserve">Voss EA, Makadia R, Matcho A, Ma Q, Knoll C, Schuemie M, et al. Feasibility and utility of applications of the common data model to multiple, disparate observational health databases. J Am Med Inform Assoc. 2015 May 1;22(3):553–64. </w:t>
      </w:r>
    </w:p>
    <w:p w14:paraId="34DC4A98" w14:textId="77777777" w:rsidR="00EB03C3" w:rsidRPr="002D0614" w:rsidRDefault="00EB03C3" w:rsidP="002D0614">
      <w:pPr>
        <w:pStyle w:val="Bibliography"/>
        <w:spacing w:line="276" w:lineRule="auto"/>
        <w:rPr>
          <w:rFonts w:ascii="Times New Roman" w:hAnsi="Times New Roman" w:cs="Times New Roman"/>
        </w:rPr>
      </w:pPr>
      <w:r w:rsidRPr="002D0614">
        <w:rPr>
          <w:rFonts w:ascii="Times New Roman" w:hAnsi="Times New Roman" w:cs="Times New Roman"/>
        </w:rPr>
        <w:t xml:space="preserve">4. </w:t>
      </w:r>
      <w:r w:rsidRPr="002D0614">
        <w:rPr>
          <w:rFonts w:ascii="Times New Roman" w:hAnsi="Times New Roman" w:cs="Times New Roman"/>
        </w:rPr>
        <w:tab/>
        <w:t xml:space="preserve">Tian Y, Schuemie MJ, Suchard MA. Evaluating large-scale propensity score performance through real-world and synthetic data experiments. Int J Epidemiol. 2018 Dec 1;47(6):2005–14. </w:t>
      </w:r>
    </w:p>
    <w:p w14:paraId="02266A56" w14:textId="77777777" w:rsidR="00EB03C3" w:rsidRPr="002D0614" w:rsidRDefault="00EB03C3" w:rsidP="002D0614">
      <w:pPr>
        <w:pStyle w:val="Bibliography"/>
        <w:spacing w:line="276" w:lineRule="auto"/>
        <w:rPr>
          <w:rFonts w:ascii="Times New Roman" w:hAnsi="Times New Roman" w:cs="Times New Roman"/>
        </w:rPr>
      </w:pPr>
      <w:r w:rsidRPr="002D0614">
        <w:rPr>
          <w:rFonts w:ascii="Times New Roman" w:hAnsi="Times New Roman" w:cs="Times New Roman"/>
        </w:rPr>
        <w:t xml:space="preserve">5. </w:t>
      </w:r>
      <w:r w:rsidRPr="002D0614">
        <w:rPr>
          <w:rFonts w:ascii="Times New Roman" w:hAnsi="Times New Roman" w:cs="Times New Roman"/>
        </w:rPr>
        <w:tab/>
        <w:t xml:space="preserve">Schoenfeld DA. Sample-Size Formula for the Proportional-Hazards Regression Model. Biometrics. 1983 Jun;39(2):499. </w:t>
      </w:r>
    </w:p>
    <w:p w14:paraId="0A23846E" w14:textId="09F42D14" w:rsidR="0062696D" w:rsidRPr="008F0448" w:rsidRDefault="000050BB" w:rsidP="002D0614">
      <w:pPr>
        <w:spacing w:line="276" w:lineRule="auto"/>
        <w:rPr>
          <w:b/>
          <w:sz w:val="22"/>
          <w:szCs w:val="22"/>
        </w:rPr>
      </w:pPr>
      <w:r w:rsidRPr="002D0614">
        <w:rPr>
          <w:b/>
          <w:sz w:val="22"/>
          <w:szCs w:val="22"/>
        </w:rPr>
        <w:fldChar w:fldCharType="end"/>
      </w:r>
    </w:p>
    <w:p w14:paraId="51744665" w14:textId="77777777" w:rsidR="00AE432A" w:rsidRPr="002D0614" w:rsidRDefault="00AE432A" w:rsidP="002D0614">
      <w:pPr>
        <w:spacing w:line="276" w:lineRule="auto"/>
        <w:rPr>
          <w:b/>
          <w:sz w:val="28"/>
          <w:szCs w:val="28"/>
        </w:rPr>
      </w:pPr>
    </w:p>
    <w:sectPr w:rsidR="00AE432A" w:rsidRPr="002D061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60CC8" w14:textId="77777777" w:rsidR="00CE6A33" w:rsidRDefault="00CE6A33" w:rsidP="00123299">
      <w:r>
        <w:separator/>
      </w:r>
    </w:p>
  </w:endnote>
  <w:endnote w:type="continuationSeparator" w:id="0">
    <w:p w14:paraId="193B6EC3" w14:textId="77777777" w:rsidR="00CE6A33" w:rsidRDefault="00CE6A33" w:rsidP="00123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295956"/>
      <w:docPartObj>
        <w:docPartGallery w:val="Page Numbers (Bottom of Page)"/>
        <w:docPartUnique/>
      </w:docPartObj>
    </w:sdtPr>
    <w:sdtEndPr>
      <w:rPr>
        <w:noProof/>
      </w:rPr>
    </w:sdtEndPr>
    <w:sdtContent>
      <w:p w14:paraId="0A868619" w14:textId="6B40BE31" w:rsidR="00123299" w:rsidRDefault="00123299">
        <w:pPr>
          <w:pStyle w:val="Footer"/>
          <w:jc w:val="right"/>
        </w:pPr>
        <w:r>
          <w:fldChar w:fldCharType="begin"/>
        </w:r>
        <w:r>
          <w:instrText xml:space="preserve"> PAGE   \* MERGEFORMAT </w:instrText>
        </w:r>
        <w:r>
          <w:fldChar w:fldCharType="separate"/>
        </w:r>
        <w:r w:rsidR="009C280E">
          <w:rPr>
            <w:noProof/>
          </w:rPr>
          <w:t>10</w:t>
        </w:r>
        <w:r>
          <w:rPr>
            <w:noProof/>
          </w:rPr>
          <w:fldChar w:fldCharType="end"/>
        </w:r>
      </w:p>
    </w:sdtContent>
  </w:sdt>
  <w:p w14:paraId="3267C7A5" w14:textId="77777777" w:rsidR="00123299" w:rsidRDefault="001232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B8B2F" w14:textId="77777777" w:rsidR="00CE6A33" w:rsidRDefault="00CE6A33" w:rsidP="00123299">
      <w:r>
        <w:separator/>
      </w:r>
    </w:p>
  </w:footnote>
  <w:footnote w:type="continuationSeparator" w:id="0">
    <w:p w14:paraId="5DE0EE8F" w14:textId="77777777" w:rsidR="00CE6A33" w:rsidRDefault="00CE6A33" w:rsidP="001232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200"/>
    <w:multiLevelType w:val="hybridMultilevel"/>
    <w:tmpl w:val="51B023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35B2"/>
    <w:multiLevelType w:val="hybridMultilevel"/>
    <w:tmpl w:val="71D8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F357B"/>
    <w:multiLevelType w:val="hybridMultilevel"/>
    <w:tmpl w:val="9B3C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B481A"/>
    <w:multiLevelType w:val="hybridMultilevel"/>
    <w:tmpl w:val="6BFC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7279C"/>
    <w:multiLevelType w:val="hybridMultilevel"/>
    <w:tmpl w:val="21DA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54955"/>
    <w:multiLevelType w:val="multilevel"/>
    <w:tmpl w:val="6D6A1A7C"/>
    <w:styleLink w:val="Heading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8B5FD8"/>
    <w:multiLevelType w:val="hybridMultilevel"/>
    <w:tmpl w:val="74E27F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0B32CBF"/>
    <w:multiLevelType w:val="hybridMultilevel"/>
    <w:tmpl w:val="DB0C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D6569"/>
    <w:multiLevelType w:val="hybridMultilevel"/>
    <w:tmpl w:val="AABC8692"/>
    <w:lvl w:ilvl="0" w:tplc="2AEAC2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20987"/>
    <w:multiLevelType w:val="hybridMultilevel"/>
    <w:tmpl w:val="57A4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D1AE2"/>
    <w:multiLevelType w:val="hybridMultilevel"/>
    <w:tmpl w:val="CF5A31C6"/>
    <w:lvl w:ilvl="0" w:tplc="498043F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BB1EA4"/>
    <w:multiLevelType w:val="hybridMultilevel"/>
    <w:tmpl w:val="D408C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3363F"/>
    <w:multiLevelType w:val="hybridMultilevel"/>
    <w:tmpl w:val="9B3C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06AAA"/>
    <w:multiLevelType w:val="multilevel"/>
    <w:tmpl w:val="ED5EB72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noProof w:val="0"/>
        <w:vanish w:val="0"/>
        <w:color w:val="44546A"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A6763A"/>
    <w:multiLevelType w:val="hybridMultilevel"/>
    <w:tmpl w:val="FFFFFFFF"/>
    <w:lvl w:ilvl="0" w:tplc="BCD613BC">
      <w:start w:val="1"/>
      <w:numFmt w:val="bullet"/>
      <w:lvlText w:val=""/>
      <w:lvlJc w:val="left"/>
      <w:pPr>
        <w:ind w:left="720" w:hanging="360"/>
      </w:pPr>
      <w:rPr>
        <w:rFonts w:ascii="Symbol" w:hAnsi="Symbol" w:hint="default"/>
      </w:rPr>
    </w:lvl>
    <w:lvl w:ilvl="1" w:tplc="8B70BDC2">
      <w:start w:val="1"/>
      <w:numFmt w:val="bullet"/>
      <w:lvlText w:val="o"/>
      <w:lvlJc w:val="left"/>
      <w:pPr>
        <w:ind w:left="1440" w:hanging="360"/>
      </w:pPr>
      <w:rPr>
        <w:rFonts w:ascii="Courier New" w:hAnsi="Courier New" w:hint="default"/>
      </w:rPr>
    </w:lvl>
    <w:lvl w:ilvl="2" w:tplc="4E6E5A7C">
      <w:start w:val="1"/>
      <w:numFmt w:val="bullet"/>
      <w:lvlText w:val=""/>
      <w:lvlJc w:val="left"/>
      <w:pPr>
        <w:ind w:left="2160" w:hanging="360"/>
      </w:pPr>
      <w:rPr>
        <w:rFonts w:ascii="Wingdings" w:hAnsi="Wingdings" w:hint="default"/>
      </w:rPr>
    </w:lvl>
    <w:lvl w:ilvl="3" w:tplc="C470A684">
      <w:start w:val="1"/>
      <w:numFmt w:val="bullet"/>
      <w:lvlText w:val=""/>
      <w:lvlJc w:val="left"/>
      <w:pPr>
        <w:ind w:left="2880" w:hanging="360"/>
      </w:pPr>
      <w:rPr>
        <w:rFonts w:ascii="Symbol" w:hAnsi="Symbol" w:hint="default"/>
      </w:rPr>
    </w:lvl>
    <w:lvl w:ilvl="4" w:tplc="80023E52">
      <w:start w:val="1"/>
      <w:numFmt w:val="bullet"/>
      <w:lvlText w:val="o"/>
      <w:lvlJc w:val="left"/>
      <w:pPr>
        <w:ind w:left="3600" w:hanging="360"/>
      </w:pPr>
      <w:rPr>
        <w:rFonts w:ascii="Courier New" w:hAnsi="Courier New" w:hint="default"/>
      </w:rPr>
    </w:lvl>
    <w:lvl w:ilvl="5" w:tplc="2E9A25D8">
      <w:start w:val="1"/>
      <w:numFmt w:val="bullet"/>
      <w:lvlText w:val=""/>
      <w:lvlJc w:val="left"/>
      <w:pPr>
        <w:ind w:left="4320" w:hanging="360"/>
      </w:pPr>
      <w:rPr>
        <w:rFonts w:ascii="Wingdings" w:hAnsi="Wingdings" w:hint="default"/>
      </w:rPr>
    </w:lvl>
    <w:lvl w:ilvl="6" w:tplc="2A16E4C6">
      <w:start w:val="1"/>
      <w:numFmt w:val="bullet"/>
      <w:lvlText w:val=""/>
      <w:lvlJc w:val="left"/>
      <w:pPr>
        <w:ind w:left="5040" w:hanging="360"/>
      </w:pPr>
      <w:rPr>
        <w:rFonts w:ascii="Symbol" w:hAnsi="Symbol" w:hint="default"/>
      </w:rPr>
    </w:lvl>
    <w:lvl w:ilvl="7" w:tplc="1222FB2A">
      <w:start w:val="1"/>
      <w:numFmt w:val="bullet"/>
      <w:lvlText w:val="o"/>
      <w:lvlJc w:val="left"/>
      <w:pPr>
        <w:ind w:left="5760" w:hanging="360"/>
      </w:pPr>
      <w:rPr>
        <w:rFonts w:ascii="Courier New" w:hAnsi="Courier New" w:hint="default"/>
      </w:rPr>
    </w:lvl>
    <w:lvl w:ilvl="8" w:tplc="1F74293A">
      <w:start w:val="1"/>
      <w:numFmt w:val="bullet"/>
      <w:lvlText w:val=""/>
      <w:lvlJc w:val="left"/>
      <w:pPr>
        <w:ind w:left="6480" w:hanging="360"/>
      </w:pPr>
      <w:rPr>
        <w:rFonts w:ascii="Wingdings" w:hAnsi="Wingdings" w:hint="default"/>
      </w:rPr>
    </w:lvl>
  </w:abstractNum>
  <w:abstractNum w:abstractNumId="15" w15:restartNumberingAfterBreak="0">
    <w:nsid w:val="451C7DF4"/>
    <w:multiLevelType w:val="hybridMultilevel"/>
    <w:tmpl w:val="D390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017A8"/>
    <w:multiLevelType w:val="hybridMultilevel"/>
    <w:tmpl w:val="9584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B7927"/>
    <w:multiLevelType w:val="hybridMultilevel"/>
    <w:tmpl w:val="3BD4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F597E"/>
    <w:multiLevelType w:val="multilevel"/>
    <w:tmpl w:val="ADA4ED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E9C6D99"/>
    <w:multiLevelType w:val="hybridMultilevel"/>
    <w:tmpl w:val="95D80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723FD"/>
    <w:multiLevelType w:val="hybridMultilevel"/>
    <w:tmpl w:val="292268DE"/>
    <w:lvl w:ilvl="0" w:tplc="6A48CC5A">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6C918CD"/>
    <w:multiLevelType w:val="hybridMultilevel"/>
    <w:tmpl w:val="70F4AC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5B033F07"/>
    <w:multiLevelType w:val="hybridMultilevel"/>
    <w:tmpl w:val="43E2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02BE0"/>
    <w:multiLevelType w:val="multilevel"/>
    <w:tmpl w:val="ADA4ED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7393A77"/>
    <w:multiLevelType w:val="hybridMultilevel"/>
    <w:tmpl w:val="FFFFFFFF"/>
    <w:lvl w:ilvl="0" w:tplc="71F663D6">
      <w:start w:val="1"/>
      <w:numFmt w:val="bullet"/>
      <w:lvlText w:val=""/>
      <w:lvlJc w:val="left"/>
      <w:pPr>
        <w:ind w:left="720" w:hanging="360"/>
      </w:pPr>
      <w:rPr>
        <w:rFonts w:ascii="Symbol" w:hAnsi="Symbol" w:hint="default"/>
      </w:rPr>
    </w:lvl>
    <w:lvl w:ilvl="1" w:tplc="640C87D0">
      <w:start w:val="1"/>
      <w:numFmt w:val="bullet"/>
      <w:lvlText w:val="o"/>
      <w:lvlJc w:val="left"/>
      <w:pPr>
        <w:ind w:left="1440" w:hanging="360"/>
      </w:pPr>
      <w:rPr>
        <w:rFonts w:ascii="Courier New" w:hAnsi="Courier New" w:hint="default"/>
      </w:rPr>
    </w:lvl>
    <w:lvl w:ilvl="2" w:tplc="97D8DB46">
      <w:start w:val="1"/>
      <w:numFmt w:val="bullet"/>
      <w:lvlText w:val=""/>
      <w:lvlJc w:val="left"/>
      <w:pPr>
        <w:ind w:left="2160" w:hanging="360"/>
      </w:pPr>
      <w:rPr>
        <w:rFonts w:ascii="Wingdings" w:hAnsi="Wingdings" w:hint="default"/>
      </w:rPr>
    </w:lvl>
    <w:lvl w:ilvl="3" w:tplc="BE5662F4">
      <w:start w:val="1"/>
      <w:numFmt w:val="bullet"/>
      <w:lvlText w:val=""/>
      <w:lvlJc w:val="left"/>
      <w:pPr>
        <w:ind w:left="2880" w:hanging="360"/>
      </w:pPr>
      <w:rPr>
        <w:rFonts w:ascii="Symbol" w:hAnsi="Symbol" w:hint="default"/>
      </w:rPr>
    </w:lvl>
    <w:lvl w:ilvl="4" w:tplc="AD065F68">
      <w:start w:val="1"/>
      <w:numFmt w:val="bullet"/>
      <w:lvlText w:val="o"/>
      <w:lvlJc w:val="left"/>
      <w:pPr>
        <w:ind w:left="3600" w:hanging="360"/>
      </w:pPr>
      <w:rPr>
        <w:rFonts w:ascii="Courier New" w:hAnsi="Courier New" w:hint="default"/>
      </w:rPr>
    </w:lvl>
    <w:lvl w:ilvl="5" w:tplc="73E0D078">
      <w:start w:val="1"/>
      <w:numFmt w:val="bullet"/>
      <w:lvlText w:val=""/>
      <w:lvlJc w:val="left"/>
      <w:pPr>
        <w:ind w:left="4320" w:hanging="360"/>
      </w:pPr>
      <w:rPr>
        <w:rFonts w:ascii="Wingdings" w:hAnsi="Wingdings" w:hint="default"/>
      </w:rPr>
    </w:lvl>
    <w:lvl w:ilvl="6" w:tplc="1B1A2D3A">
      <w:start w:val="1"/>
      <w:numFmt w:val="bullet"/>
      <w:lvlText w:val=""/>
      <w:lvlJc w:val="left"/>
      <w:pPr>
        <w:ind w:left="5040" w:hanging="360"/>
      </w:pPr>
      <w:rPr>
        <w:rFonts w:ascii="Symbol" w:hAnsi="Symbol" w:hint="default"/>
      </w:rPr>
    </w:lvl>
    <w:lvl w:ilvl="7" w:tplc="4F5251BC">
      <w:start w:val="1"/>
      <w:numFmt w:val="bullet"/>
      <w:lvlText w:val="o"/>
      <w:lvlJc w:val="left"/>
      <w:pPr>
        <w:ind w:left="5760" w:hanging="360"/>
      </w:pPr>
      <w:rPr>
        <w:rFonts w:ascii="Courier New" w:hAnsi="Courier New" w:hint="default"/>
      </w:rPr>
    </w:lvl>
    <w:lvl w:ilvl="8" w:tplc="E968C14C">
      <w:start w:val="1"/>
      <w:numFmt w:val="bullet"/>
      <w:lvlText w:val=""/>
      <w:lvlJc w:val="left"/>
      <w:pPr>
        <w:ind w:left="6480" w:hanging="360"/>
      </w:pPr>
      <w:rPr>
        <w:rFonts w:ascii="Wingdings" w:hAnsi="Wingdings" w:hint="default"/>
      </w:rPr>
    </w:lvl>
  </w:abstractNum>
  <w:abstractNum w:abstractNumId="25" w15:restartNumberingAfterBreak="0">
    <w:nsid w:val="75B91450"/>
    <w:multiLevelType w:val="hybridMultilevel"/>
    <w:tmpl w:val="7B028D16"/>
    <w:lvl w:ilvl="0" w:tplc="43684AC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A5602F9"/>
    <w:multiLevelType w:val="hybridMultilevel"/>
    <w:tmpl w:val="28D84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B97242D"/>
    <w:multiLevelType w:val="hybridMultilevel"/>
    <w:tmpl w:val="FFFFFFFF"/>
    <w:lvl w:ilvl="0" w:tplc="0A9446C8">
      <w:start w:val="1"/>
      <w:numFmt w:val="bullet"/>
      <w:lvlText w:val=""/>
      <w:lvlJc w:val="left"/>
      <w:pPr>
        <w:ind w:left="720" w:hanging="360"/>
      </w:pPr>
      <w:rPr>
        <w:rFonts w:ascii="Symbol" w:hAnsi="Symbol" w:hint="default"/>
      </w:rPr>
    </w:lvl>
    <w:lvl w:ilvl="1" w:tplc="E6CCB830">
      <w:start w:val="1"/>
      <w:numFmt w:val="bullet"/>
      <w:lvlText w:val="o"/>
      <w:lvlJc w:val="left"/>
      <w:pPr>
        <w:ind w:left="1440" w:hanging="360"/>
      </w:pPr>
      <w:rPr>
        <w:rFonts w:ascii="Courier New" w:hAnsi="Courier New" w:hint="default"/>
      </w:rPr>
    </w:lvl>
    <w:lvl w:ilvl="2" w:tplc="84AC283C">
      <w:start w:val="1"/>
      <w:numFmt w:val="bullet"/>
      <w:lvlText w:val=""/>
      <w:lvlJc w:val="left"/>
      <w:pPr>
        <w:ind w:left="2160" w:hanging="360"/>
      </w:pPr>
      <w:rPr>
        <w:rFonts w:ascii="Wingdings" w:hAnsi="Wingdings" w:hint="default"/>
      </w:rPr>
    </w:lvl>
    <w:lvl w:ilvl="3" w:tplc="E46EFDD6">
      <w:start w:val="1"/>
      <w:numFmt w:val="bullet"/>
      <w:lvlText w:val=""/>
      <w:lvlJc w:val="left"/>
      <w:pPr>
        <w:ind w:left="2880" w:hanging="360"/>
      </w:pPr>
      <w:rPr>
        <w:rFonts w:ascii="Symbol" w:hAnsi="Symbol" w:hint="default"/>
      </w:rPr>
    </w:lvl>
    <w:lvl w:ilvl="4" w:tplc="B39E4F22">
      <w:start w:val="1"/>
      <w:numFmt w:val="bullet"/>
      <w:lvlText w:val="o"/>
      <w:lvlJc w:val="left"/>
      <w:pPr>
        <w:ind w:left="3600" w:hanging="360"/>
      </w:pPr>
      <w:rPr>
        <w:rFonts w:ascii="Courier New" w:hAnsi="Courier New" w:hint="default"/>
      </w:rPr>
    </w:lvl>
    <w:lvl w:ilvl="5" w:tplc="478C47F0">
      <w:start w:val="1"/>
      <w:numFmt w:val="bullet"/>
      <w:lvlText w:val=""/>
      <w:lvlJc w:val="left"/>
      <w:pPr>
        <w:ind w:left="4320" w:hanging="360"/>
      </w:pPr>
      <w:rPr>
        <w:rFonts w:ascii="Wingdings" w:hAnsi="Wingdings" w:hint="default"/>
      </w:rPr>
    </w:lvl>
    <w:lvl w:ilvl="6" w:tplc="16E0083E">
      <w:start w:val="1"/>
      <w:numFmt w:val="bullet"/>
      <w:lvlText w:val=""/>
      <w:lvlJc w:val="left"/>
      <w:pPr>
        <w:ind w:left="5040" w:hanging="360"/>
      </w:pPr>
      <w:rPr>
        <w:rFonts w:ascii="Symbol" w:hAnsi="Symbol" w:hint="default"/>
      </w:rPr>
    </w:lvl>
    <w:lvl w:ilvl="7" w:tplc="9F6A2A30">
      <w:start w:val="1"/>
      <w:numFmt w:val="bullet"/>
      <w:lvlText w:val="o"/>
      <w:lvlJc w:val="left"/>
      <w:pPr>
        <w:ind w:left="5760" w:hanging="360"/>
      </w:pPr>
      <w:rPr>
        <w:rFonts w:ascii="Courier New" w:hAnsi="Courier New" w:hint="default"/>
      </w:rPr>
    </w:lvl>
    <w:lvl w:ilvl="8" w:tplc="FB3CD336">
      <w:start w:val="1"/>
      <w:numFmt w:val="bullet"/>
      <w:lvlText w:val=""/>
      <w:lvlJc w:val="left"/>
      <w:pPr>
        <w:ind w:left="6480" w:hanging="360"/>
      </w:pPr>
      <w:rPr>
        <w:rFonts w:ascii="Wingdings" w:hAnsi="Wingdings" w:hint="default"/>
      </w:rPr>
    </w:lvl>
  </w:abstractNum>
  <w:abstractNum w:abstractNumId="29" w15:restartNumberingAfterBreak="0">
    <w:nsid w:val="7C20310C"/>
    <w:multiLevelType w:val="hybridMultilevel"/>
    <w:tmpl w:val="9B3C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0647D"/>
    <w:multiLevelType w:val="hybridMultilevel"/>
    <w:tmpl w:val="E05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F2623"/>
    <w:multiLevelType w:val="hybridMultilevel"/>
    <w:tmpl w:val="9588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B55D4"/>
    <w:multiLevelType w:val="hybridMultilevel"/>
    <w:tmpl w:val="59C0B334"/>
    <w:lvl w:ilvl="0" w:tplc="008684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4"/>
  </w:num>
  <w:num w:numId="4">
    <w:abstractNumId w:val="0"/>
  </w:num>
  <w:num w:numId="5">
    <w:abstractNumId w:val="22"/>
  </w:num>
  <w:num w:numId="6">
    <w:abstractNumId w:val="4"/>
  </w:num>
  <w:num w:numId="7">
    <w:abstractNumId w:val="30"/>
  </w:num>
  <w:num w:numId="8">
    <w:abstractNumId w:val="15"/>
  </w:num>
  <w:num w:numId="9">
    <w:abstractNumId w:val="7"/>
  </w:num>
  <w:num w:numId="10">
    <w:abstractNumId w:val="11"/>
  </w:num>
  <w:num w:numId="11">
    <w:abstractNumId w:val="9"/>
  </w:num>
  <w:num w:numId="12">
    <w:abstractNumId w:val="16"/>
  </w:num>
  <w:num w:numId="13">
    <w:abstractNumId w:val="13"/>
  </w:num>
  <w:num w:numId="14">
    <w:abstractNumId w:val="31"/>
  </w:num>
  <w:num w:numId="15">
    <w:abstractNumId w:val="19"/>
  </w:num>
  <w:num w:numId="16">
    <w:abstractNumId w:val="26"/>
  </w:num>
  <w:num w:numId="17">
    <w:abstractNumId w:val="27"/>
  </w:num>
  <w:num w:numId="18">
    <w:abstractNumId w:val="21"/>
  </w:num>
  <w:num w:numId="19">
    <w:abstractNumId w:val="6"/>
  </w:num>
  <w:num w:numId="20">
    <w:abstractNumId w:val="20"/>
  </w:num>
  <w:num w:numId="21">
    <w:abstractNumId w:val="25"/>
  </w:num>
  <w:num w:numId="22">
    <w:abstractNumId w:val="10"/>
  </w:num>
  <w:num w:numId="23">
    <w:abstractNumId w:val="32"/>
  </w:num>
  <w:num w:numId="24">
    <w:abstractNumId w:val="18"/>
  </w:num>
  <w:num w:numId="25">
    <w:abstractNumId w:val="3"/>
  </w:num>
  <w:num w:numId="26">
    <w:abstractNumId w:val="2"/>
  </w:num>
  <w:num w:numId="27">
    <w:abstractNumId w:val="12"/>
  </w:num>
  <w:num w:numId="28">
    <w:abstractNumId w:val="29"/>
  </w:num>
  <w:num w:numId="29">
    <w:abstractNumId w:val="23"/>
  </w:num>
  <w:num w:numId="30">
    <w:abstractNumId w:val="17"/>
  </w:num>
  <w:num w:numId="31">
    <w:abstractNumId w:val="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25"/>
    <w:rsid w:val="000050BB"/>
    <w:rsid w:val="00011E41"/>
    <w:rsid w:val="00012662"/>
    <w:rsid w:val="00030B46"/>
    <w:rsid w:val="0004C0B5"/>
    <w:rsid w:val="0005460B"/>
    <w:rsid w:val="0005479E"/>
    <w:rsid w:val="000E45C3"/>
    <w:rsid w:val="000F0ED7"/>
    <w:rsid w:val="00123299"/>
    <w:rsid w:val="0016068F"/>
    <w:rsid w:val="001A2556"/>
    <w:rsid w:val="001A5F39"/>
    <w:rsid w:val="001ABE2E"/>
    <w:rsid w:val="002222AA"/>
    <w:rsid w:val="00253CF1"/>
    <w:rsid w:val="0027521C"/>
    <w:rsid w:val="002D0614"/>
    <w:rsid w:val="002F5225"/>
    <w:rsid w:val="002F5850"/>
    <w:rsid w:val="003131A1"/>
    <w:rsid w:val="003452F0"/>
    <w:rsid w:val="00370FD2"/>
    <w:rsid w:val="00373E3B"/>
    <w:rsid w:val="003850C1"/>
    <w:rsid w:val="003A25D1"/>
    <w:rsid w:val="003A6E30"/>
    <w:rsid w:val="003E425F"/>
    <w:rsid w:val="00407B27"/>
    <w:rsid w:val="00420618"/>
    <w:rsid w:val="004C50DC"/>
    <w:rsid w:val="00517B25"/>
    <w:rsid w:val="00541F56"/>
    <w:rsid w:val="00550B2E"/>
    <w:rsid w:val="00581E17"/>
    <w:rsid w:val="005C73EF"/>
    <w:rsid w:val="005D6ADA"/>
    <w:rsid w:val="0062696D"/>
    <w:rsid w:val="00633AF5"/>
    <w:rsid w:val="00667882"/>
    <w:rsid w:val="006736BE"/>
    <w:rsid w:val="006A1C10"/>
    <w:rsid w:val="006F2029"/>
    <w:rsid w:val="00712879"/>
    <w:rsid w:val="00733B8B"/>
    <w:rsid w:val="00736330"/>
    <w:rsid w:val="00777DCB"/>
    <w:rsid w:val="0078005B"/>
    <w:rsid w:val="00793455"/>
    <w:rsid w:val="00881265"/>
    <w:rsid w:val="0089451D"/>
    <w:rsid w:val="008D7F0F"/>
    <w:rsid w:val="008F0105"/>
    <w:rsid w:val="008F0448"/>
    <w:rsid w:val="00964829"/>
    <w:rsid w:val="009C280E"/>
    <w:rsid w:val="00A47755"/>
    <w:rsid w:val="00A5403E"/>
    <w:rsid w:val="00A61293"/>
    <w:rsid w:val="00A96912"/>
    <w:rsid w:val="00AE432A"/>
    <w:rsid w:val="00B911A4"/>
    <w:rsid w:val="00BC7907"/>
    <w:rsid w:val="00BE2946"/>
    <w:rsid w:val="00BF75C3"/>
    <w:rsid w:val="00C02CB4"/>
    <w:rsid w:val="00C0444C"/>
    <w:rsid w:val="00C04D00"/>
    <w:rsid w:val="00C20B9F"/>
    <w:rsid w:val="00C353FC"/>
    <w:rsid w:val="00C82864"/>
    <w:rsid w:val="00C919D9"/>
    <w:rsid w:val="00CD1ECA"/>
    <w:rsid w:val="00CE07DB"/>
    <w:rsid w:val="00CE1546"/>
    <w:rsid w:val="00CE6A33"/>
    <w:rsid w:val="00CF4946"/>
    <w:rsid w:val="00DC3AED"/>
    <w:rsid w:val="00DC40D1"/>
    <w:rsid w:val="00DF1EEF"/>
    <w:rsid w:val="00E663E8"/>
    <w:rsid w:val="00EB03C3"/>
    <w:rsid w:val="00EF7575"/>
    <w:rsid w:val="00F02E0F"/>
    <w:rsid w:val="00F076DA"/>
    <w:rsid w:val="00F81C19"/>
    <w:rsid w:val="00FA2F61"/>
    <w:rsid w:val="00FD3DCB"/>
    <w:rsid w:val="00FF3436"/>
    <w:rsid w:val="01003BD0"/>
    <w:rsid w:val="013394E0"/>
    <w:rsid w:val="02AD69E1"/>
    <w:rsid w:val="04660AF5"/>
    <w:rsid w:val="0579E2BA"/>
    <w:rsid w:val="05E5D395"/>
    <w:rsid w:val="060C3B8D"/>
    <w:rsid w:val="060F895D"/>
    <w:rsid w:val="06310E7F"/>
    <w:rsid w:val="076644B9"/>
    <w:rsid w:val="0784E90D"/>
    <w:rsid w:val="08941DE7"/>
    <w:rsid w:val="08C0894B"/>
    <w:rsid w:val="098451E5"/>
    <w:rsid w:val="09EBE9B4"/>
    <w:rsid w:val="0A4AC981"/>
    <w:rsid w:val="0B3FEADC"/>
    <w:rsid w:val="0DF59DAB"/>
    <w:rsid w:val="0E05F0E3"/>
    <w:rsid w:val="0E09C60D"/>
    <w:rsid w:val="0F0E8B61"/>
    <w:rsid w:val="0F396379"/>
    <w:rsid w:val="0F7DC1B4"/>
    <w:rsid w:val="0F8F960F"/>
    <w:rsid w:val="101D25E6"/>
    <w:rsid w:val="10B28B5B"/>
    <w:rsid w:val="112B65A0"/>
    <w:rsid w:val="12ABF300"/>
    <w:rsid w:val="12C2539F"/>
    <w:rsid w:val="12D37837"/>
    <w:rsid w:val="130DBF91"/>
    <w:rsid w:val="145E2400"/>
    <w:rsid w:val="14BA34CD"/>
    <w:rsid w:val="1586FBDD"/>
    <w:rsid w:val="164F8BA5"/>
    <w:rsid w:val="16D3FCF9"/>
    <w:rsid w:val="17AA59E8"/>
    <w:rsid w:val="17C96B0E"/>
    <w:rsid w:val="181BEDE8"/>
    <w:rsid w:val="1B026D1C"/>
    <w:rsid w:val="1B158817"/>
    <w:rsid w:val="1C26EC37"/>
    <w:rsid w:val="1DDBF99F"/>
    <w:rsid w:val="1E0A2C44"/>
    <w:rsid w:val="1E38AC92"/>
    <w:rsid w:val="1EA5BEA1"/>
    <w:rsid w:val="1F658872"/>
    <w:rsid w:val="1FD47CF3"/>
    <w:rsid w:val="205D620D"/>
    <w:rsid w:val="21704D54"/>
    <w:rsid w:val="22354C5D"/>
    <w:rsid w:val="2258D406"/>
    <w:rsid w:val="23933154"/>
    <w:rsid w:val="245E8715"/>
    <w:rsid w:val="2487DFE5"/>
    <w:rsid w:val="251FB617"/>
    <w:rsid w:val="2643BE77"/>
    <w:rsid w:val="26559B5E"/>
    <w:rsid w:val="26BF5FF9"/>
    <w:rsid w:val="26C3F871"/>
    <w:rsid w:val="26EECFCD"/>
    <w:rsid w:val="26EF9523"/>
    <w:rsid w:val="272B7CD5"/>
    <w:rsid w:val="27A64EAD"/>
    <w:rsid w:val="2819AE7C"/>
    <w:rsid w:val="28DB3D60"/>
    <w:rsid w:val="298D3C20"/>
    <w:rsid w:val="2A777EF1"/>
    <w:rsid w:val="2AFA18E1"/>
    <w:rsid w:val="2B31CED2"/>
    <w:rsid w:val="2B9EFFA2"/>
    <w:rsid w:val="2BBE3E45"/>
    <w:rsid w:val="2BD90775"/>
    <w:rsid w:val="2C122C82"/>
    <w:rsid w:val="2D27FF90"/>
    <w:rsid w:val="2E9111FD"/>
    <w:rsid w:val="2EBD2336"/>
    <w:rsid w:val="2ED3A325"/>
    <w:rsid w:val="2FCE99B8"/>
    <w:rsid w:val="30262605"/>
    <w:rsid w:val="303D2376"/>
    <w:rsid w:val="306FB2B4"/>
    <w:rsid w:val="30967769"/>
    <w:rsid w:val="30AA5827"/>
    <w:rsid w:val="31AA06D3"/>
    <w:rsid w:val="31D40304"/>
    <w:rsid w:val="324DE400"/>
    <w:rsid w:val="32610BB4"/>
    <w:rsid w:val="33C170DB"/>
    <w:rsid w:val="33E9B461"/>
    <w:rsid w:val="33FF6930"/>
    <w:rsid w:val="355F3C68"/>
    <w:rsid w:val="358B4CF4"/>
    <w:rsid w:val="3598AC76"/>
    <w:rsid w:val="35B1D4D3"/>
    <w:rsid w:val="3651042F"/>
    <w:rsid w:val="36F9119D"/>
    <w:rsid w:val="37537BC7"/>
    <w:rsid w:val="386DBD1D"/>
    <w:rsid w:val="3923CE8E"/>
    <w:rsid w:val="3988A4F1"/>
    <w:rsid w:val="3A065E2C"/>
    <w:rsid w:val="3ABF659A"/>
    <w:rsid w:val="3D580524"/>
    <w:rsid w:val="3E26206D"/>
    <w:rsid w:val="3EBB490B"/>
    <w:rsid w:val="3F801CC2"/>
    <w:rsid w:val="4021156B"/>
    <w:rsid w:val="40B488B9"/>
    <w:rsid w:val="40F01952"/>
    <w:rsid w:val="419B7BC4"/>
    <w:rsid w:val="42933486"/>
    <w:rsid w:val="42BF4D9D"/>
    <w:rsid w:val="4318951D"/>
    <w:rsid w:val="43390759"/>
    <w:rsid w:val="4440BEBB"/>
    <w:rsid w:val="4517AF3F"/>
    <w:rsid w:val="46517A45"/>
    <w:rsid w:val="466EECE7"/>
    <w:rsid w:val="476CED60"/>
    <w:rsid w:val="49C3CF29"/>
    <w:rsid w:val="4A013E57"/>
    <w:rsid w:val="4A030FCB"/>
    <w:rsid w:val="4A1C993D"/>
    <w:rsid w:val="4A376BF3"/>
    <w:rsid w:val="4B2170BF"/>
    <w:rsid w:val="4B44193E"/>
    <w:rsid w:val="4B676F01"/>
    <w:rsid w:val="4BF258FE"/>
    <w:rsid w:val="4C7B891F"/>
    <w:rsid w:val="4CB94568"/>
    <w:rsid w:val="4DE5EAB2"/>
    <w:rsid w:val="4EAA7448"/>
    <w:rsid w:val="4EB11518"/>
    <w:rsid w:val="4EEEEF10"/>
    <w:rsid w:val="4F3B5938"/>
    <w:rsid w:val="505B6D15"/>
    <w:rsid w:val="5078E861"/>
    <w:rsid w:val="521F657E"/>
    <w:rsid w:val="52281EF3"/>
    <w:rsid w:val="528AB32E"/>
    <w:rsid w:val="533B4109"/>
    <w:rsid w:val="53A8F451"/>
    <w:rsid w:val="5401F5D7"/>
    <w:rsid w:val="5416861B"/>
    <w:rsid w:val="550AC43A"/>
    <w:rsid w:val="55570640"/>
    <w:rsid w:val="5670FCD4"/>
    <w:rsid w:val="5B1B0D9A"/>
    <w:rsid w:val="5CE7F9C0"/>
    <w:rsid w:val="5CF0489B"/>
    <w:rsid w:val="5D5CC1E0"/>
    <w:rsid w:val="5D85ADA6"/>
    <w:rsid w:val="5DED90F9"/>
    <w:rsid w:val="5E7EE7BF"/>
    <w:rsid w:val="5F49CFE1"/>
    <w:rsid w:val="5F55E1EB"/>
    <w:rsid w:val="601AB820"/>
    <w:rsid w:val="6035B246"/>
    <w:rsid w:val="606DC2B8"/>
    <w:rsid w:val="606E4EFC"/>
    <w:rsid w:val="60D00856"/>
    <w:rsid w:val="60D5D330"/>
    <w:rsid w:val="614D6031"/>
    <w:rsid w:val="618D76B3"/>
    <w:rsid w:val="624DE75C"/>
    <w:rsid w:val="6262896B"/>
    <w:rsid w:val="6268FD3E"/>
    <w:rsid w:val="6315814F"/>
    <w:rsid w:val="634A93F4"/>
    <w:rsid w:val="65751790"/>
    <w:rsid w:val="65DEAF08"/>
    <w:rsid w:val="66465942"/>
    <w:rsid w:val="68E3B971"/>
    <w:rsid w:val="68F16B4B"/>
    <w:rsid w:val="6992CD80"/>
    <w:rsid w:val="6A29ADAE"/>
    <w:rsid w:val="6E8888AD"/>
    <w:rsid w:val="6FE8E69F"/>
    <w:rsid w:val="7324B5D5"/>
    <w:rsid w:val="7393D4A8"/>
    <w:rsid w:val="7444D276"/>
    <w:rsid w:val="74BBA892"/>
    <w:rsid w:val="750608C7"/>
    <w:rsid w:val="751ECAFC"/>
    <w:rsid w:val="75A3996E"/>
    <w:rsid w:val="75E0A2D7"/>
    <w:rsid w:val="75F9CB34"/>
    <w:rsid w:val="760D3D7B"/>
    <w:rsid w:val="76327E7F"/>
    <w:rsid w:val="768CA6EB"/>
    <w:rsid w:val="76F997D8"/>
    <w:rsid w:val="778FA412"/>
    <w:rsid w:val="77A43A54"/>
    <w:rsid w:val="798FD311"/>
    <w:rsid w:val="7B05EFA2"/>
    <w:rsid w:val="7C1C77CD"/>
    <w:rsid w:val="7CDE6861"/>
    <w:rsid w:val="7D9D200F"/>
    <w:rsid w:val="7DA22BF2"/>
    <w:rsid w:val="7FD07A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57E1"/>
  <w15:chartTrackingRefBased/>
  <w15:docId w15:val="{C6F12F95-2BA7-40FB-852A-D4547E8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2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3299"/>
    <w:pPr>
      <w:keepNext/>
      <w:keepLines/>
      <w:numPr>
        <w:numId w:val="13"/>
      </w:numPr>
      <w:spacing w:before="240" w:line="276" w:lineRule="auto"/>
      <w:ind w:left="720" w:hanging="7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123299"/>
    <w:pPr>
      <w:numPr>
        <w:ilvl w:val="1"/>
      </w:numPr>
      <w:ind w:left="720" w:hanging="720"/>
      <w:outlineLvl w:val="1"/>
    </w:pPr>
    <w:rPr>
      <w:sz w:val="28"/>
      <w:szCs w:val="28"/>
    </w:rPr>
  </w:style>
  <w:style w:type="paragraph" w:styleId="Heading3">
    <w:name w:val="heading 3"/>
    <w:basedOn w:val="Heading2"/>
    <w:next w:val="Normal"/>
    <w:link w:val="Heading3Char"/>
    <w:uiPriority w:val="9"/>
    <w:unhideWhenUsed/>
    <w:qFormat/>
    <w:rsid w:val="00123299"/>
    <w:pPr>
      <w:numPr>
        <w:ilvl w:val="2"/>
      </w:numPr>
      <w:ind w:left="720" w:hanging="720"/>
      <w:outlineLvl w:val="2"/>
    </w:pPr>
  </w:style>
  <w:style w:type="paragraph" w:styleId="Heading4">
    <w:name w:val="heading 4"/>
    <w:basedOn w:val="Normal"/>
    <w:next w:val="Normal"/>
    <w:link w:val="Heading4Char"/>
    <w:semiHidden/>
    <w:unhideWhenUsed/>
    <w:qFormat/>
    <w:rsid w:val="00EF7575"/>
    <w:pPr>
      <w:keepNext/>
      <w:keepLines/>
      <w:widowControl w:val="0"/>
      <w:spacing w:before="200" w:line="276" w:lineRule="auto"/>
      <w:ind w:left="864" w:hanging="864"/>
      <w:outlineLvl w:val="3"/>
    </w:pPr>
    <w:rPr>
      <w:rFonts w:ascii="Cambria" w:eastAsia="Cambria" w:hAnsi="Cambria" w:cs="Cambria"/>
      <w:b/>
      <w:i/>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225"/>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F5225"/>
    <w:rPr>
      <w:color w:val="0563C1" w:themeColor="hyperlink"/>
      <w:u w:val="single"/>
    </w:rPr>
  </w:style>
  <w:style w:type="character" w:customStyle="1" w:styleId="UnresolvedMention1">
    <w:name w:val="Unresolved Mention1"/>
    <w:basedOn w:val="DefaultParagraphFont"/>
    <w:uiPriority w:val="99"/>
    <w:semiHidden/>
    <w:unhideWhenUsed/>
    <w:rsid w:val="002F5225"/>
    <w:rPr>
      <w:color w:val="605E5C"/>
      <w:shd w:val="clear" w:color="auto" w:fill="E1DFDD"/>
    </w:rPr>
  </w:style>
  <w:style w:type="character" w:styleId="FollowedHyperlink">
    <w:name w:val="FollowedHyperlink"/>
    <w:basedOn w:val="DefaultParagraphFont"/>
    <w:uiPriority w:val="99"/>
    <w:semiHidden/>
    <w:unhideWhenUsed/>
    <w:rsid w:val="00420618"/>
    <w:rPr>
      <w:color w:val="954F72" w:themeColor="followedHyperlink"/>
      <w:u w:val="single"/>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40D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C40D1"/>
    <w:rPr>
      <w:rFonts w:ascii="Segoe UI" w:hAnsi="Segoe UI" w:cs="Segoe UI"/>
      <w:sz w:val="18"/>
      <w:szCs w:val="18"/>
    </w:rPr>
  </w:style>
  <w:style w:type="paragraph" w:styleId="Header">
    <w:name w:val="header"/>
    <w:basedOn w:val="Normal"/>
    <w:link w:val="HeaderChar"/>
    <w:uiPriority w:val="99"/>
    <w:unhideWhenUsed/>
    <w:rsid w:val="0012329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23299"/>
  </w:style>
  <w:style w:type="paragraph" w:styleId="Footer">
    <w:name w:val="footer"/>
    <w:basedOn w:val="Normal"/>
    <w:link w:val="FooterChar"/>
    <w:uiPriority w:val="99"/>
    <w:unhideWhenUsed/>
    <w:rsid w:val="0012329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23299"/>
  </w:style>
  <w:style w:type="character" w:customStyle="1" w:styleId="Heading1Char">
    <w:name w:val="Heading 1 Char"/>
    <w:basedOn w:val="DefaultParagraphFont"/>
    <w:link w:val="Heading1"/>
    <w:uiPriority w:val="9"/>
    <w:rsid w:val="00123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329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123299"/>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59"/>
    <w:rsid w:val="0012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32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23299"/>
    <w:pPr>
      <w:spacing w:before="100" w:beforeAutospacing="1" w:after="100" w:afterAutospacing="1"/>
    </w:pPr>
  </w:style>
  <w:style w:type="character" w:customStyle="1" w:styleId="normaltextrun">
    <w:name w:val="normaltextrun"/>
    <w:basedOn w:val="DefaultParagraphFont"/>
    <w:rsid w:val="00123299"/>
  </w:style>
  <w:style w:type="character" w:customStyle="1" w:styleId="eop">
    <w:name w:val="eop"/>
    <w:basedOn w:val="DefaultParagraphFont"/>
    <w:rsid w:val="00123299"/>
  </w:style>
  <w:style w:type="paragraph" w:customStyle="1" w:styleId="BodyText12">
    <w:name w:val="Body Text 12"/>
    <w:basedOn w:val="Normal"/>
    <w:link w:val="BodyText12Char"/>
    <w:qFormat/>
    <w:rsid w:val="00123299"/>
    <w:pPr>
      <w:widowControl w:val="0"/>
      <w:pBdr>
        <w:top w:val="nil"/>
        <w:left w:val="nil"/>
        <w:bottom w:val="nil"/>
        <w:right w:val="nil"/>
        <w:between w:val="nil"/>
      </w:pBdr>
      <w:spacing w:after="200" w:line="276" w:lineRule="auto"/>
      <w:jc w:val="both"/>
    </w:pPr>
    <w:rPr>
      <w:rFonts w:ascii="Calibri" w:eastAsia="Calibri" w:hAnsi="Calibri" w:cs="Calibri"/>
      <w:color w:val="000000"/>
      <w:sz w:val="22"/>
      <w:szCs w:val="22"/>
    </w:rPr>
  </w:style>
  <w:style w:type="character" w:customStyle="1" w:styleId="BodyText12Char">
    <w:name w:val="Body Text 12 Char"/>
    <w:basedOn w:val="DefaultParagraphFont"/>
    <w:link w:val="BodyText12"/>
    <w:rsid w:val="00123299"/>
    <w:rPr>
      <w:rFonts w:ascii="Calibri" w:eastAsia="Calibri" w:hAnsi="Calibri" w:cs="Calibri"/>
      <w:color w:val="000000"/>
    </w:rPr>
  </w:style>
  <w:style w:type="paragraph" w:styleId="Bibliography">
    <w:name w:val="Bibliography"/>
    <w:basedOn w:val="Normal"/>
    <w:next w:val="Normal"/>
    <w:uiPriority w:val="37"/>
    <w:unhideWhenUsed/>
    <w:rsid w:val="000050BB"/>
    <w:pPr>
      <w:tabs>
        <w:tab w:val="left" w:pos="384"/>
      </w:tabs>
      <w:spacing w:after="240"/>
      <w:ind w:left="384" w:hanging="384"/>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3A25D1"/>
    <w:pPr>
      <w:spacing w:before="100" w:beforeAutospacing="1" w:after="100" w:afterAutospacing="1"/>
    </w:pPr>
  </w:style>
  <w:style w:type="paragraph" w:customStyle="1" w:styleId="text-right">
    <w:name w:val="text-right"/>
    <w:basedOn w:val="Normal"/>
    <w:rsid w:val="003A25D1"/>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C0444C"/>
    <w:rPr>
      <w:b/>
      <w:bCs/>
    </w:rPr>
  </w:style>
  <w:style w:type="character" w:customStyle="1" w:styleId="CommentSubjectChar">
    <w:name w:val="Comment Subject Char"/>
    <w:basedOn w:val="CommentTextChar"/>
    <w:link w:val="CommentSubject"/>
    <w:uiPriority w:val="99"/>
    <w:semiHidden/>
    <w:rsid w:val="00C0444C"/>
    <w:rPr>
      <w:b/>
      <w:bCs/>
      <w:sz w:val="20"/>
      <w:szCs w:val="20"/>
    </w:rPr>
  </w:style>
  <w:style w:type="character" w:customStyle="1" w:styleId="UnresolvedMention">
    <w:name w:val="Unresolved Mention"/>
    <w:basedOn w:val="DefaultParagraphFont"/>
    <w:uiPriority w:val="99"/>
    <w:semiHidden/>
    <w:unhideWhenUsed/>
    <w:rsid w:val="00633AF5"/>
    <w:rPr>
      <w:color w:val="605E5C"/>
      <w:shd w:val="clear" w:color="auto" w:fill="E1DFDD"/>
    </w:rPr>
  </w:style>
  <w:style w:type="character" w:customStyle="1" w:styleId="Heading4Char">
    <w:name w:val="Heading 4 Char"/>
    <w:basedOn w:val="DefaultParagraphFont"/>
    <w:link w:val="Heading4"/>
    <w:semiHidden/>
    <w:rsid w:val="00EF7575"/>
    <w:rPr>
      <w:rFonts w:ascii="Cambria" w:eastAsia="Cambria" w:hAnsi="Cambria" w:cs="Cambria"/>
      <w:b/>
      <w:i/>
      <w:color w:val="4F81BD"/>
    </w:rPr>
  </w:style>
  <w:style w:type="numbering" w:customStyle="1" w:styleId="Headings">
    <w:name w:val="Headings"/>
    <w:uiPriority w:val="99"/>
    <w:rsid w:val="00EF7575"/>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7807">
      <w:bodyDiv w:val="1"/>
      <w:marLeft w:val="0"/>
      <w:marRight w:val="0"/>
      <w:marTop w:val="0"/>
      <w:marBottom w:val="0"/>
      <w:divBdr>
        <w:top w:val="none" w:sz="0" w:space="0" w:color="auto"/>
        <w:left w:val="none" w:sz="0" w:space="0" w:color="auto"/>
        <w:bottom w:val="none" w:sz="0" w:space="0" w:color="auto"/>
        <w:right w:val="none" w:sz="0" w:space="0" w:color="auto"/>
      </w:divBdr>
    </w:div>
    <w:div w:id="98380291">
      <w:bodyDiv w:val="1"/>
      <w:marLeft w:val="0"/>
      <w:marRight w:val="0"/>
      <w:marTop w:val="0"/>
      <w:marBottom w:val="0"/>
      <w:divBdr>
        <w:top w:val="none" w:sz="0" w:space="0" w:color="auto"/>
        <w:left w:val="none" w:sz="0" w:space="0" w:color="auto"/>
        <w:bottom w:val="none" w:sz="0" w:space="0" w:color="auto"/>
        <w:right w:val="none" w:sz="0" w:space="0" w:color="auto"/>
      </w:divBdr>
    </w:div>
    <w:div w:id="114105192">
      <w:bodyDiv w:val="1"/>
      <w:marLeft w:val="0"/>
      <w:marRight w:val="0"/>
      <w:marTop w:val="0"/>
      <w:marBottom w:val="0"/>
      <w:divBdr>
        <w:top w:val="none" w:sz="0" w:space="0" w:color="auto"/>
        <w:left w:val="none" w:sz="0" w:space="0" w:color="auto"/>
        <w:bottom w:val="none" w:sz="0" w:space="0" w:color="auto"/>
        <w:right w:val="none" w:sz="0" w:space="0" w:color="auto"/>
      </w:divBdr>
    </w:div>
    <w:div w:id="117140211">
      <w:bodyDiv w:val="1"/>
      <w:marLeft w:val="0"/>
      <w:marRight w:val="0"/>
      <w:marTop w:val="0"/>
      <w:marBottom w:val="0"/>
      <w:divBdr>
        <w:top w:val="none" w:sz="0" w:space="0" w:color="auto"/>
        <w:left w:val="none" w:sz="0" w:space="0" w:color="auto"/>
        <w:bottom w:val="none" w:sz="0" w:space="0" w:color="auto"/>
        <w:right w:val="none" w:sz="0" w:space="0" w:color="auto"/>
      </w:divBdr>
    </w:div>
    <w:div w:id="208348508">
      <w:bodyDiv w:val="1"/>
      <w:marLeft w:val="0"/>
      <w:marRight w:val="0"/>
      <w:marTop w:val="0"/>
      <w:marBottom w:val="0"/>
      <w:divBdr>
        <w:top w:val="none" w:sz="0" w:space="0" w:color="auto"/>
        <w:left w:val="none" w:sz="0" w:space="0" w:color="auto"/>
        <w:bottom w:val="none" w:sz="0" w:space="0" w:color="auto"/>
        <w:right w:val="none" w:sz="0" w:space="0" w:color="auto"/>
      </w:divBdr>
    </w:div>
    <w:div w:id="261840004">
      <w:bodyDiv w:val="1"/>
      <w:marLeft w:val="0"/>
      <w:marRight w:val="0"/>
      <w:marTop w:val="0"/>
      <w:marBottom w:val="0"/>
      <w:divBdr>
        <w:top w:val="none" w:sz="0" w:space="0" w:color="auto"/>
        <w:left w:val="none" w:sz="0" w:space="0" w:color="auto"/>
        <w:bottom w:val="none" w:sz="0" w:space="0" w:color="auto"/>
        <w:right w:val="none" w:sz="0" w:space="0" w:color="auto"/>
      </w:divBdr>
      <w:divsChild>
        <w:div w:id="844825066">
          <w:marLeft w:val="0"/>
          <w:marRight w:val="0"/>
          <w:marTop w:val="0"/>
          <w:marBottom w:val="0"/>
          <w:divBdr>
            <w:top w:val="none" w:sz="0" w:space="0" w:color="auto"/>
            <w:left w:val="none" w:sz="0" w:space="0" w:color="auto"/>
            <w:bottom w:val="none" w:sz="0" w:space="0" w:color="auto"/>
            <w:right w:val="none" w:sz="0" w:space="0" w:color="auto"/>
          </w:divBdr>
        </w:div>
        <w:div w:id="2012444732">
          <w:marLeft w:val="0"/>
          <w:marRight w:val="0"/>
          <w:marTop w:val="0"/>
          <w:marBottom w:val="0"/>
          <w:divBdr>
            <w:top w:val="none" w:sz="0" w:space="0" w:color="auto"/>
            <w:left w:val="none" w:sz="0" w:space="0" w:color="auto"/>
            <w:bottom w:val="none" w:sz="0" w:space="0" w:color="auto"/>
            <w:right w:val="none" w:sz="0" w:space="0" w:color="auto"/>
          </w:divBdr>
        </w:div>
        <w:div w:id="1019357019">
          <w:marLeft w:val="0"/>
          <w:marRight w:val="0"/>
          <w:marTop w:val="0"/>
          <w:marBottom w:val="0"/>
          <w:divBdr>
            <w:top w:val="none" w:sz="0" w:space="0" w:color="auto"/>
            <w:left w:val="none" w:sz="0" w:space="0" w:color="auto"/>
            <w:bottom w:val="none" w:sz="0" w:space="0" w:color="auto"/>
            <w:right w:val="none" w:sz="0" w:space="0" w:color="auto"/>
          </w:divBdr>
          <w:divsChild>
            <w:div w:id="1194075270">
              <w:marLeft w:val="0"/>
              <w:marRight w:val="0"/>
              <w:marTop w:val="0"/>
              <w:marBottom w:val="0"/>
              <w:divBdr>
                <w:top w:val="none" w:sz="0" w:space="0" w:color="auto"/>
                <w:left w:val="none" w:sz="0" w:space="0" w:color="auto"/>
                <w:bottom w:val="none" w:sz="0" w:space="0" w:color="auto"/>
                <w:right w:val="none" w:sz="0" w:space="0" w:color="auto"/>
              </w:divBdr>
            </w:div>
          </w:divsChild>
        </w:div>
        <w:div w:id="1491600878">
          <w:marLeft w:val="0"/>
          <w:marRight w:val="0"/>
          <w:marTop w:val="0"/>
          <w:marBottom w:val="0"/>
          <w:divBdr>
            <w:top w:val="none" w:sz="0" w:space="0" w:color="auto"/>
            <w:left w:val="none" w:sz="0" w:space="0" w:color="auto"/>
            <w:bottom w:val="none" w:sz="0" w:space="0" w:color="auto"/>
            <w:right w:val="none" w:sz="0" w:space="0" w:color="auto"/>
          </w:divBdr>
        </w:div>
      </w:divsChild>
    </w:div>
    <w:div w:id="588002132">
      <w:bodyDiv w:val="1"/>
      <w:marLeft w:val="0"/>
      <w:marRight w:val="0"/>
      <w:marTop w:val="0"/>
      <w:marBottom w:val="0"/>
      <w:divBdr>
        <w:top w:val="none" w:sz="0" w:space="0" w:color="auto"/>
        <w:left w:val="none" w:sz="0" w:space="0" w:color="auto"/>
        <w:bottom w:val="none" w:sz="0" w:space="0" w:color="auto"/>
        <w:right w:val="none" w:sz="0" w:space="0" w:color="auto"/>
      </w:divBdr>
    </w:div>
    <w:div w:id="991716261">
      <w:bodyDiv w:val="1"/>
      <w:marLeft w:val="0"/>
      <w:marRight w:val="0"/>
      <w:marTop w:val="0"/>
      <w:marBottom w:val="0"/>
      <w:divBdr>
        <w:top w:val="none" w:sz="0" w:space="0" w:color="auto"/>
        <w:left w:val="none" w:sz="0" w:space="0" w:color="auto"/>
        <w:bottom w:val="none" w:sz="0" w:space="0" w:color="auto"/>
        <w:right w:val="none" w:sz="0" w:space="0" w:color="auto"/>
      </w:divBdr>
    </w:div>
    <w:div w:id="1145119058">
      <w:bodyDiv w:val="1"/>
      <w:marLeft w:val="0"/>
      <w:marRight w:val="0"/>
      <w:marTop w:val="0"/>
      <w:marBottom w:val="0"/>
      <w:divBdr>
        <w:top w:val="none" w:sz="0" w:space="0" w:color="auto"/>
        <w:left w:val="none" w:sz="0" w:space="0" w:color="auto"/>
        <w:bottom w:val="none" w:sz="0" w:space="0" w:color="auto"/>
        <w:right w:val="none" w:sz="0" w:space="0" w:color="auto"/>
      </w:divBdr>
      <w:divsChild>
        <w:div w:id="598759626">
          <w:marLeft w:val="0"/>
          <w:marRight w:val="0"/>
          <w:marTop w:val="0"/>
          <w:marBottom w:val="0"/>
          <w:divBdr>
            <w:top w:val="none" w:sz="0" w:space="0" w:color="auto"/>
            <w:left w:val="none" w:sz="0" w:space="0" w:color="auto"/>
            <w:bottom w:val="none" w:sz="0" w:space="0" w:color="auto"/>
            <w:right w:val="none" w:sz="0" w:space="0" w:color="auto"/>
          </w:divBdr>
          <w:divsChild>
            <w:div w:id="1531530263">
              <w:marLeft w:val="0"/>
              <w:marRight w:val="0"/>
              <w:marTop w:val="0"/>
              <w:marBottom w:val="0"/>
              <w:divBdr>
                <w:top w:val="none" w:sz="0" w:space="0" w:color="auto"/>
                <w:left w:val="none" w:sz="0" w:space="0" w:color="auto"/>
                <w:bottom w:val="none" w:sz="0" w:space="0" w:color="auto"/>
                <w:right w:val="none" w:sz="0" w:space="0" w:color="auto"/>
              </w:divBdr>
            </w:div>
            <w:div w:id="452789042">
              <w:marLeft w:val="0"/>
              <w:marRight w:val="0"/>
              <w:marTop w:val="0"/>
              <w:marBottom w:val="0"/>
              <w:divBdr>
                <w:top w:val="none" w:sz="0" w:space="0" w:color="auto"/>
                <w:left w:val="none" w:sz="0" w:space="0" w:color="auto"/>
                <w:bottom w:val="none" w:sz="0" w:space="0" w:color="auto"/>
                <w:right w:val="none" w:sz="0" w:space="0" w:color="auto"/>
              </w:divBdr>
            </w:div>
            <w:div w:id="703477531">
              <w:marLeft w:val="0"/>
              <w:marRight w:val="0"/>
              <w:marTop w:val="0"/>
              <w:marBottom w:val="0"/>
              <w:divBdr>
                <w:top w:val="none" w:sz="0" w:space="0" w:color="auto"/>
                <w:left w:val="none" w:sz="0" w:space="0" w:color="auto"/>
                <w:bottom w:val="none" w:sz="0" w:space="0" w:color="auto"/>
                <w:right w:val="none" w:sz="0" w:space="0" w:color="auto"/>
              </w:divBdr>
            </w:div>
          </w:divsChild>
        </w:div>
        <w:div w:id="1229075065">
          <w:marLeft w:val="0"/>
          <w:marRight w:val="0"/>
          <w:marTop w:val="0"/>
          <w:marBottom w:val="0"/>
          <w:divBdr>
            <w:top w:val="none" w:sz="0" w:space="0" w:color="auto"/>
            <w:left w:val="none" w:sz="0" w:space="0" w:color="auto"/>
            <w:bottom w:val="none" w:sz="0" w:space="0" w:color="auto"/>
            <w:right w:val="none" w:sz="0" w:space="0" w:color="auto"/>
          </w:divBdr>
          <w:divsChild>
            <w:div w:id="1709722768">
              <w:marLeft w:val="0"/>
              <w:marRight w:val="0"/>
              <w:marTop w:val="0"/>
              <w:marBottom w:val="0"/>
              <w:divBdr>
                <w:top w:val="none" w:sz="0" w:space="0" w:color="auto"/>
                <w:left w:val="none" w:sz="0" w:space="0" w:color="auto"/>
                <w:bottom w:val="none" w:sz="0" w:space="0" w:color="auto"/>
                <w:right w:val="none" w:sz="0" w:space="0" w:color="auto"/>
              </w:divBdr>
            </w:div>
          </w:divsChild>
        </w:div>
        <w:div w:id="1505512053">
          <w:marLeft w:val="0"/>
          <w:marRight w:val="0"/>
          <w:marTop w:val="0"/>
          <w:marBottom w:val="0"/>
          <w:divBdr>
            <w:top w:val="none" w:sz="0" w:space="0" w:color="auto"/>
            <w:left w:val="none" w:sz="0" w:space="0" w:color="auto"/>
            <w:bottom w:val="none" w:sz="0" w:space="0" w:color="auto"/>
            <w:right w:val="none" w:sz="0" w:space="0" w:color="auto"/>
          </w:divBdr>
          <w:divsChild>
            <w:div w:id="1460882716">
              <w:marLeft w:val="0"/>
              <w:marRight w:val="0"/>
              <w:marTop w:val="0"/>
              <w:marBottom w:val="0"/>
              <w:divBdr>
                <w:top w:val="none" w:sz="0" w:space="0" w:color="auto"/>
                <w:left w:val="none" w:sz="0" w:space="0" w:color="auto"/>
                <w:bottom w:val="none" w:sz="0" w:space="0" w:color="auto"/>
                <w:right w:val="none" w:sz="0" w:space="0" w:color="auto"/>
              </w:divBdr>
            </w:div>
            <w:div w:id="953680762">
              <w:marLeft w:val="0"/>
              <w:marRight w:val="0"/>
              <w:marTop w:val="0"/>
              <w:marBottom w:val="0"/>
              <w:divBdr>
                <w:top w:val="none" w:sz="0" w:space="0" w:color="auto"/>
                <w:left w:val="none" w:sz="0" w:space="0" w:color="auto"/>
                <w:bottom w:val="none" w:sz="0" w:space="0" w:color="auto"/>
                <w:right w:val="none" w:sz="0" w:space="0" w:color="auto"/>
              </w:divBdr>
            </w:div>
          </w:divsChild>
        </w:div>
        <w:div w:id="789981135">
          <w:marLeft w:val="0"/>
          <w:marRight w:val="0"/>
          <w:marTop w:val="0"/>
          <w:marBottom w:val="0"/>
          <w:divBdr>
            <w:top w:val="none" w:sz="0" w:space="0" w:color="auto"/>
            <w:left w:val="none" w:sz="0" w:space="0" w:color="auto"/>
            <w:bottom w:val="none" w:sz="0" w:space="0" w:color="auto"/>
            <w:right w:val="none" w:sz="0" w:space="0" w:color="auto"/>
          </w:divBdr>
          <w:divsChild>
            <w:div w:id="240717519">
              <w:marLeft w:val="0"/>
              <w:marRight w:val="0"/>
              <w:marTop w:val="0"/>
              <w:marBottom w:val="0"/>
              <w:divBdr>
                <w:top w:val="none" w:sz="0" w:space="0" w:color="auto"/>
                <w:left w:val="none" w:sz="0" w:space="0" w:color="auto"/>
                <w:bottom w:val="none" w:sz="0" w:space="0" w:color="auto"/>
                <w:right w:val="none" w:sz="0" w:space="0" w:color="auto"/>
              </w:divBdr>
            </w:div>
          </w:divsChild>
        </w:div>
        <w:div w:id="1850676226">
          <w:marLeft w:val="0"/>
          <w:marRight w:val="0"/>
          <w:marTop w:val="0"/>
          <w:marBottom w:val="0"/>
          <w:divBdr>
            <w:top w:val="none" w:sz="0" w:space="0" w:color="auto"/>
            <w:left w:val="none" w:sz="0" w:space="0" w:color="auto"/>
            <w:bottom w:val="none" w:sz="0" w:space="0" w:color="auto"/>
            <w:right w:val="none" w:sz="0" w:space="0" w:color="auto"/>
          </w:divBdr>
          <w:divsChild>
            <w:div w:id="959530528">
              <w:marLeft w:val="0"/>
              <w:marRight w:val="0"/>
              <w:marTop w:val="0"/>
              <w:marBottom w:val="0"/>
              <w:divBdr>
                <w:top w:val="none" w:sz="0" w:space="0" w:color="auto"/>
                <w:left w:val="none" w:sz="0" w:space="0" w:color="auto"/>
                <w:bottom w:val="none" w:sz="0" w:space="0" w:color="auto"/>
                <w:right w:val="none" w:sz="0" w:space="0" w:color="auto"/>
              </w:divBdr>
            </w:div>
            <w:div w:id="1277180087">
              <w:marLeft w:val="0"/>
              <w:marRight w:val="0"/>
              <w:marTop w:val="0"/>
              <w:marBottom w:val="0"/>
              <w:divBdr>
                <w:top w:val="none" w:sz="0" w:space="0" w:color="auto"/>
                <w:left w:val="none" w:sz="0" w:space="0" w:color="auto"/>
                <w:bottom w:val="none" w:sz="0" w:space="0" w:color="auto"/>
                <w:right w:val="none" w:sz="0" w:space="0" w:color="auto"/>
              </w:divBdr>
            </w:div>
          </w:divsChild>
        </w:div>
        <w:div w:id="355234506">
          <w:marLeft w:val="0"/>
          <w:marRight w:val="0"/>
          <w:marTop w:val="0"/>
          <w:marBottom w:val="0"/>
          <w:divBdr>
            <w:top w:val="none" w:sz="0" w:space="0" w:color="auto"/>
            <w:left w:val="none" w:sz="0" w:space="0" w:color="auto"/>
            <w:bottom w:val="none" w:sz="0" w:space="0" w:color="auto"/>
            <w:right w:val="none" w:sz="0" w:space="0" w:color="auto"/>
          </w:divBdr>
          <w:divsChild>
            <w:div w:id="690299320">
              <w:marLeft w:val="0"/>
              <w:marRight w:val="0"/>
              <w:marTop w:val="0"/>
              <w:marBottom w:val="0"/>
              <w:divBdr>
                <w:top w:val="none" w:sz="0" w:space="0" w:color="auto"/>
                <w:left w:val="none" w:sz="0" w:space="0" w:color="auto"/>
                <w:bottom w:val="none" w:sz="0" w:space="0" w:color="auto"/>
                <w:right w:val="none" w:sz="0" w:space="0" w:color="auto"/>
              </w:divBdr>
            </w:div>
          </w:divsChild>
        </w:div>
        <w:div w:id="1751998075">
          <w:marLeft w:val="0"/>
          <w:marRight w:val="0"/>
          <w:marTop w:val="0"/>
          <w:marBottom w:val="0"/>
          <w:divBdr>
            <w:top w:val="none" w:sz="0" w:space="0" w:color="auto"/>
            <w:left w:val="none" w:sz="0" w:space="0" w:color="auto"/>
            <w:bottom w:val="none" w:sz="0" w:space="0" w:color="auto"/>
            <w:right w:val="none" w:sz="0" w:space="0" w:color="auto"/>
          </w:divBdr>
          <w:divsChild>
            <w:div w:id="1724406112">
              <w:marLeft w:val="0"/>
              <w:marRight w:val="0"/>
              <w:marTop w:val="0"/>
              <w:marBottom w:val="0"/>
              <w:divBdr>
                <w:top w:val="none" w:sz="0" w:space="0" w:color="auto"/>
                <w:left w:val="none" w:sz="0" w:space="0" w:color="auto"/>
                <w:bottom w:val="none" w:sz="0" w:space="0" w:color="auto"/>
                <w:right w:val="none" w:sz="0" w:space="0" w:color="auto"/>
              </w:divBdr>
            </w:div>
          </w:divsChild>
        </w:div>
        <w:div w:id="745734910">
          <w:marLeft w:val="0"/>
          <w:marRight w:val="0"/>
          <w:marTop w:val="0"/>
          <w:marBottom w:val="0"/>
          <w:divBdr>
            <w:top w:val="none" w:sz="0" w:space="0" w:color="auto"/>
            <w:left w:val="none" w:sz="0" w:space="0" w:color="auto"/>
            <w:bottom w:val="none" w:sz="0" w:space="0" w:color="auto"/>
            <w:right w:val="none" w:sz="0" w:space="0" w:color="auto"/>
          </w:divBdr>
          <w:divsChild>
            <w:div w:id="902183645">
              <w:marLeft w:val="0"/>
              <w:marRight w:val="0"/>
              <w:marTop w:val="0"/>
              <w:marBottom w:val="0"/>
              <w:divBdr>
                <w:top w:val="none" w:sz="0" w:space="0" w:color="auto"/>
                <w:left w:val="none" w:sz="0" w:space="0" w:color="auto"/>
                <w:bottom w:val="none" w:sz="0" w:space="0" w:color="auto"/>
                <w:right w:val="none" w:sz="0" w:space="0" w:color="auto"/>
              </w:divBdr>
            </w:div>
            <w:div w:id="1141537249">
              <w:marLeft w:val="0"/>
              <w:marRight w:val="0"/>
              <w:marTop w:val="0"/>
              <w:marBottom w:val="0"/>
              <w:divBdr>
                <w:top w:val="none" w:sz="0" w:space="0" w:color="auto"/>
                <w:left w:val="none" w:sz="0" w:space="0" w:color="auto"/>
                <w:bottom w:val="none" w:sz="0" w:space="0" w:color="auto"/>
                <w:right w:val="none" w:sz="0" w:space="0" w:color="auto"/>
              </w:divBdr>
            </w:div>
            <w:div w:id="1496341489">
              <w:marLeft w:val="0"/>
              <w:marRight w:val="0"/>
              <w:marTop w:val="0"/>
              <w:marBottom w:val="0"/>
              <w:divBdr>
                <w:top w:val="none" w:sz="0" w:space="0" w:color="auto"/>
                <w:left w:val="none" w:sz="0" w:space="0" w:color="auto"/>
                <w:bottom w:val="none" w:sz="0" w:space="0" w:color="auto"/>
                <w:right w:val="none" w:sz="0" w:space="0" w:color="auto"/>
              </w:divBdr>
            </w:div>
            <w:div w:id="1056391148">
              <w:marLeft w:val="0"/>
              <w:marRight w:val="0"/>
              <w:marTop w:val="0"/>
              <w:marBottom w:val="0"/>
              <w:divBdr>
                <w:top w:val="none" w:sz="0" w:space="0" w:color="auto"/>
                <w:left w:val="none" w:sz="0" w:space="0" w:color="auto"/>
                <w:bottom w:val="none" w:sz="0" w:space="0" w:color="auto"/>
                <w:right w:val="none" w:sz="0" w:space="0" w:color="auto"/>
              </w:divBdr>
            </w:div>
            <w:div w:id="1341931212">
              <w:marLeft w:val="0"/>
              <w:marRight w:val="0"/>
              <w:marTop w:val="0"/>
              <w:marBottom w:val="0"/>
              <w:divBdr>
                <w:top w:val="none" w:sz="0" w:space="0" w:color="auto"/>
                <w:left w:val="none" w:sz="0" w:space="0" w:color="auto"/>
                <w:bottom w:val="none" w:sz="0" w:space="0" w:color="auto"/>
                <w:right w:val="none" w:sz="0" w:space="0" w:color="auto"/>
              </w:divBdr>
            </w:div>
            <w:div w:id="6563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577">
      <w:bodyDiv w:val="1"/>
      <w:marLeft w:val="0"/>
      <w:marRight w:val="0"/>
      <w:marTop w:val="0"/>
      <w:marBottom w:val="0"/>
      <w:divBdr>
        <w:top w:val="none" w:sz="0" w:space="0" w:color="auto"/>
        <w:left w:val="none" w:sz="0" w:space="0" w:color="auto"/>
        <w:bottom w:val="none" w:sz="0" w:space="0" w:color="auto"/>
        <w:right w:val="none" w:sz="0" w:space="0" w:color="auto"/>
      </w:divBdr>
    </w:div>
    <w:div w:id="1341158168">
      <w:bodyDiv w:val="1"/>
      <w:marLeft w:val="0"/>
      <w:marRight w:val="0"/>
      <w:marTop w:val="0"/>
      <w:marBottom w:val="0"/>
      <w:divBdr>
        <w:top w:val="none" w:sz="0" w:space="0" w:color="auto"/>
        <w:left w:val="none" w:sz="0" w:space="0" w:color="auto"/>
        <w:bottom w:val="none" w:sz="0" w:space="0" w:color="auto"/>
        <w:right w:val="none" w:sz="0" w:space="0" w:color="auto"/>
      </w:divBdr>
    </w:div>
    <w:div w:id="1355418773">
      <w:bodyDiv w:val="1"/>
      <w:marLeft w:val="0"/>
      <w:marRight w:val="0"/>
      <w:marTop w:val="0"/>
      <w:marBottom w:val="0"/>
      <w:divBdr>
        <w:top w:val="none" w:sz="0" w:space="0" w:color="auto"/>
        <w:left w:val="none" w:sz="0" w:space="0" w:color="auto"/>
        <w:bottom w:val="none" w:sz="0" w:space="0" w:color="auto"/>
        <w:right w:val="none" w:sz="0" w:space="0" w:color="auto"/>
      </w:divBdr>
    </w:div>
    <w:div w:id="1363241192">
      <w:bodyDiv w:val="1"/>
      <w:marLeft w:val="0"/>
      <w:marRight w:val="0"/>
      <w:marTop w:val="0"/>
      <w:marBottom w:val="0"/>
      <w:divBdr>
        <w:top w:val="none" w:sz="0" w:space="0" w:color="auto"/>
        <w:left w:val="none" w:sz="0" w:space="0" w:color="auto"/>
        <w:bottom w:val="none" w:sz="0" w:space="0" w:color="auto"/>
        <w:right w:val="none" w:sz="0" w:space="0" w:color="auto"/>
      </w:divBdr>
      <w:divsChild>
        <w:div w:id="100416044">
          <w:marLeft w:val="0"/>
          <w:marRight w:val="0"/>
          <w:marTop w:val="0"/>
          <w:marBottom w:val="0"/>
          <w:divBdr>
            <w:top w:val="none" w:sz="0" w:space="0" w:color="auto"/>
            <w:left w:val="none" w:sz="0" w:space="0" w:color="auto"/>
            <w:bottom w:val="none" w:sz="0" w:space="0" w:color="auto"/>
            <w:right w:val="none" w:sz="0" w:space="0" w:color="auto"/>
          </w:divBdr>
        </w:div>
      </w:divsChild>
    </w:div>
    <w:div w:id="1403481227">
      <w:bodyDiv w:val="1"/>
      <w:marLeft w:val="0"/>
      <w:marRight w:val="0"/>
      <w:marTop w:val="0"/>
      <w:marBottom w:val="0"/>
      <w:divBdr>
        <w:top w:val="none" w:sz="0" w:space="0" w:color="auto"/>
        <w:left w:val="none" w:sz="0" w:space="0" w:color="auto"/>
        <w:bottom w:val="none" w:sz="0" w:space="0" w:color="auto"/>
        <w:right w:val="none" w:sz="0" w:space="0" w:color="auto"/>
      </w:divBdr>
    </w:div>
    <w:div w:id="1552502991">
      <w:bodyDiv w:val="1"/>
      <w:marLeft w:val="0"/>
      <w:marRight w:val="0"/>
      <w:marTop w:val="0"/>
      <w:marBottom w:val="0"/>
      <w:divBdr>
        <w:top w:val="none" w:sz="0" w:space="0" w:color="auto"/>
        <w:left w:val="none" w:sz="0" w:space="0" w:color="auto"/>
        <w:bottom w:val="none" w:sz="0" w:space="0" w:color="auto"/>
        <w:right w:val="none" w:sz="0" w:space="0" w:color="auto"/>
      </w:divBdr>
    </w:div>
    <w:div w:id="1664430592">
      <w:bodyDiv w:val="1"/>
      <w:marLeft w:val="0"/>
      <w:marRight w:val="0"/>
      <w:marTop w:val="0"/>
      <w:marBottom w:val="0"/>
      <w:divBdr>
        <w:top w:val="none" w:sz="0" w:space="0" w:color="auto"/>
        <w:left w:val="none" w:sz="0" w:space="0" w:color="auto"/>
        <w:bottom w:val="none" w:sz="0" w:space="0" w:color="auto"/>
        <w:right w:val="none" w:sz="0" w:space="0" w:color="auto"/>
      </w:divBdr>
    </w:div>
    <w:div w:id="1665428535">
      <w:bodyDiv w:val="1"/>
      <w:marLeft w:val="0"/>
      <w:marRight w:val="0"/>
      <w:marTop w:val="0"/>
      <w:marBottom w:val="0"/>
      <w:divBdr>
        <w:top w:val="none" w:sz="0" w:space="0" w:color="auto"/>
        <w:left w:val="none" w:sz="0" w:space="0" w:color="auto"/>
        <w:bottom w:val="none" w:sz="0" w:space="0" w:color="auto"/>
        <w:right w:val="none" w:sz="0" w:space="0" w:color="auto"/>
      </w:divBdr>
      <w:divsChild>
        <w:div w:id="912398851">
          <w:marLeft w:val="0"/>
          <w:marRight w:val="0"/>
          <w:marTop w:val="0"/>
          <w:marBottom w:val="0"/>
          <w:divBdr>
            <w:top w:val="none" w:sz="0" w:space="0" w:color="auto"/>
            <w:left w:val="none" w:sz="0" w:space="0" w:color="auto"/>
            <w:bottom w:val="none" w:sz="0" w:space="0" w:color="auto"/>
            <w:right w:val="none" w:sz="0" w:space="0" w:color="auto"/>
          </w:divBdr>
          <w:divsChild>
            <w:div w:id="1629553626">
              <w:marLeft w:val="0"/>
              <w:marRight w:val="0"/>
              <w:marTop w:val="0"/>
              <w:marBottom w:val="0"/>
              <w:divBdr>
                <w:top w:val="none" w:sz="0" w:space="0" w:color="auto"/>
                <w:left w:val="none" w:sz="0" w:space="0" w:color="auto"/>
                <w:bottom w:val="none" w:sz="0" w:space="0" w:color="auto"/>
                <w:right w:val="none" w:sz="0" w:space="0" w:color="auto"/>
              </w:divBdr>
            </w:div>
            <w:div w:id="1118724089">
              <w:marLeft w:val="0"/>
              <w:marRight w:val="0"/>
              <w:marTop w:val="0"/>
              <w:marBottom w:val="0"/>
              <w:divBdr>
                <w:top w:val="none" w:sz="0" w:space="0" w:color="auto"/>
                <w:left w:val="none" w:sz="0" w:space="0" w:color="auto"/>
                <w:bottom w:val="none" w:sz="0" w:space="0" w:color="auto"/>
                <w:right w:val="none" w:sz="0" w:space="0" w:color="auto"/>
              </w:divBdr>
            </w:div>
            <w:div w:id="1918633195">
              <w:marLeft w:val="0"/>
              <w:marRight w:val="0"/>
              <w:marTop w:val="0"/>
              <w:marBottom w:val="0"/>
              <w:divBdr>
                <w:top w:val="none" w:sz="0" w:space="0" w:color="auto"/>
                <w:left w:val="none" w:sz="0" w:space="0" w:color="auto"/>
                <w:bottom w:val="none" w:sz="0" w:space="0" w:color="auto"/>
                <w:right w:val="none" w:sz="0" w:space="0" w:color="auto"/>
              </w:divBdr>
            </w:div>
          </w:divsChild>
        </w:div>
        <w:div w:id="1793089272">
          <w:marLeft w:val="0"/>
          <w:marRight w:val="0"/>
          <w:marTop w:val="0"/>
          <w:marBottom w:val="0"/>
          <w:divBdr>
            <w:top w:val="none" w:sz="0" w:space="0" w:color="auto"/>
            <w:left w:val="none" w:sz="0" w:space="0" w:color="auto"/>
            <w:bottom w:val="none" w:sz="0" w:space="0" w:color="auto"/>
            <w:right w:val="none" w:sz="0" w:space="0" w:color="auto"/>
          </w:divBdr>
          <w:divsChild>
            <w:div w:id="1717898674">
              <w:marLeft w:val="0"/>
              <w:marRight w:val="0"/>
              <w:marTop w:val="0"/>
              <w:marBottom w:val="0"/>
              <w:divBdr>
                <w:top w:val="none" w:sz="0" w:space="0" w:color="auto"/>
                <w:left w:val="none" w:sz="0" w:space="0" w:color="auto"/>
                <w:bottom w:val="none" w:sz="0" w:space="0" w:color="auto"/>
                <w:right w:val="none" w:sz="0" w:space="0" w:color="auto"/>
              </w:divBdr>
            </w:div>
          </w:divsChild>
        </w:div>
        <w:div w:id="1198932568">
          <w:marLeft w:val="0"/>
          <w:marRight w:val="0"/>
          <w:marTop w:val="0"/>
          <w:marBottom w:val="0"/>
          <w:divBdr>
            <w:top w:val="none" w:sz="0" w:space="0" w:color="auto"/>
            <w:left w:val="none" w:sz="0" w:space="0" w:color="auto"/>
            <w:bottom w:val="none" w:sz="0" w:space="0" w:color="auto"/>
            <w:right w:val="none" w:sz="0" w:space="0" w:color="auto"/>
          </w:divBdr>
          <w:divsChild>
            <w:div w:id="1777434152">
              <w:marLeft w:val="0"/>
              <w:marRight w:val="0"/>
              <w:marTop w:val="0"/>
              <w:marBottom w:val="0"/>
              <w:divBdr>
                <w:top w:val="none" w:sz="0" w:space="0" w:color="auto"/>
                <w:left w:val="none" w:sz="0" w:space="0" w:color="auto"/>
                <w:bottom w:val="none" w:sz="0" w:space="0" w:color="auto"/>
                <w:right w:val="none" w:sz="0" w:space="0" w:color="auto"/>
              </w:divBdr>
            </w:div>
            <w:div w:id="2089229125">
              <w:marLeft w:val="0"/>
              <w:marRight w:val="0"/>
              <w:marTop w:val="0"/>
              <w:marBottom w:val="0"/>
              <w:divBdr>
                <w:top w:val="none" w:sz="0" w:space="0" w:color="auto"/>
                <w:left w:val="none" w:sz="0" w:space="0" w:color="auto"/>
                <w:bottom w:val="none" w:sz="0" w:space="0" w:color="auto"/>
                <w:right w:val="none" w:sz="0" w:space="0" w:color="auto"/>
              </w:divBdr>
            </w:div>
          </w:divsChild>
        </w:div>
        <w:div w:id="1744832308">
          <w:marLeft w:val="0"/>
          <w:marRight w:val="0"/>
          <w:marTop w:val="0"/>
          <w:marBottom w:val="0"/>
          <w:divBdr>
            <w:top w:val="none" w:sz="0" w:space="0" w:color="auto"/>
            <w:left w:val="none" w:sz="0" w:space="0" w:color="auto"/>
            <w:bottom w:val="none" w:sz="0" w:space="0" w:color="auto"/>
            <w:right w:val="none" w:sz="0" w:space="0" w:color="auto"/>
          </w:divBdr>
          <w:divsChild>
            <w:div w:id="1352756418">
              <w:marLeft w:val="0"/>
              <w:marRight w:val="0"/>
              <w:marTop w:val="0"/>
              <w:marBottom w:val="0"/>
              <w:divBdr>
                <w:top w:val="none" w:sz="0" w:space="0" w:color="auto"/>
                <w:left w:val="none" w:sz="0" w:space="0" w:color="auto"/>
                <w:bottom w:val="none" w:sz="0" w:space="0" w:color="auto"/>
                <w:right w:val="none" w:sz="0" w:space="0" w:color="auto"/>
              </w:divBdr>
            </w:div>
          </w:divsChild>
        </w:div>
        <w:div w:id="1358461798">
          <w:marLeft w:val="0"/>
          <w:marRight w:val="0"/>
          <w:marTop w:val="0"/>
          <w:marBottom w:val="0"/>
          <w:divBdr>
            <w:top w:val="none" w:sz="0" w:space="0" w:color="auto"/>
            <w:left w:val="none" w:sz="0" w:space="0" w:color="auto"/>
            <w:bottom w:val="none" w:sz="0" w:space="0" w:color="auto"/>
            <w:right w:val="none" w:sz="0" w:space="0" w:color="auto"/>
          </w:divBdr>
          <w:divsChild>
            <w:div w:id="1316179095">
              <w:marLeft w:val="0"/>
              <w:marRight w:val="0"/>
              <w:marTop w:val="0"/>
              <w:marBottom w:val="0"/>
              <w:divBdr>
                <w:top w:val="none" w:sz="0" w:space="0" w:color="auto"/>
                <w:left w:val="none" w:sz="0" w:space="0" w:color="auto"/>
                <w:bottom w:val="none" w:sz="0" w:space="0" w:color="auto"/>
                <w:right w:val="none" w:sz="0" w:space="0" w:color="auto"/>
              </w:divBdr>
            </w:div>
            <w:div w:id="1537541536">
              <w:marLeft w:val="0"/>
              <w:marRight w:val="0"/>
              <w:marTop w:val="0"/>
              <w:marBottom w:val="0"/>
              <w:divBdr>
                <w:top w:val="none" w:sz="0" w:space="0" w:color="auto"/>
                <w:left w:val="none" w:sz="0" w:space="0" w:color="auto"/>
                <w:bottom w:val="none" w:sz="0" w:space="0" w:color="auto"/>
                <w:right w:val="none" w:sz="0" w:space="0" w:color="auto"/>
              </w:divBdr>
            </w:div>
          </w:divsChild>
        </w:div>
        <w:div w:id="56519014">
          <w:marLeft w:val="0"/>
          <w:marRight w:val="0"/>
          <w:marTop w:val="0"/>
          <w:marBottom w:val="0"/>
          <w:divBdr>
            <w:top w:val="none" w:sz="0" w:space="0" w:color="auto"/>
            <w:left w:val="none" w:sz="0" w:space="0" w:color="auto"/>
            <w:bottom w:val="none" w:sz="0" w:space="0" w:color="auto"/>
            <w:right w:val="none" w:sz="0" w:space="0" w:color="auto"/>
          </w:divBdr>
          <w:divsChild>
            <w:div w:id="446239178">
              <w:marLeft w:val="0"/>
              <w:marRight w:val="0"/>
              <w:marTop w:val="0"/>
              <w:marBottom w:val="0"/>
              <w:divBdr>
                <w:top w:val="none" w:sz="0" w:space="0" w:color="auto"/>
                <w:left w:val="none" w:sz="0" w:space="0" w:color="auto"/>
                <w:bottom w:val="none" w:sz="0" w:space="0" w:color="auto"/>
                <w:right w:val="none" w:sz="0" w:space="0" w:color="auto"/>
              </w:divBdr>
            </w:div>
          </w:divsChild>
        </w:div>
        <w:div w:id="1466119546">
          <w:marLeft w:val="0"/>
          <w:marRight w:val="0"/>
          <w:marTop w:val="0"/>
          <w:marBottom w:val="0"/>
          <w:divBdr>
            <w:top w:val="none" w:sz="0" w:space="0" w:color="auto"/>
            <w:left w:val="none" w:sz="0" w:space="0" w:color="auto"/>
            <w:bottom w:val="none" w:sz="0" w:space="0" w:color="auto"/>
            <w:right w:val="none" w:sz="0" w:space="0" w:color="auto"/>
          </w:divBdr>
          <w:divsChild>
            <w:div w:id="239097737">
              <w:marLeft w:val="0"/>
              <w:marRight w:val="0"/>
              <w:marTop w:val="0"/>
              <w:marBottom w:val="0"/>
              <w:divBdr>
                <w:top w:val="none" w:sz="0" w:space="0" w:color="auto"/>
                <w:left w:val="none" w:sz="0" w:space="0" w:color="auto"/>
                <w:bottom w:val="none" w:sz="0" w:space="0" w:color="auto"/>
                <w:right w:val="none" w:sz="0" w:space="0" w:color="auto"/>
              </w:divBdr>
            </w:div>
          </w:divsChild>
        </w:div>
        <w:div w:id="2100978173">
          <w:marLeft w:val="0"/>
          <w:marRight w:val="0"/>
          <w:marTop w:val="0"/>
          <w:marBottom w:val="0"/>
          <w:divBdr>
            <w:top w:val="none" w:sz="0" w:space="0" w:color="auto"/>
            <w:left w:val="none" w:sz="0" w:space="0" w:color="auto"/>
            <w:bottom w:val="none" w:sz="0" w:space="0" w:color="auto"/>
            <w:right w:val="none" w:sz="0" w:space="0" w:color="auto"/>
          </w:divBdr>
          <w:divsChild>
            <w:div w:id="438456307">
              <w:marLeft w:val="0"/>
              <w:marRight w:val="0"/>
              <w:marTop w:val="0"/>
              <w:marBottom w:val="0"/>
              <w:divBdr>
                <w:top w:val="none" w:sz="0" w:space="0" w:color="auto"/>
                <w:left w:val="none" w:sz="0" w:space="0" w:color="auto"/>
                <w:bottom w:val="none" w:sz="0" w:space="0" w:color="auto"/>
                <w:right w:val="none" w:sz="0" w:space="0" w:color="auto"/>
              </w:divBdr>
            </w:div>
            <w:div w:id="885409549">
              <w:marLeft w:val="0"/>
              <w:marRight w:val="0"/>
              <w:marTop w:val="0"/>
              <w:marBottom w:val="0"/>
              <w:divBdr>
                <w:top w:val="none" w:sz="0" w:space="0" w:color="auto"/>
                <w:left w:val="none" w:sz="0" w:space="0" w:color="auto"/>
                <w:bottom w:val="none" w:sz="0" w:space="0" w:color="auto"/>
                <w:right w:val="none" w:sz="0" w:space="0" w:color="auto"/>
              </w:divBdr>
            </w:div>
            <w:div w:id="1573395310">
              <w:marLeft w:val="0"/>
              <w:marRight w:val="0"/>
              <w:marTop w:val="0"/>
              <w:marBottom w:val="0"/>
              <w:divBdr>
                <w:top w:val="none" w:sz="0" w:space="0" w:color="auto"/>
                <w:left w:val="none" w:sz="0" w:space="0" w:color="auto"/>
                <w:bottom w:val="none" w:sz="0" w:space="0" w:color="auto"/>
                <w:right w:val="none" w:sz="0" w:space="0" w:color="auto"/>
              </w:divBdr>
            </w:div>
            <w:div w:id="1672757638">
              <w:marLeft w:val="0"/>
              <w:marRight w:val="0"/>
              <w:marTop w:val="0"/>
              <w:marBottom w:val="0"/>
              <w:divBdr>
                <w:top w:val="none" w:sz="0" w:space="0" w:color="auto"/>
                <w:left w:val="none" w:sz="0" w:space="0" w:color="auto"/>
                <w:bottom w:val="none" w:sz="0" w:space="0" w:color="auto"/>
                <w:right w:val="none" w:sz="0" w:space="0" w:color="auto"/>
              </w:divBdr>
            </w:div>
            <w:div w:id="1202284270">
              <w:marLeft w:val="0"/>
              <w:marRight w:val="0"/>
              <w:marTop w:val="0"/>
              <w:marBottom w:val="0"/>
              <w:divBdr>
                <w:top w:val="none" w:sz="0" w:space="0" w:color="auto"/>
                <w:left w:val="none" w:sz="0" w:space="0" w:color="auto"/>
                <w:bottom w:val="none" w:sz="0" w:space="0" w:color="auto"/>
                <w:right w:val="none" w:sz="0" w:space="0" w:color="auto"/>
              </w:divBdr>
            </w:div>
            <w:div w:id="15834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475">
      <w:bodyDiv w:val="1"/>
      <w:marLeft w:val="0"/>
      <w:marRight w:val="0"/>
      <w:marTop w:val="0"/>
      <w:marBottom w:val="0"/>
      <w:divBdr>
        <w:top w:val="none" w:sz="0" w:space="0" w:color="auto"/>
        <w:left w:val="none" w:sz="0" w:space="0" w:color="auto"/>
        <w:bottom w:val="none" w:sz="0" w:space="0" w:color="auto"/>
        <w:right w:val="none" w:sz="0" w:space="0" w:color="auto"/>
      </w:divBdr>
    </w:div>
    <w:div w:id="1807966838">
      <w:bodyDiv w:val="1"/>
      <w:marLeft w:val="0"/>
      <w:marRight w:val="0"/>
      <w:marTop w:val="0"/>
      <w:marBottom w:val="0"/>
      <w:divBdr>
        <w:top w:val="none" w:sz="0" w:space="0" w:color="auto"/>
        <w:left w:val="none" w:sz="0" w:space="0" w:color="auto"/>
        <w:bottom w:val="none" w:sz="0" w:space="0" w:color="auto"/>
        <w:right w:val="none" w:sz="0" w:space="0" w:color="auto"/>
      </w:divBdr>
    </w:div>
    <w:div w:id="1842349562">
      <w:bodyDiv w:val="1"/>
      <w:marLeft w:val="0"/>
      <w:marRight w:val="0"/>
      <w:marTop w:val="0"/>
      <w:marBottom w:val="0"/>
      <w:divBdr>
        <w:top w:val="none" w:sz="0" w:space="0" w:color="auto"/>
        <w:left w:val="none" w:sz="0" w:space="0" w:color="auto"/>
        <w:bottom w:val="none" w:sz="0" w:space="0" w:color="auto"/>
        <w:right w:val="none" w:sz="0" w:space="0" w:color="auto"/>
      </w:divBdr>
    </w:div>
    <w:div w:id="1843280513">
      <w:bodyDiv w:val="1"/>
      <w:marLeft w:val="0"/>
      <w:marRight w:val="0"/>
      <w:marTop w:val="0"/>
      <w:marBottom w:val="0"/>
      <w:divBdr>
        <w:top w:val="none" w:sz="0" w:space="0" w:color="auto"/>
        <w:left w:val="none" w:sz="0" w:space="0" w:color="auto"/>
        <w:bottom w:val="none" w:sz="0" w:space="0" w:color="auto"/>
        <w:right w:val="none" w:sz="0" w:space="0" w:color="auto"/>
      </w:divBdr>
    </w:div>
    <w:div w:id="1846162622">
      <w:bodyDiv w:val="1"/>
      <w:marLeft w:val="0"/>
      <w:marRight w:val="0"/>
      <w:marTop w:val="0"/>
      <w:marBottom w:val="0"/>
      <w:divBdr>
        <w:top w:val="none" w:sz="0" w:space="0" w:color="auto"/>
        <w:left w:val="none" w:sz="0" w:space="0" w:color="auto"/>
        <w:bottom w:val="none" w:sz="0" w:space="0" w:color="auto"/>
        <w:right w:val="none" w:sz="0" w:space="0" w:color="auto"/>
      </w:divBdr>
    </w:div>
    <w:div w:id="1916237636">
      <w:bodyDiv w:val="1"/>
      <w:marLeft w:val="0"/>
      <w:marRight w:val="0"/>
      <w:marTop w:val="0"/>
      <w:marBottom w:val="0"/>
      <w:divBdr>
        <w:top w:val="none" w:sz="0" w:space="0" w:color="auto"/>
        <w:left w:val="none" w:sz="0" w:space="0" w:color="auto"/>
        <w:bottom w:val="none" w:sz="0" w:space="0" w:color="auto"/>
        <w:right w:val="none" w:sz="0" w:space="0" w:color="auto"/>
      </w:divBdr>
    </w:div>
    <w:div w:id="1932812281">
      <w:bodyDiv w:val="1"/>
      <w:marLeft w:val="0"/>
      <w:marRight w:val="0"/>
      <w:marTop w:val="0"/>
      <w:marBottom w:val="0"/>
      <w:divBdr>
        <w:top w:val="none" w:sz="0" w:space="0" w:color="auto"/>
        <w:left w:val="none" w:sz="0" w:space="0" w:color="auto"/>
        <w:bottom w:val="none" w:sz="0" w:space="0" w:color="auto"/>
        <w:right w:val="none" w:sz="0" w:space="0" w:color="auto"/>
      </w:divBdr>
    </w:div>
    <w:div w:id="1936398046">
      <w:bodyDiv w:val="1"/>
      <w:marLeft w:val="0"/>
      <w:marRight w:val="0"/>
      <w:marTop w:val="0"/>
      <w:marBottom w:val="0"/>
      <w:divBdr>
        <w:top w:val="none" w:sz="0" w:space="0" w:color="auto"/>
        <w:left w:val="none" w:sz="0" w:space="0" w:color="auto"/>
        <w:bottom w:val="none" w:sz="0" w:space="0" w:color="auto"/>
        <w:right w:val="none" w:sz="0" w:space="0" w:color="auto"/>
      </w:divBdr>
    </w:div>
    <w:div w:id="1965773688">
      <w:bodyDiv w:val="1"/>
      <w:marLeft w:val="0"/>
      <w:marRight w:val="0"/>
      <w:marTop w:val="0"/>
      <w:marBottom w:val="0"/>
      <w:divBdr>
        <w:top w:val="none" w:sz="0" w:space="0" w:color="auto"/>
        <w:left w:val="none" w:sz="0" w:space="0" w:color="auto"/>
        <w:bottom w:val="none" w:sz="0" w:space="0" w:color="auto"/>
        <w:right w:val="none" w:sz="0" w:space="0" w:color="auto"/>
      </w:divBdr>
    </w:div>
    <w:div w:id="1994337704">
      <w:bodyDiv w:val="1"/>
      <w:marLeft w:val="0"/>
      <w:marRight w:val="0"/>
      <w:marTop w:val="0"/>
      <w:marBottom w:val="0"/>
      <w:divBdr>
        <w:top w:val="none" w:sz="0" w:space="0" w:color="auto"/>
        <w:left w:val="none" w:sz="0" w:space="0" w:color="auto"/>
        <w:bottom w:val="none" w:sz="0" w:space="0" w:color="auto"/>
        <w:right w:val="none" w:sz="0" w:space="0" w:color="auto"/>
      </w:divBdr>
    </w:div>
    <w:div w:id="2061321247">
      <w:bodyDiv w:val="1"/>
      <w:marLeft w:val="0"/>
      <w:marRight w:val="0"/>
      <w:marTop w:val="0"/>
      <w:marBottom w:val="0"/>
      <w:divBdr>
        <w:top w:val="none" w:sz="0" w:space="0" w:color="auto"/>
        <w:left w:val="none" w:sz="0" w:space="0" w:color="auto"/>
        <w:bottom w:val="none" w:sz="0" w:space="0" w:color="auto"/>
        <w:right w:val="none" w:sz="0" w:space="0" w:color="auto"/>
      </w:divBdr>
    </w:div>
    <w:div w:id="2074542675">
      <w:bodyDiv w:val="1"/>
      <w:marLeft w:val="0"/>
      <w:marRight w:val="0"/>
      <w:marTop w:val="0"/>
      <w:marBottom w:val="0"/>
      <w:divBdr>
        <w:top w:val="none" w:sz="0" w:space="0" w:color="auto"/>
        <w:left w:val="none" w:sz="0" w:space="0" w:color="auto"/>
        <w:bottom w:val="none" w:sz="0" w:space="0" w:color="auto"/>
        <w:right w:val="none" w:sz="0" w:space="0" w:color="auto"/>
      </w:divBdr>
    </w:div>
    <w:div w:id="2114781735">
      <w:bodyDiv w:val="1"/>
      <w:marLeft w:val="0"/>
      <w:marRight w:val="0"/>
      <w:marTop w:val="0"/>
      <w:marBottom w:val="0"/>
      <w:divBdr>
        <w:top w:val="none" w:sz="0" w:space="0" w:color="auto"/>
        <w:left w:val="none" w:sz="0" w:space="0" w:color="auto"/>
        <w:bottom w:val="none" w:sz="0" w:space="0" w:color="auto"/>
        <w:right w:val="none" w:sz="0" w:space="0" w:color="auto"/>
      </w:divBdr>
    </w:div>
    <w:div w:id="2118787703">
      <w:bodyDiv w:val="1"/>
      <w:marLeft w:val="0"/>
      <w:marRight w:val="0"/>
      <w:marTop w:val="0"/>
      <w:marBottom w:val="0"/>
      <w:divBdr>
        <w:top w:val="none" w:sz="0" w:space="0" w:color="auto"/>
        <w:left w:val="none" w:sz="0" w:space="0" w:color="auto"/>
        <w:bottom w:val="none" w:sz="0" w:space="0" w:color="auto"/>
        <w:right w:val="none" w:sz="0" w:space="0" w:color="auto"/>
      </w:divBdr>
    </w:div>
    <w:div w:id="21438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las.ohdsi.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tlas.ohdsi.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hdsi-studies.github.io/Eumaeus/Protoco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las.ohdsi.org/" TargetMode="External"/><Relationship Id="rId5" Type="http://schemas.openxmlformats.org/officeDocument/2006/relationships/styles" Target="styles.xml"/><Relationship Id="rId15" Type="http://schemas.openxmlformats.org/officeDocument/2006/relationships/hyperlink" Target="https://atlas.ohdsi.org/" TargetMode="External"/><Relationship Id="rId10" Type="http://schemas.openxmlformats.org/officeDocument/2006/relationships/hyperlink" Target="https://github.com/OHDSI/CommonDataMode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las.ohd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7AF3FDC31D3D46A02B08F070440626" ma:contentTypeVersion="6" ma:contentTypeDescription="Create a new document." ma:contentTypeScope="" ma:versionID="e3f3615b12c66c4c9a9a5291a61ea9a8">
  <xsd:schema xmlns:xsd="http://www.w3.org/2001/XMLSchema" xmlns:xs="http://www.w3.org/2001/XMLSchema" xmlns:p="http://schemas.microsoft.com/office/2006/metadata/properties" xmlns:ns2="47b44f16-0e8a-4cd5-af1d-dd9048ac4de1" xmlns:ns3="2d22da4f-1f5c-401b-8fcb-75f0d4e1e0d1" targetNamespace="http://schemas.microsoft.com/office/2006/metadata/properties" ma:root="true" ma:fieldsID="aad4c98ff6d44379ea5ccc5f01b892b5" ns2:_="" ns3:_="">
    <xsd:import namespace="47b44f16-0e8a-4cd5-af1d-dd9048ac4de1"/>
    <xsd:import namespace="2d22da4f-1f5c-401b-8fcb-75f0d4e1e0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44f16-0e8a-4cd5-af1d-dd9048ac4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22da4f-1f5c-401b-8fcb-75f0d4e1e0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2A8B2B-24AC-4072-861F-41500BD64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44f16-0e8a-4cd5-af1d-dd9048ac4de1"/>
    <ds:schemaRef ds:uri="2d22da4f-1f5c-401b-8fcb-75f0d4e1e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28E9B6-3304-4560-BC97-2D53F35565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1E251-7EF0-4BCE-AF38-BA75CD2394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4940</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Patrick [JRDUS]</dc:creator>
  <cp:keywords/>
  <dc:description/>
  <cp:lastModifiedBy>Anna Ostropolets</cp:lastModifiedBy>
  <cp:revision>64</cp:revision>
  <dcterms:created xsi:type="dcterms:W3CDTF">2021-04-27T13:42:00Z</dcterms:created>
  <dcterms:modified xsi:type="dcterms:W3CDTF">2021-07-15T18:06:00Z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0x010100B67AF3FDC31D3D46A02B08F070440626</vt:lpwstr>
  </property>
  <property fmtid="{D5CDD505-2E9C-101B-9397-08002B2CF9AE}" pid="3" name="ZOTERO_PREF_1">
    <vt:lpwstr>&lt;data data-version="3" zotero-version="5.0.96.2"&gt;&lt;session id="cRtUfzta"/&gt;&lt;style id="http://www.zotero.org/styles/vancouver" locale="en-US" hasBibliography="1" bibliographyStyleHasBeenSet="1"/&gt;&lt;prefs&gt;&lt;pref name="fieldType" value="Field"/&gt;&lt;pref name="automa</vt:lpwstr>
  </property>
  <property fmtid="{D5CDD505-2E9C-101B-9397-08002B2CF9AE}" pid="4" name="ZOTERO_PREF_2">
    <vt:lpwstr>ticJournalAbbreviations" value="true"/&gt;&lt;/prefs&gt;&lt;/data&gt;</vt:lpwstr>
  </property>
</Properties>
</file>