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EC21" w14:textId="2F5DB142" w:rsidR="00017B7A" w:rsidRDefault="00017B7A" w:rsidP="00116870">
      <w:pPr>
        <w:pStyle w:val="Title"/>
        <w:rPr>
          <w:shd w:val="clear" w:color="auto" w:fill="FFFFFF"/>
        </w:rPr>
      </w:pPr>
      <w:r w:rsidRPr="00017B7A">
        <w:rPr>
          <w:shd w:val="clear" w:color="auto" w:fill="FFFFFF"/>
        </w:rPr>
        <w:t>RESEARCH PROTOCOL</w:t>
      </w:r>
    </w:p>
    <w:p w14:paraId="3865F8C2" w14:textId="77777777" w:rsidR="00017B7A" w:rsidRPr="00017B7A" w:rsidRDefault="00017B7A" w:rsidP="00017B7A">
      <w:pPr>
        <w:jc w:val="center"/>
      </w:pPr>
    </w:p>
    <w:p w14:paraId="7A0BBF0D" w14:textId="7B74422D" w:rsidR="00E408B9" w:rsidRDefault="00813D3B" w:rsidP="00017B7A">
      <w:pPr>
        <w:jc w:val="center"/>
      </w:pPr>
      <w:r>
        <w:t xml:space="preserve">PROPOSAL FOR </w:t>
      </w:r>
      <w:r w:rsidR="007377B9">
        <w:t xml:space="preserve">PEDIATRIC </w:t>
      </w:r>
      <w:r>
        <w:t xml:space="preserve">CHARACTERIZATION ACROSS </w:t>
      </w:r>
      <w:r w:rsidR="007A23CF">
        <w:t>A NETWORK</w:t>
      </w:r>
    </w:p>
    <w:p w14:paraId="7BB419FA" w14:textId="790F14F9" w:rsidR="00893F8E" w:rsidRDefault="00017B7A">
      <w:r>
        <w:t xml:space="preserve">Version </w:t>
      </w:r>
      <w:r w:rsidR="00466BFD" w:rsidRPr="005F7B69">
        <w:t>0.1</w:t>
      </w:r>
    </w:p>
    <w:p w14:paraId="08FEEBC3" w14:textId="59F3EE4C" w:rsidR="00017B7A" w:rsidRDefault="00017B7A" w:rsidP="00116870">
      <w:pPr>
        <w:pStyle w:val="Heading1"/>
      </w:pPr>
      <w:r w:rsidRPr="00017B7A">
        <w:t>List of Abbreviations</w:t>
      </w:r>
    </w:p>
    <w:tbl>
      <w:tblPr>
        <w:tblStyle w:val="TableGrid"/>
        <w:tblW w:w="0" w:type="auto"/>
        <w:tblLook w:val="04A0" w:firstRow="1" w:lastRow="0" w:firstColumn="1" w:lastColumn="0" w:noHBand="0" w:noVBand="1"/>
      </w:tblPr>
      <w:tblGrid>
        <w:gridCol w:w="1705"/>
        <w:gridCol w:w="7645"/>
      </w:tblGrid>
      <w:tr w:rsidR="00E913D4" w:rsidRPr="00E913D4" w14:paraId="19741789" w14:textId="77777777" w:rsidTr="006247B1">
        <w:tc>
          <w:tcPr>
            <w:tcW w:w="1705" w:type="dxa"/>
            <w:hideMark/>
          </w:tcPr>
          <w:p w14:paraId="704A9C1B"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CCAE</w:t>
            </w:r>
          </w:p>
        </w:tc>
        <w:tc>
          <w:tcPr>
            <w:tcW w:w="7645" w:type="dxa"/>
            <w:hideMark/>
          </w:tcPr>
          <w:p w14:paraId="7953A87F"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 xml:space="preserve">IBM </w:t>
            </w:r>
            <w:proofErr w:type="spellStart"/>
            <w:r w:rsidRPr="00E913D4">
              <w:rPr>
                <w:rFonts w:eastAsia="Times New Roman" w:cstheme="minorHAnsi"/>
                <w:color w:val="333333"/>
              </w:rPr>
              <w:t>MarketScan</w:t>
            </w:r>
            <w:proofErr w:type="spellEnd"/>
            <w:r w:rsidRPr="00E913D4">
              <w:rPr>
                <w:rFonts w:eastAsia="Times New Roman" w:cstheme="minorHAnsi"/>
                <w:color w:val="333333"/>
              </w:rPr>
              <w:t>(R) Commercial Claims and Encounters</w:t>
            </w:r>
          </w:p>
        </w:tc>
      </w:tr>
      <w:tr w:rsidR="00E913D4" w:rsidRPr="00E913D4" w14:paraId="38CF02A8" w14:textId="77777777" w:rsidTr="006247B1">
        <w:tc>
          <w:tcPr>
            <w:tcW w:w="1705" w:type="dxa"/>
            <w:hideMark/>
          </w:tcPr>
          <w:p w14:paraId="15B79EF1"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CDM</w:t>
            </w:r>
          </w:p>
        </w:tc>
        <w:tc>
          <w:tcPr>
            <w:tcW w:w="7645" w:type="dxa"/>
            <w:hideMark/>
          </w:tcPr>
          <w:p w14:paraId="4059318F"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Common Data Model</w:t>
            </w:r>
          </w:p>
        </w:tc>
      </w:tr>
      <w:tr w:rsidR="00E913D4" w:rsidRPr="00E913D4" w14:paraId="5CA19A81" w14:textId="77777777" w:rsidTr="006247B1">
        <w:tc>
          <w:tcPr>
            <w:tcW w:w="1705" w:type="dxa"/>
            <w:hideMark/>
          </w:tcPr>
          <w:p w14:paraId="3B2977E6"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CUIMC</w:t>
            </w:r>
          </w:p>
        </w:tc>
        <w:tc>
          <w:tcPr>
            <w:tcW w:w="7645" w:type="dxa"/>
            <w:hideMark/>
          </w:tcPr>
          <w:p w14:paraId="40E9990F"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Columbia University Irving Medical Center</w:t>
            </w:r>
          </w:p>
        </w:tc>
      </w:tr>
      <w:tr w:rsidR="00E913D4" w:rsidRPr="00E913D4" w14:paraId="2DCABD84" w14:textId="77777777" w:rsidTr="006247B1">
        <w:tc>
          <w:tcPr>
            <w:tcW w:w="1705" w:type="dxa"/>
            <w:hideMark/>
          </w:tcPr>
          <w:p w14:paraId="3EB140B2"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DA</w:t>
            </w:r>
          </w:p>
        </w:tc>
        <w:tc>
          <w:tcPr>
            <w:tcW w:w="7645" w:type="dxa"/>
            <w:hideMark/>
          </w:tcPr>
          <w:p w14:paraId="310BD3D7"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Disease Analyzer</w:t>
            </w:r>
          </w:p>
        </w:tc>
      </w:tr>
      <w:tr w:rsidR="00E913D4" w:rsidRPr="00E913D4" w14:paraId="2C4504B2" w14:textId="77777777" w:rsidTr="006247B1">
        <w:tc>
          <w:tcPr>
            <w:tcW w:w="1705" w:type="dxa"/>
            <w:hideMark/>
          </w:tcPr>
          <w:p w14:paraId="55D545B2"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EHR</w:t>
            </w:r>
          </w:p>
        </w:tc>
        <w:tc>
          <w:tcPr>
            <w:tcW w:w="7645" w:type="dxa"/>
            <w:hideMark/>
          </w:tcPr>
          <w:p w14:paraId="71DFA836"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Electronic Health Record</w:t>
            </w:r>
          </w:p>
        </w:tc>
      </w:tr>
      <w:tr w:rsidR="00E913D4" w:rsidRPr="00E913D4" w14:paraId="0AD5EB32" w14:textId="77777777" w:rsidTr="006247B1">
        <w:tc>
          <w:tcPr>
            <w:tcW w:w="1705" w:type="dxa"/>
            <w:hideMark/>
          </w:tcPr>
          <w:p w14:paraId="6ED1FBD9"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EHDEN</w:t>
            </w:r>
          </w:p>
        </w:tc>
        <w:tc>
          <w:tcPr>
            <w:tcW w:w="7645" w:type="dxa"/>
            <w:hideMark/>
          </w:tcPr>
          <w:p w14:paraId="08B7B636"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European Health Data &amp; Evidence Network</w:t>
            </w:r>
          </w:p>
        </w:tc>
      </w:tr>
      <w:tr w:rsidR="00E913D4" w:rsidRPr="00E913D4" w14:paraId="37D74FEA" w14:textId="77777777" w:rsidTr="006247B1">
        <w:tc>
          <w:tcPr>
            <w:tcW w:w="1705" w:type="dxa"/>
            <w:hideMark/>
          </w:tcPr>
          <w:p w14:paraId="3257D1A0"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JMDC</w:t>
            </w:r>
          </w:p>
        </w:tc>
        <w:tc>
          <w:tcPr>
            <w:tcW w:w="7645" w:type="dxa"/>
            <w:hideMark/>
          </w:tcPr>
          <w:p w14:paraId="6E11B19A"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Japan Medical Data Center</w:t>
            </w:r>
          </w:p>
        </w:tc>
      </w:tr>
      <w:tr w:rsidR="00E913D4" w:rsidRPr="00E913D4" w14:paraId="03502C9A" w14:textId="77777777" w:rsidTr="006247B1">
        <w:tc>
          <w:tcPr>
            <w:tcW w:w="1705" w:type="dxa"/>
            <w:hideMark/>
          </w:tcPr>
          <w:p w14:paraId="5A219E4C"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MDCD</w:t>
            </w:r>
          </w:p>
        </w:tc>
        <w:tc>
          <w:tcPr>
            <w:tcW w:w="7645" w:type="dxa"/>
            <w:hideMark/>
          </w:tcPr>
          <w:p w14:paraId="56C29EBA"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 xml:space="preserve">IBM </w:t>
            </w:r>
            <w:proofErr w:type="spellStart"/>
            <w:r w:rsidRPr="00E913D4">
              <w:rPr>
                <w:rFonts w:eastAsia="Times New Roman" w:cstheme="minorHAnsi"/>
                <w:color w:val="333333"/>
              </w:rPr>
              <w:t>MarketScan</w:t>
            </w:r>
            <w:proofErr w:type="spellEnd"/>
            <w:r w:rsidRPr="00E913D4">
              <w:rPr>
                <w:rFonts w:eastAsia="Times New Roman" w:cstheme="minorHAnsi"/>
                <w:color w:val="333333"/>
              </w:rPr>
              <w:t>(R) Multi-State Medicaid Database</w:t>
            </w:r>
          </w:p>
        </w:tc>
      </w:tr>
      <w:tr w:rsidR="00E913D4" w:rsidRPr="00E913D4" w14:paraId="134A1B58" w14:textId="77777777" w:rsidTr="006247B1">
        <w:tc>
          <w:tcPr>
            <w:tcW w:w="1705" w:type="dxa"/>
            <w:hideMark/>
          </w:tcPr>
          <w:p w14:paraId="35CBBA0E"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MDCR</w:t>
            </w:r>
          </w:p>
        </w:tc>
        <w:tc>
          <w:tcPr>
            <w:tcW w:w="7645" w:type="dxa"/>
            <w:hideMark/>
          </w:tcPr>
          <w:p w14:paraId="63AD8813"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 xml:space="preserve">IBM </w:t>
            </w:r>
            <w:proofErr w:type="spellStart"/>
            <w:r w:rsidRPr="00E913D4">
              <w:rPr>
                <w:rFonts w:eastAsia="Times New Roman" w:cstheme="minorHAnsi"/>
                <w:color w:val="333333"/>
              </w:rPr>
              <w:t>MarketScan</w:t>
            </w:r>
            <w:proofErr w:type="spellEnd"/>
            <w:r w:rsidRPr="00E913D4">
              <w:rPr>
                <w:rFonts w:eastAsia="Times New Roman" w:cstheme="minorHAnsi"/>
                <w:color w:val="333333"/>
              </w:rPr>
              <w:t>(R) Medicare Supplemental Database</w:t>
            </w:r>
          </w:p>
        </w:tc>
      </w:tr>
      <w:tr w:rsidR="00E913D4" w:rsidRPr="00E913D4" w14:paraId="2880B2EF" w14:textId="77777777" w:rsidTr="006247B1">
        <w:tc>
          <w:tcPr>
            <w:tcW w:w="1705" w:type="dxa"/>
            <w:hideMark/>
          </w:tcPr>
          <w:p w14:paraId="1D07BBAA"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OHDSI</w:t>
            </w:r>
          </w:p>
        </w:tc>
        <w:tc>
          <w:tcPr>
            <w:tcW w:w="7645" w:type="dxa"/>
            <w:hideMark/>
          </w:tcPr>
          <w:p w14:paraId="4CB7212E"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Observational Health Data Science and Informatics</w:t>
            </w:r>
          </w:p>
        </w:tc>
      </w:tr>
      <w:tr w:rsidR="00E913D4" w:rsidRPr="00E913D4" w14:paraId="6926062F" w14:textId="77777777" w:rsidTr="006247B1">
        <w:tc>
          <w:tcPr>
            <w:tcW w:w="1705" w:type="dxa"/>
            <w:hideMark/>
          </w:tcPr>
          <w:p w14:paraId="6C5D50C4"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OMOP</w:t>
            </w:r>
          </w:p>
        </w:tc>
        <w:tc>
          <w:tcPr>
            <w:tcW w:w="7645" w:type="dxa"/>
            <w:hideMark/>
          </w:tcPr>
          <w:p w14:paraId="52F05627"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Observational Medical Outcomes Partnership</w:t>
            </w:r>
          </w:p>
        </w:tc>
      </w:tr>
      <w:tr w:rsidR="00E913D4" w:rsidRPr="00E913D4" w14:paraId="414F37BC" w14:textId="77777777" w:rsidTr="006247B1">
        <w:tc>
          <w:tcPr>
            <w:tcW w:w="1705" w:type="dxa"/>
            <w:hideMark/>
          </w:tcPr>
          <w:p w14:paraId="72C8281D"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OPTUM_DOD</w:t>
            </w:r>
          </w:p>
        </w:tc>
        <w:tc>
          <w:tcPr>
            <w:tcW w:w="7645" w:type="dxa"/>
            <w:hideMark/>
          </w:tcPr>
          <w:p w14:paraId="03B7E816" w14:textId="5DCAF42F" w:rsidR="00E913D4" w:rsidRPr="00E913D4" w:rsidRDefault="00E913D4" w:rsidP="003A6C1E">
            <w:pPr>
              <w:rPr>
                <w:rFonts w:eastAsia="Times New Roman" w:cstheme="minorHAnsi"/>
                <w:color w:val="333333"/>
              </w:rPr>
            </w:pPr>
            <w:r w:rsidRPr="00E913D4">
              <w:rPr>
                <w:rFonts w:eastAsia="Times New Roman" w:cstheme="minorHAnsi"/>
                <w:color w:val="333333"/>
              </w:rPr>
              <w:t xml:space="preserve">Optum(R) de-identified </w:t>
            </w:r>
            <w:proofErr w:type="spellStart"/>
            <w:r w:rsidRPr="00E913D4">
              <w:rPr>
                <w:rFonts w:eastAsia="Times New Roman" w:cstheme="minorHAnsi"/>
                <w:color w:val="333333"/>
              </w:rPr>
              <w:t>Clinformatics</w:t>
            </w:r>
            <w:r w:rsidR="00ED6E71">
              <w:rPr>
                <w:rFonts w:eastAsia="Times New Roman" w:cstheme="minorHAnsi"/>
                <w:color w:val="333333"/>
              </w:rPr>
              <w:t>©</w:t>
            </w:r>
            <w:r w:rsidRPr="00E913D4">
              <w:rPr>
                <w:rFonts w:eastAsia="Times New Roman" w:cstheme="minorHAnsi"/>
                <w:color w:val="333333"/>
              </w:rPr>
              <w:t>Data</w:t>
            </w:r>
            <w:proofErr w:type="spellEnd"/>
            <w:r w:rsidRPr="00E913D4">
              <w:rPr>
                <w:rFonts w:eastAsia="Times New Roman" w:cstheme="minorHAnsi"/>
                <w:color w:val="333333"/>
              </w:rPr>
              <w:t xml:space="preserve"> Mart Database Date of Death</w:t>
            </w:r>
          </w:p>
        </w:tc>
      </w:tr>
      <w:tr w:rsidR="00E913D4" w:rsidRPr="00E913D4" w14:paraId="5FDD965C" w14:textId="77777777" w:rsidTr="006247B1">
        <w:tc>
          <w:tcPr>
            <w:tcW w:w="1705" w:type="dxa"/>
            <w:hideMark/>
          </w:tcPr>
          <w:p w14:paraId="1719F36D"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OPTUM_EHR</w:t>
            </w:r>
          </w:p>
        </w:tc>
        <w:tc>
          <w:tcPr>
            <w:tcW w:w="7645" w:type="dxa"/>
            <w:hideMark/>
          </w:tcPr>
          <w:p w14:paraId="599C650D" w14:textId="77777777" w:rsidR="00E913D4" w:rsidRPr="00E913D4" w:rsidRDefault="00E913D4" w:rsidP="003A6C1E">
            <w:pPr>
              <w:rPr>
                <w:rFonts w:eastAsia="Times New Roman" w:cstheme="minorHAnsi"/>
                <w:color w:val="333333"/>
              </w:rPr>
            </w:pPr>
            <w:r w:rsidRPr="00E913D4">
              <w:rPr>
                <w:rFonts w:eastAsia="Times New Roman" w:cstheme="minorHAnsi"/>
                <w:color w:val="333333"/>
              </w:rPr>
              <w:t>Optum(R) de-identified Electronic Health Record Dataset</w:t>
            </w:r>
          </w:p>
        </w:tc>
      </w:tr>
      <w:tr w:rsidR="00C70529" w14:paraId="1D87E467" w14:textId="77777777" w:rsidTr="006247B1">
        <w:tc>
          <w:tcPr>
            <w:tcW w:w="1705" w:type="dxa"/>
          </w:tcPr>
          <w:p w14:paraId="7BABC7D9" w14:textId="2F9815B9" w:rsidR="00C70529" w:rsidRDefault="003A6C1E" w:rsidP="003A6C1E">
            <w:r>
              <w:t>CD</w:t>
            </w:r>
          </w:p>
        </w:tc>
        <w:tc>
          <w:tcPr>
            <w:tcW w:w="7645" w:type="dxa"/>
          </w:tcPr>
          <w:p w14:paraId="081EB810" w14:textId="0AA16DF1" w:rsidR="003A6C1E" w:rsidRDefault="003A6C1E" w:rsidP="003A6C1E">
            <w:proofErr w:type="spellStart"/>
            <w:r>
              <w:t>CohortDiagnostics</w:t>
            </w:r>
            <w:proofErr w:type="spellEnd"/>
          </w:p>
        </w:tc>
      </w:tr>
      <w:tr w:rsidR="00C70529" w14:paraId="3F0EDF2C" w14:textId="77777777" w:rsidTr="006247B1">
        <w:tc>
          <w:tcPr>
            <w:tcW w:w="1705" w:type="dxa"/>
          </w:tcPr>
          <w:p w14:paraId="01520BCE" w14:textId="32F81ADD" w:rsidR="00C70529" w:rsidRDefault="00470EF3" w:rsidP="003A6C1E">
            <w:r>
              <w:t>DD</w:t>
            </w:r>
          </w:p>
        </w:tc>
        <w:tc>
          <w:tcPr>
            <w:tcW w:w="7645" w:type="dxa"/>
          </w:tcPr>
          <w:p w14:paraId="439B7CC8" w14:textId="620A771C" w:rsidR="00C70529" w:rsidRDefault="00470EF3" w:rsidP="003A6C1E">
            <w:r>
              <w:t>Database Diagnostics</w:t>
            </w:r>
          </w:p>
        </w:tc>
      </w:tr>
    </w:tbl>
    <w:p w14:paraId="38C770DA" w14:textId="1F38EF7F" w:rsidR="00017B7A" w:rsidRDefault="00017B7A" w:rsidP="005F7B69">
      <w:pPr>
        <w:pStyle w:val="Heading1"/>
      </w:pPr>
      <w:r>
        <w:t>Responsible Parties</w:t>
      </w:r>
    </w:p>
    <w:p w14:paraId="34FE5E07" w14:textId="3F8FAC5F" w:rsidR="00017B7A" w:rsidRDefault="00017B7A" w:rsidP="00A57BDC">
      <w:pPr>
        <w:pStyle w:val="Heading2"/>
      </w:pPr>
      <w:r>
        <w:t>Investigators</w:t>
      </w:r>
      <w:r>
        <w:tab/>
      </w:r>
    </w:p>
    <w:tbl>
      <w:tblPr>
        <w:tblStyle w:val="TableGrid"/>
        <w:tblW w:w="0" w:type="auto"/>
        <w:tblLook w:val="04A0" w:firstRow="1" w:lastRow="0" w:firstColumn="1" w:lastColumn="0" w:noHBand="0" w:noVBand="1"/>
      </w:tblPr>
      <w:tblGrid>
        <w:gridCol w:w="2155"/>
        <w:gridCol w:w="7195"/>
      </w:tblGrid>
      <w:tr w:rsidR="00017B7A" w14:paraId="708DC209" w14:textId="77777777" w:rsidTr="00A57BDC">
        <w:tc>
          <w:tcPr>
            <w:tcW w:w="2155" w:type="dxa"/>
            <w:shd w:val="clear" w:color="auto" w:fill="D9D9D9" w:themeFill="background1" w:themeFillShade="D9"/>
          </w:tcPr>
          <w:p w14:paraId="2D980F26" w14:textId="7545C449" w:rsidR="00017B7A" w:rsidRPr="00A57BDC" w:rsidRDefault="00017B7A" w:rsidP="00017B7A">
            <w:pPr>
              <w:rPr>
                <w:b/>
              </w:rPr>
            </w:pPr>
            <w:r w:rsidRPr="00A57BDC">
              <w:rPr>
                <w:b/>
              </w:rPr>
              <w:t>Investigator</w:t>
            </w:r>
          </w:p>
        </w:tc>
        <w:tc>
          <w:tcPr>
            <w:tcW w:w="7195" w:type="dxa"/>
            <w:shd w:val="clear" w:color="auto" w:fill="D9D9D9" w:themeFill="background1" w:themeFillShade="D9"/>
          </w:tcPr>
          <w:p w14:paraId="3D89F521" w14:textId="0AC67063" w:rsidR="00017B7A" w:rsidRPr="00A57BDC" w:rsidRDefault="00017B7A" w:rsidP="00017B7A">
            <w:pPr>
              <w:rPr>
                <w:b/>
              </w:rPr>
            </w:pPr>
            <w:r w:rsidRPr="00A57BDC">
              <w:rPr>
                <w:b/>
              </w:rPr>
              <w:t>Institution/Affiliation</w:t>
            </w:r>
          </w:p>
        </w:tc>
      </w:tr>
      <w:tr w:rsidR="00017B7A" w14:paraId="38CC7E49" w14:textId="77777777" w:rsidTr="00A57BDC">
        <w:tc>
          <w:tcPr>
            <w:tcW w:w="2155" w:type="dxa"/>
          </w:tcPr>
          <w:p w14:paraId="0959C550" w14:textId="5CA71544" w:rsidR="00017B7A" w:rsidRDefault="00E229E5" w:rsidP="00017B7A">
            <w:r w:rsidRPr="00E229E5">
              <w:t>Jill Hardin</w:t>
            </w:r>
          </w:p>
        </w:tc>
        <w:tc>
          <w:tcPr>
            <w:tcW w:w="7195" w:type="dxa"/>
          </w:tcPr>
          <w:p w14:paraId="53F35338" w14:textId="03CCA6E6" w:rsidR="00017B7A" w:rsidRDefault="00484A8D" w:rsidP="00017B7A">
            <w:r>
              <w:t>Epidemiology</w:t>
            </w:r>
            <w:r w:rsidR="00E6060C" w:rsidRPr="00E6060C">
              <w:t xml:space="preserve">, Janssen Research and Development, </w:t>
            </w:r>
            <w:r>
              <w:t xml:space="preserve">LLC, </w:t>
            </w:r>
            <w:r w:rsidR="00E6060C" w:rsidRPr="00E6060C">
              <w:t>Titusville, NJ, USA</w:t>
            </w:r>
          </w:p>
        </w:tc>
      </w:tr>
      <w:tr w:rsidR="00017B7A" w14:paraId="0BD1E173" w14:textId="77777777" w:rsidTr="00A57BDC">
        <w:tc>
          <w:tcPr>
            <w:tcW w:w="2155" w:type="dxa"/>
          </w:tcPr>
          <w:p w14:paraId="1815826D" w14:textId="5AAF2253" w:rsidR="00017B7A" w:rsidRDefault="00E229E5" w:rsidP="00017B7A">
            <w:r w:rsidRPr="00E229E5">
              <w:t xml:space="preserve">Erica </w:t>
            </w:r>
            <w:r w:rsidR="007A23CF">
              <w:t xml:space="preserve">A </w:t>
            </w:r>
            <w:r w:rsidRPr="00E229E5">
              <w:t>Voss</w:t>
            </w:r>
          </w:p>
        </w:tc>
        <w:tc>
          <w:tcPr>
            <w:tcW w:w="7195" w:type="dxa"/>
          </w:tcPr>
          <w:p w14:paraId="0C394327" w14:textId="01EA0170" w:rsidR="00017B7A" w:rsidRDefault="00484A8D" w:rsidP="00017B7A">
            <w:r>
              <w:t>Epidemiology</w:t>
            </w:r>
            <w:r w:rsidRPr="00E6060C">
              <w:t xml:space="preserve">, </w:t>
            </w:r>
            <w:r w:rsidR="00E6060C" w:rsidRPr="00E6060C">
              <w:t xml:space="preserve">Janssen Research and Development, </w:t>
            </w:r>
            <w:r>
              <w:t xml:space="preserve">LLC, </w:t>
            </w:r>
            <w:r w:rsidR="00E6060C" w:rsidRPr="00E6060C">
              <w:t>Titusville, NJ, USA</w:t>
            </w:r>
          </w:p>
        </w:tc>
      </w:tr>
      <w:tr w:rsidR="00017B7A" w14:paraId="5F918D94" w14:textId="77777777" w:rsidTr="00A57BDC">
        <w:tc>
          <w:tcPr>
            <w:tcW w:w="2155" w:type="dxa"/>
          </w:tcPr>
          <w:p w14:paraId="0DC2A7B0" w14:textId="33A67393" w:rsidR="00017B7A" w:rsidRDefault="00E229E5" w:rsidP="00017B7A">
            <w:r w:rsidRPr="00E229E5">
              <w:t>Clair Blacketer</w:t>
            </w:r>
          </w:p>
        </w:tc>
        <w:tc>
          <w:tcPr>
            <w:tcW w:w="7195" w:type="dxa"/>
          </w:tcPr>
          <w:p w14:paraId="7FA7B32C" w14:textId="036CFA3F" w:rsidR="00017B7A" w:rsidRDefault="00484A8D" w:rsidP="00017B7A">
            <w:r>
              <w:t>Epidemiology</w:t>
            </w:r>
            <w:r w:rsidRPr="00E6060C">
              <w:t xml:space="preserve">, </w:t>
            </w:r>
            <w:r w:rsidR="00E6060C" w:rsidRPr="00E6060C">
              <w:t xml:space="preserve">Janssen Research and Development, </w:t>
            </w:r>
            <w:r w:rsidR="00F33C82">
              <w:t xml:space="preserve">LLC, </w:t>
            </w:r>
            <w:r w:rsidR="00E6060C" w:rsidRPr="00E6060C">
              <w:t>Titusville, NJ, USA</w:t>
            </w:r>
          </w:p>
        </w:tc>
      </w:tr>
      <w:tr w:rsidR="00017B7A" w14:paraId="65E53809" w14:textId="77777777" w:rsidTr="00A57BDC">
        <w:tc>
          <w:tcPr>
            <w:tcW w:w="2155" w:type="dxa"/>
          </w:tcPr>
          <w:p w14:paraId="6DF14480" w14:textId="60F089FD" w:rsidR="00017B7A" w:rsidRDefault="00E229E5" w:rsidP="00017B7A">
            <w:r w:rsidRPr="00E229E5">
              <w:t xml:space="preserve">James </w:t>
            </w:r>
            <w:r w:rsidR="00CE671F">
              <w:t xml:space="preserve">P </w:t>
            </w:r>
            <w:r w:rsidRPr="00E229E5">
              <w:t>Gilbert</w:t>
            </w:r>
          </w:p>
        </w:tc>
        <w:tc>
          <w:tcPr>
            <w:tcW w:w="7195" w:type="dxa"/>
          </w:tcPr>
          <w:p w14:paraId="5BDDC541" w14:textId="0615C563" w:rsidR="00017B7A" w:rsidRDefault="00484A8D" w:rsidP="00017B7A">
            <w:r>
              <w:t>Epidemiology</w:t>
            </w:r>
            <w:r w:rsidRPr="00E6060C">
              <w:t xml:space="preserve">, </w:t>
            </w:r>
            <w:r w:rsidR="00E6060C" w:rsidRPr="00E6060C">
              <w:t xml:space="preserve">Janssen Research and Development, </w:t>
            </w:r>
            <w:proofErr w:type="spellStart"/>
            <w:proofErr w:type="gramStart"/>
            <w:r w:rsidR="00F33C82">
              <w:t>LLC,</w:t>
            </w:r>
            <w:r w:rsidR="00E6060C" w:rsidRPr="00E6060C">
              <w:t>Titusville</w:t>
            </w:r>
            <w:proofErr w:type="spellEnd"/>
            <w:proofErr w:type="gramEnd"/>
            <w:r w:rsidR="00E6060C" w:rsidRPr="00E6060C">
              <w:t>, NJ, USA</w:t>
            </w:r>
          </w:p>
        </w:tc>
      </w:tr>
      <w:tr w:rsidR="00017B7A" w14:paraId="45325BB3" w14:textId="77777777" w:rsidTr="00A57BDC">
        <w:tc>
          <w:tcPr>
            <w:tcW w:w="2155" w:type="dxa"/>
          </w:tcPr>
          <w:p w14:paraId="0EDFFE28" w14:textId="341C91C2" w:rsidR="00017B7A" w:rsidRDefault="00B5561E" w:rsidP="00017B7A">
            <w:r w:rsidRPr="00B5561E">
              <w:t>Talita Duarte</w:t>
            </w:r>
          </w:p>
        </w:tc>
        <w:tc>
          <w:tcPr>
            <w:tcW w:w="7195" w:type="dxa"/>
          </w:tcPr>
          <w:p w14:paraId="4225F4EF" w14:textId="2AB7E0C1" w:rsidR="00017B7A" w:rsidRDefault="00423D8D" w:rsidP="00017B7A">
            <w:proofErr w:type="spellStart"/>
            <w:r w:rsidRPr="00423D8D">
              <w:t>Fundació</w:t>
            </w:r>
            <w:proofErr w:type="spellEnd"/>
            <w:r w:rsidRPr="00423D8D">
              <w:t xml:space="preserve"> </w:t>
            </w:r>
            <w:proofErr w:type="spellStart"/>
            <w:r w:rsidRPr="00423D8D">
              <w:t>Institut</w:t>
            </w:r>
            <w:proofErr w:type="spellEnd"/>
            <w:r w:rsidRPr="00423D8D">
              <w:t xml:space="preserve"> </w:t>
            </w:r>
            <w:proofErr w:type="spellStart"/>
            <w:r w:rsidRPr="00423D8D">
              <w:t>Universitari</w:t>
            </w:r>
            <w:proofErr w:type="spellEnd"/>
            <w:r w:rsidRPr="00423D8D">
              <w:t xml:space="preserve"> per a la </w:t>
            </w:r>
            <w:proofErr w:type="spellStart"/>
            <w:r w:rsidRPr="00423D8D">
              <w:t>recerca</w:t>
            </w:r>
            <w:proofErr w:type="spellEnd"/>
            <w:r w:rsidRPr="00423D8D">
              <w:t xml:space="preserve"> a </w:t>
            </w:r>
            <w:proofErr w:type="spellStart"/>
            <w:r w:rsidRPr="00423D8D">
              <w:t>l'Atenció</w:t>
            </w:r>
            <w:proofErr w:type="spellEnd"/>
            <w:r w:rsidRPr="00423D8D">
              <w:t xml:space="preserve"> </w:t>
            </w:r>
            <w:proofErr w:type="spellStart"/>
            <w:r w:rsidRPr="00423D8D">
              <w:t>Primària</w:t>
            </w:r>
            <w:proofErr w:type="spellEnd"/>
            <w:r w:rsidRPr="00423D8D">
              <w:t xml:space="preserve"> de Salut Jordi Gol i </w:t>
            </w:r>
            <w:proofErr w:type="spellStart"/>
            <w:r w:rsidRPr="00423D8D">
              <w:t>Gurina</w:t>
            </w:r>
            <w:proofErr w:type="spellEnd"/>
            <w:r w:rsidRPr="00423D8D">
              <w:t xml:space="preserve"> (</w:t>
            </w:r>
            <w:proofErr w:type="spellStart"/>
            <w:r w:rsidRPr="00423D8D">
              <w:t>IDIAPJGol</w:t>
            </w:r>
            <w:proofErr w:type="spellEnd"/>
            <w:r w:rsidRPr="00423D8D">
              <w:t>), Barcelona, Spain</w:t>
            </w:r>
          </w:p>
        </w:tc>
      </w:tr>
      <w:tr w:rsidR="00017B7A" w14:paraId="099A1835" w14:textId="77777777" w:rsidTr="00A57BDC">
        <w:tc>
          <w:tcPr>
            <w:tcW w:w="2155" w:type="dxa"/>
          </w:tcPr>
          <w:p w14:paraId="37F4CAEE" w14:textId="32CE59AA" w:rsidR="00017B7A" w:rsidRDefault="00341500" w:rsidP="00017B7A">
            <w:r w:rsidRPr="00341500">
              <w:t>Daniel Prieto</w:t>
            </w:r>
            <w:r w:rsidR="00A04B0E">
              <w:t xml:space="preserve"> </w:t>
            </w:r>
            <w:r w:rsidR="00A04B0E" w:rsidRPr="00A04B0E">
              <w:t>-Alhambra</w:t>
            </w:r>
          </w:p>
        </w:tc>
        <w:tc>
          <w:tcPr>
            <w:tcW w:w="7195" w:type="dxa"/>
          </w:tcPr>
          <w:p w14:paraId="22B07603" w14:textId="77777777" w:rsidR="00CB3581" w:rsidRDefault="00CB3581" w:rsidP="00CB3581">
            <w:r>
              <w:t>Pharmaco- and Device Epidemiology, CSM-NDORMS,</w:t>
            </w:r>
          </w:p>
          <w:p w14:paraId="4519CB53" w14:textId="22AB057B" w:rsidR="00017B7A" w:rsidRDefault="00CB3581" w:rsidP="00CB3581">
            <w:r>
              <w:t>University of Oxford, Oxford, UK</w:t>
            </w:r>
          </w:p>
        </w:tc>
      </w:tr>
    </w:tbl>
    <w:p w14:paraId="3468814C" w14:textId="13E0B3F9" w:rsidR="00017B7A" w:rsidRDefault="00017B7A" w:rsidP="00017B7A"/>
    <w:p w14:paraId="2E650923" w14:textId="443BE7C8" w:rsidR="00017B7A" w:rsidRDefault="00017B7A">
      <w:pPr>
        <w:pStyle w:val="Heading2"/>
      </w:pPr>
      <w:r w:rsidRPr="00017B7A">
        <w:t>Disclosures</w:t>
      </w:r>
    </w:p>
    <w:p w14:paraId="59DDA73A" w14:textId="279549C8" w:rsidR="00BE7515" w:rsidRDefault="00457E82" w:rsidP="00BE7515">
      <w:r w:rsidRPr="00457E82">
        <w:t>This study is undertaken within Observational Health Data Sciences and Informatics (OHDSI), an open collaboration.</w:t>
      </w:r>
    </w:p>
    <w:p w14:paraId="5EE22A8C" w14:textId="30C5FCA4" w:rsidR="007B3515" w:rsidRDefault="007B3515" w:rsidP="00BE7515">
      <w:r w:rsidRPr="007B3515">
        <w:t xml:space="preserve">Data sources associated with the EHDEN network received funding from the Innovative Medicines Initiative 2 Joint Undertaking (JU) under grant agreement No 806968. The JU receives support from the European Union’s Horizon 2020 research and innovation </w:t>
      </w:r>
      <w:proofErr w:type="spellStart"/>
      <w:r w:rsidRPr="007B3515">
        <w:t>programme</w:t>
      </w:r>
      <w:proofErr w:type="spellEnd"/>
      <w:r w:rsidRPr="007B3515">
        <w:t xml:space="preserve"> and EFPIA.</w:t>
      </w:r>
    </w:p>
    <w:p w14:paraId="4E8BF4FB" w14:textId="38CF9238" w:rsidR="007B3515" w:rsidRPr="00BE7515" w:rsidRDefault="007755E7" w:rsidP="00A57BDC">
      <w:r>
        <w:lastRenderedPageBreak/>
        <w:t xml:space="preserve">JH, EAV, CB, </w:t>
      </w:r>
      <w:r w:rsidR="0097597C">
        <w:t xml:space="preserve">and </w:t>
      </w:r>
      <w:r>
        <w:t>J</w:t>
      </w:r>
      <w:r w:rsidR="00CE671F">
        <w:t>PG</w:t>
      </w:r>
      <w:r w:rsidRPr="007755E7">
        <w:t xml:space="preserve"> are employees Janssen Research &amp; Development, LLC and are Johnson &amp; Johnson shareholders.</w:t>
      </w:r>
    </w:p>
    <w:p w14:paraId="487A4583" w14:textId="5DE9437C" w:rsidR="00E6060C" w:rsidRDefault="00E6060C" w:rsidP="00A57BDC">
      <w:pPr>
        <w:pStyle w:val="Heading1"/>
      </w:pPr>
      <w:r w:rsidRPr="00E6060C">
        <w:t>Amendments and Updates</w:t>
      </w:r>
    </w:p>
    <w:p w14:paraId="3DA296C3" w14:textId="77777777" w:rsidR="00544C74" w:rsidRDefault="00544C74" w:rsidP="00544C74">
      <w:r>
        <w:t>Table 3.1 lists any protocol amendments made over time.</w:t>
      </w:r>
    </w:p>
    <w:p w14:paraId="0E64A1B0" w14:textId="77777777" w:rsidR="00544C74" w:rsidRDefault="00544C74" w:rsidP="00544C74">
      <w:r>
        <w:t>Table 3.1: Protocol amendments</w:t>
      </w:r>
    </w:p>
    <w:tbl>
      <w:tblPr>
        <w:tblStyle w:val="TableGrid"/>
        <w:tblW w:w="0" w:type="auto"/>
        <w:tblLook w:val="04A0" w:firstRow="1" w:lastRow="0" w:firstColumn="1" w:lastColumn="0" w:noHBand="0" w:noVBand="1"/>
      </w:tblPr>
      <w:tblGrid>
        <w:gridCol w:w="1874"/>
        <w:gridCol w:w="1963"/>
        <w:gridCol w:w="1881"/>
        <w:gridCol w:w="2002"/>
        <w:gridCol w:w="1630"/>
      </w:tblGrid>
      <w:tr w:rsidR="00A27008" w14:paraId="3D40656F" w14:textId="68B44DFC" w:rsidTr="00A27008">
        <w:tc>
          <w:tcPr>
            <w:tcW w:w="1874" w:type="dxa"/>
          </w:tcPr>
          <w:p w14:paraId="799AE691" w14:textId="4706BEE4" w:rsidR="00A27008" w:rsidRDefault="00A27008" w:rsidP="00544C74">
            <w:r>
              <w:t>Number</w:t>
            </w:r>
            <w:r>
              <w:tab/>
            </w:r>
          </w:p>
        </w:tc>
        <w:tc>
          <w:tcPr>
            <w:tcW w:w="1963" w:type="dxa"/>
          </w:tcPr>
          <w:p w14:paraId="468C3F10" w14:textId="2BDB6737" w:rsidR="00A27008" w:rsidRDefault="00A27008" w:rsidP="00544C74">
            <w:r>
              <w:t>Date</w:t>
            </w:r>
            <w:r>
              <w:tab/>
            </w:r>
          </w:p>
        </w:tc>
        <w:tc>
          <w:tcPr>
            <w:tcW w:w="1881" w:type="dxa"/>
          </w:tcPr>
          <w:p w14:paraId="0D5C225B" w14:textId="510D2FE2" w:rsidR="00A27008" w:rsidRDefault="00A27008" w:rsidP="00544C74">
            <w:r>
              <w:t>Section of study protocol</w:t>
            </w:r>
            <w:r>
              <w:tab/>
            </w:r>
          </w:p>
        </w:tc>
        <w:tc>
          <w:tcPr>
            <w:tcW w:w="2002" w:type="dxa"/>
          </w:tcPr>
          <w:p w14:paraId="229EB2DC" w14:textId="496F3A9E" w:rsidR="00A27008" w:rsidRDefault="00A27008" w:rsidP="00544C74">
            <w:r>
              <w:t>Amendment or update</w:t>
            </w:r>
            <w:r>
              <w:tab/>
            </w:r>
          </w:p>
        </w:tc>
        <w:tc>
          <w:tcPr>
            <w:tcW w:w="1630" w:type="dxa"/>
          </w:tcPr>
          <w:p w14:paraId="6820A179" w14:textId="45274B42" w:rsidR="00A27008" w:rsidRDefault="00A27008" w:rsidP="00544C74">
            <w:r w:rsidRPr="00A27008">
              <w:t>Reason</w:t>
            </w:r>
          </w:p>
        </w:tc>
      </w:tr>
      <w:tr w:rsidR="00A27008" w14:paraId="4771DA6A" w14:textId="5404E18B" w:rsidTr="00A27008">
        <w:tc>
          <w:tcPr>
            <w:tcW w:w="1874" w:type="dxa"/>
          </w:tcPr>
          <w:p w14:paraId="6A80200C" w14:textId="610B6D39" w:rsidR="00A27008" w:rsidRDefault="00A27008" w:rsidP="00544C74"/>
        </w:tc>
        <w:tc>
          <w:tcPr>
            <w:tcW w:w="1963" w:type="dxa"/>
          </w:tcPr>
          <w:p w14:paraId="505A6C90" w14:textId="5130D51F" w:rsidR="00A27008" w:rsidRDefault="00A27008" w:rsidP="00544C74"/>
        </w:tc>
        <w:tc>
          <w:tcPr>
            <w:tcW w:w="1881" w:type="dxa"/>
          </w:tcPr>
          <w:p w14:paraId="3803A1FC" w14:textId="01909E49" w:rsidR="00A27008" w:rsidRDefault="00A27008" w:rsidP="00544C74"/>
        </w:tc>
        <w:tc>
          <w:tcPr>
            <w:tcW w:w="2002" w:type="dxa"/>
          </w:tcPr>
          <w:p w14:paraId="7E6A19EF" w14:textId="77777777" w:rsidR="00A27008" w:rsidRDefault="00A27008" w:rsidP="00544C74"/>
        </w:tc>
        <w:tc>
          <w:tcPr>
            <w:tcW w:w="1630" w:type="dxa"/>
          </w:tcPr>
          <w:p w14:paraId="5A4D6D22" w14:textId="77777777" w:rsidR="00A27008" w:rsidRDefault="00A27008" w:rsidP="00544C74"/>
        </w:tc>
      </w:tr>
    </w:tbl>
    <w:p w14:paraId="1D6064A9" w14:textId="658D5E08" w:rsidR="006F5F48" w:rsidRDefault="006F5F48" w:rsidP="003D70EF">
      <w:pPr>
        <w:pStyle w:val="Heading1"/>
      </w:pPr>
      <w:r>
        <w:t>Milestones</w:t>
      </w:r>
    </w:p>
    <w:p w14:paraId="1602697C" w14:textId="77777777" w:rsidR="006F5F48" w:rsidRDefault="006F5F48" w:rsidP="006F5F48">
      <w:r>
        <w:t>Table 4.1 lists the study milestones.</w:t>
      </w:r>
    </w:p>
    <w:p w14:paraId="01C831A6" w14:textId="77777777" w:rsidR="006F5F48" w:rsidRDefault="006F5F48" w:rsidP="006F5F48">
      <w:r>
        <w:t>Table 4.1: Study milestones</w:t>
      </w:r>
    </w:p>
    <w:tbl>
      <w:tblPr>
        <w:tblStyle w:val="TableGrid"/>
        <w:tblW w:w="0" w:type="auto"/>
        <w:jc w:val="center"/>
        <w:tblLook w:val="04A0" w:firstRow="1" w:lastRow="0" w:firstColumn="1" w:lastColumn="0" w:noHBand="0" w:noVBand="1"/>
      </w:tblPr>
      <w:tblGrid>
        <w:gridCol w:w="2425"/>
        <w:gridCol w:w="2340"/>
      </w:tblGrid>
      <w:tr w:rsidR="006F5F48" w14:paraId="26C26C4C" w14:textId="77777777" w:rsidTr="00A52692">
        <w:trPr>
          <w:jc w:val="center"/>
        </w:trPr>
        <w:tc>
          <w:tcPr>
            <w:tcW w:w="2425" w:type="dxa"/>
          </w:tcPr>
          <w:p w14:paraId="4542A706" w14:textId="1C8E636A" w:rsidR="006F5F48" w:rsidRDefault="006F5F48" w:rsidP="006F5F48">
            <w:r>
              <w:t>Milestone</w:t>
            </w:r>
          </w:p>
        </w:tc>
        <w:tc>
          <w:tcPr>
            <w:tcW w:w="2340" w:type="dxa"/>
          </w:tcPr>
          <w:p w14:paraId="290E5AE9" w14:textId="2A978C65" w:rsidR="006F5F48" w:rsidRDefault="006F5F48" w:rsidP="006F5F48">
            <w:r>
              <w:t>Planned / actual date</w:t>
            </w:r>
          </w:p>
        </w:tc>
      </w:tr>
      <w:tr w:rsidR="006F5F48" w14:paraId="3C33D072" w14:textId="77777777" w:rsidTr="00A52692">
        <w:trPr>
          <w:jc w:val="center"/>
        </w:trPr>
        <w:tc>
          <w:tcPr>
            <w:tcW w:w="2425" w:type="dxa"/>
          </w:tcPr>
          <w:p w14:paraId="0BC1564F" w14:textId="1A6CED7D" w:rsidR="006F5F48" w:rsidRDefault="00A52692" w:rsidP="006F5F48">
            <w:r w:rsidRPr="00A52692">
              <w:t>Start of analysis</w:t>
            </w:r>
          </w:p>
        </w:tc>
        <w:tc>
          <w:tcPr>
            <w:tcW w:w="2340" w:type="dxa"/>
          </w:tcPr>
          <w:p w14:paraId="1318DF1B" w14:textId="77777777" w:rsidR="006F5F48" w:rsidRDefault="006F5F48" w:rsidP="006F5F48"/>
        </w:tc>
      </w:tr>
      <w:tr w:rsidR="006F5F48" w14:paraId="707B4559" w14:textId="77777777" w:rsidTr="00A52692">
        <w:trPr>
          <w:jc w:val="center"/>
        </w:trPr>
        <w:tc>
          <w:tcPr>
            <w:tcW w:w="2425" w:type="dxa"/>
          </w:tcPr>
          <w:p w14:paraId="2AD083C0" w14:textId="2E890B18" w:rsidR="006F5F48" w:rsidRDefault="00A52692" w:rsidP="00A52692">
            <w:r>
              <w:t>End data collection</w:t>
            </w:r>
            <w:r>
              <w:tab/>
            </w:r>
          </w:p>
        </w:tc>
        <w:tc>
          <w:tcPr>
            <w:tcW w:w="2340" w:type="dxa"/>
          </w:tcPr>
          <w:p w14:paraId="1C5B2A87" w14:textId="77777777" w:rsidR="006F5F48" w:rsidRDefault="006F5F48" w:rsidP="006F5F48"/>
        </w:tc>
      </w:tr>
      <w:tr w:rsidR="006F5F48" w14:paraId="14FB2E92" w14:textId="77777777" w:rsidTr="00A52692">
        <w:trPr>
          <w:jc w:val="center"/>
        </w:trPr>
        <w:tc>
          <w:tcPr>
            <w:tcW w:w="2425" w:type="dxa"/>
          </w:tcPr>
          <w:p w14:paraId="44204C09" w14:textId="1A582117" w:rsidR="006F5F48" w:rsidRDefault="00A52692" w:rsidP="006F5F48">
            <w:r>
              <w:t>End of analysis</w:t>
            </w:r>
          </w:p>
        </w:tc>
        <w:tc>
          <w:tcPr>
            <w:tcW w:w="2340" w:type="dxa"/>
          </w:tcPr>
          <w:p w14:paraId="2611D3E8" w14:textId="77777777" w:rsidR="006F5F48" w:rsidRDefault="006F5F48" w:rsidP="006F5F48"/>
        </w:tc>
      </w:tr>
      <w:tr w:rsidR="00A52692" w14:paraId="5F477940" w14:textId="77777777" w:rsidTr="00A52692">
        <w:trPr>
          <w:jc w:val="center"/>
        </w:trPr>
        <w:tc>
          <w:tcPr>
            <w:tcW w:w="2425" w:type="dxa"/>
          </w:tcPr>
          <w:p w14:paraId="511585A7" w14:textId="54037766" w:rsidR="00A52692" w:rsidRDefault="00A52692" w:rsidP="006F5F48">
            <w:r>
              <w:t>Results presentation</w:t>
            </w:r>
          </w:p>
        </w:tc>
        <w:tc>
          <w:tcPr>
            <w:tcW w:w="2340" w:type="dxa"/>
          </w:tcPr>
          <w:p w14:paraId="41B531E2" w14:textId="77777777" w:rsidR="00A52692" w:rsidRDefault="00A52692" w:rsidP="006F5F48"/>
        </w:tc>
      </w:tr>
    </w:tbl>
    <w:p w14:paraId="22A96F1A" w14:textId="22C9964B" w:rsidR="00544C74" w:rsidRDefault="006F5F48" w:rsidP="006F5F48">
      <w:r>
        <w:tab/>
      </w:r>
    </w:p>
    <w:p w14:paraId="63A76799" w14:textId="6CACF29A" w:rsidR="00813D3B" w:rsidRDefault="00EB02B4" w:rsidP="000554A1">
      <w:pPr>
        <w:pStyle w:val="Heading1"/>
      </w:pPr>
      <w:r>
        <w:t xml:space="preserve">Rationale and </w:t>
      </w:r>
      <w:r w:rsidR="00813D3B">
        <w:t>B</w:t>
      </w:r>
      <w:r>
        <w:t>ackground</w:t>
      </w:r>
    </w:p>
    <w:p w14:paraId="78F8AD9F" w14:textId="16D081F3" w:rsidR="00E801FE" w:rsidRDefault="00E801FE">
      <w:r>
        <w:t xml:space="preserve">Use of data diagnostics for evaluation of the </w:t>
      </w:r>
      <w:r w:rsidRPr="00E801FE">
        <w:t xml:space="preserve">databases in the </w:t>
      </w:r>
      <w:r>
        <w:t xml:space="preserve">OHDSI network </w:t>
      </w:r>
      <w:r w:rsidR="009C69BB">
        <w:t xml:space="preserve">would be useful to identify those that would be suitable for use in pediatric and adult studies. </w:t>
      </w:r>
    </w:p>
    <w:p w14:paraId="1367BE57" w14:textId="0AFBCD1E" w:rsidR="007C2788" w:rsidRDefault="00271E5D">
      <w:r>
        <w:t xml:space="preserve">Characterization of conditions using the datasources available through the OHDSI network </w:t>
      </w:r>
      <w:r w:rsidR="00FE560C">
        <w:t xml:space="preserve">using the </w:t>
      </w:r>
      <w:proofErr w:type="spellStart"/>
      <w:r w:rsidR="00FE560C">
        <w:t>CohortDiagnostics</w:t>
      </w:r>
      <w:proofErr w:type="spellEnd"/>
      <w:r w:rsidR="00FE560C">
        <w:t xml:space="preserve"> </w:t>
      </w:r>
      <w:r w:rsidR="00EA2C85">
        <w:t xml:space="preserve">(CD) </w:t>
      </w:r>
      <w:r w:rsidR="00FE560C">
        <w:t xml:space="preserve">tool </w:t>
      </w:r>
      <w:r>
        <w:t xml:space="preserve">would </w:t>
      </w:r>
      <w:r w:rsidR="00E95248">
        <w:t>provide</w:t>
      </w:r>
      <w:r w:rsidR="00006DFF">
        <w:t xml:space="preserve"> </w:t>
      </w:r>
      <w:r w:rsidR="00566D0A">
        <w:t>feasibility estimates</w:t>
      </w:r>
      <w:r w:rsidR="00006DFF">
        <w:t xml:space="preserve"> for data partners to conduct studies</w:t>
      </w:r>
      <w:r w:rsidR="00C05709">
        <w:t xml:space="preserve">. This </w:t>
      </w:r>
      <w:r w:rsidR="00A41EFC">
        <w:t xml:space="preserve">data </w:t>
      </w:r>
      <w:r w:rsidR="00C05709">
        <w:t xml:space="preserve">network could then be </w:t>
      </w:r>
      <w:r w:rsidR="0090517B">
        <w:t xml:space="preserve">used for many types of studies </w:t>
      </w:r>
      <w:r w:rsidR="0046001E">
        <w:t xml:space="preserve">ranging from descriptive to </w:t>
      </w:r>
      <w:r w:rsidR="007B0A72">
        <w:t xml:space="preserve">predictive </w:t>
      </w:r>
      <w:r w:rsidR="007C2788">
        <w:t>across</w:t>
      </w:r>
      <w:r w:rsidR="00A41EFC">
        <w:t xml:space="preserve"> </w:t>
      </w:r>
      <w:r w:rsidR="007C2788">
        <w:t>therapeutic areas.</w:t>
      </w:r>
      <w:r w:rsidR="000B3568">
        <w:t xml:space="preserve"> </w:t>
      </w:r>
      <w:r w:rsidR="00341FDC">
        <w:t xml:space="preserve">The output from </w:t>
      </w:r>
      <w:r w:rsidR="00EA2C85">
        <w:t>CD</w:t>
      </w:r>
      <w:r w:rsidR="00341FDC">
        <w:t xml:space="preserve"> </w:t>
      </w:r>
      <w:r w:rsidR="0029405D">
        <w:t>are</w:t>
      </w:r>
      <w:r w:rsidR="00341FDC">
        <w:t xml:space="preserve"> age distributions </w:t>
      </w:r>
      <w:r w:rsidR="00ED4C9D">
        <w:t xml:space="preserve">and clinical characteristics </w:t>
      </w:r>
      <w:r w:rsidR="00A63937">
        <w:t>that</w:t>
      </w:r>
      <w:r w:rsidR="00341FDC">
        <w:t xml:space="preserve"> would help identify datasources where pediatric studies could be conducted and would </w:t>
      </w:r>
      <w:r w:rsidR="006045EC">
        <w:t xml:space="preserve">advance research, knowledge, and health in pediatrics. </w:t>
      </w:r>
    </w:p>
    <w:p w14:paraId="3B2A5498" w14:textId="27C1EFE9" w:rsidR="0015423A" w:rsidRDefault="0015423A">
      <w:r>
        <w:t xml:space="preserve">Several pediatric data networks exist </w:t>
      </w:r>
      <w:r w:rsidR="00F25C92">
        <w:t xml:space="preserve">for a range of conditions </w:t>
      </w:r>
      <w:r>
        <w:t>(</w:t>
      </w:r>
      <w:r w:rsidR="00EA2208" w:rsidRPr="000554A1">
        <w:rPr>
          <w:highlight w:val="cyan"/>
        </w:rPr>
        <w:t xml:space="preserve">Appendix </w:t>
      </w:r>
      <w:r w:rsidRPr="000554A1">
        <w:rPr>
          <w:highlight w:val="cyan"/>
        </w:rPr>
        <w:t>Table1</w:t>
      </w:r>
      <w:r>
        <w:t>) however</w:t>
      </w:r>
      <w:r w:rsidR="00A63937">
        <w:t>,</w:t>
      </w:r>
      <w:r>
        <w:t xml:space="preserve"> none </w:t>
      </w:r>
      <w:r w:rsidR="005E4BCD">
        <w:t xml:space="preserve">enumerate subjects by </w:t>
      </w:r>
      <w:r w:rsidR="00165AA0">
        <w:t xml:space="preserve">individual data contributor. </w:t>
      </w:r>
      <w:r w:rsidR="009B1552">
        <w:t xml:space="preserve">Some of these pediatric data networks </w:t>
      </w:r>
      <w:r w:rsidR="00A15877">
        <w:t xml:space="preserve">have been converted to the common data model </w:t>
      </w:r>
      <w:r w:rsidR="00CB3228">
        <w:t xml:space="preserve">(CDM) </w:t>
      </w:r>
      <w:r w:rsidR="00A15877">
        <w:t>format while others have not</w:t>
      </w:r>
      <w:r w:rsidR="00695074">
        <w:t xml:space="preserve">. </w:t>
      </w:r>
      <w:r w:rsidR="00F25C92">
        <w:t>B</w:t>
      </w:r>
      <w:r w:rsidR="00695074">
        <w:t>enefit</w:t>
      </w:r>
      <w:r w:rsidR="00F25C92">
        <w:t>s</w:t>
      </w:r>
      <w:r w:rsidR="00695074">
        <w:t xml:space="preserve"> of the proposed study is that </w:t>
      </w:r>
      <w:r w:rsidR="00CB3228">
        <w:t xml:space="preserve">because </w:t>
      </w:r>
      <w:r w:rsidR="00F812A6">
        <w:t xml:space="preserve">all </w:t>
      </w:r>
      <w:r w:rsidR="00CB3228">
        <w:t xml:space="preserve">the data </w:t>
      </w:r>
      <w:r w:rsidR="00F812A6">
        <w:t>is</w:t>
      </w:r>
      <w:r w:rsidR="00CB3228">
        <w:t xml:space="preserve"> converted to the CDM</w:t>
      </w:r>
      <w:r w:rsidR="002D7C1D">
        <w:t xml:space="preserve">. </w:t>
      </w:r>
    </w:p>
    <w:p w14:paraId="3A35966B" w14:textId="654DA235" w:rsidR="009133F2" w:rsidRDefault="009133F2">
      <w:r>
        <w:t xml:space="preserve">Lastly background rates </w:t>
      </w:r>
      <w:r w:rsidR="008D2752">
        <w:t>for the</w:t>
      </w:r>
      <w:r>
        <w:t xml:space="preserve"> phenotypes </w:t>
      </w:r>
      <w:r w:rsidR="008D2752">
        <w:t>included in A</w:t>
      </w:r>
      <w:r w:rsidR="009C02E5" w:rsidRPr="00401B58">
        <w:rPr>
          <w:highlight w:val="cyan"/>
        </w:rPr>
        <w:t>ppendix Table 1</w:t>
      </w:r>
      <w:r w:rsidR="009C02E5">
        <w:t xml:space="preserve"> </w:t>
      </w:r>
      <w:r>
        <w:t xml:space="preserve">will be </w:t>
      </w:r>
      <w:r w:rsidR="00A34C80">
        <w:t xml:space="preserve">generated and </w:t>
      </w:r>
      <w:r w:rsidR="001E6F29">
        <w:t xml:space="preserve">evaluated. Knowing the </w:t>
      </w:r>
      <w:r w:rsidR="00951A99">
        <w:t xml:space="preserve">background </w:t>
      </w:r>
      <w:r w:rsidR="001E6F29">
        <w:t>rates</w:t>
      </w:r>
      <w:r w:rsidR="00951A99">
        <w:t xml:space="preserve"> among children and adults is important because it will </w:t>
      </w:r>
      <w:r w:rsidR="00B0166E">
        <w:t xml:space="preserve">give visibility </w:t>
      </w:r>
      <w:r w:rsidR="00E066F9">
        <w:t>into how often these events occur in the in the age groups</w:t>
      </w:r>
      <w:r w:rsidR="002B7AD5">
        <w:t xml:space="preserve"> and databases included in this study.</w:t>
      </w:r>
    </w:p>
    <w:p w14:paraId="731B29C1" w14:textId="1F3E70BD" w:rsidR="004D763A" w:rsidRDefault="004D763A" w:rsidP="00F75BB2">
      <w:pPr>
        <w:pStyle w:val="Heading1"/>
      </w:pPr>
      <w:r w:rsidRPr="004D763A">
        <w:t>Study Objectives</w:t>
      </w:r>
    </w:p>
    <w:p w14:paraId="6E86EB0E" w14:textId="156D5403" w:rsidR="00DD299D" w:rsidRDefault="00DD299D" w:rsidP="00DD299D">
      <w:r>
        <w:t xml:space="preserve">The objectives of this study are to </w:t>
      </w:r>
      <w:r w:rsidR="00C23308">
        <w:t>characterize several conditions and enumerate the number of pediatric subjects available for study using the observational databases</w:t>
      </w:r>
      <w:r w:rsidR="00B248E8">
        <w:t xml:space="preserve"> available through the OHDSI </w:t>
      </w:r>
      <w:r w:rsidR="00B248E8">
        <w:lastRenderedPageBreak/>
        <w:t>network and</w:t>
      </w:r>
      <w:r w:rsidR="00C23308">
        <w:t xml:space="preserve"> </w:t>
      </w:r>
      <w:r>
        <w:t>us</w:t>
      </w:r>
      <w:r w:rsidR="00C23308">
        <w:t>ing</w:t>
      </w:r>
      <w:r>
        <w:t xml:space="preserve"> the </w:t>
      </w:r>
      <w:proofErr w:type="spellStart"/>
      <w:r>
        <w:t>CohortDiagnostics</w:t>
      </w:r>
      <w:proofErr w:type="spellEnd"/>
      <w:r>
        <w:t xml:space="preserve"> </w:t>
      </w:r>
      <w:r w:rsidR="005401BA">
        <w:t>(CD)</w:t>
      </w:r>
      <w:r>
        <w:t xml:space="preserve"> (</w:t>
      </w:r>
      <w:r w:rsidR="00FA462B" w:rsidRPr="00FA462B">
        <w:t>https://github.com/OHDSI/CohortDiagnostics</w:t>
      </w:r>
      <w:r>
        <w:t xml:space="preserve">) </w:t>
      </w:r>
      <w:r w:rsidR="00586872">
        <w:t xml:space="preserve">and the </w:t>
      </w:r>
      <w:proofErr w:type="spellStart"/>
      <w:r w:rsidR="00586872">
        <w:t>cohortIncidence</w:t>
      </w:r>
      <w:proofErr w:type="spellEnd"/>
      <w:r w:rsidR="00586872">
        <w:t xml:space="preserve"> tool (</w:t>
      </w:r>
      <w:hyperlink r:id="rId8" w:history="1">
        <w:r w:rsidR="00B248E8" w:rsidRPr="008839FC">
          <w:rPr>
            <w:rStyle w:val="Hyperlink"/>
          </w:rPr>
          <w:t>https://github.com/OHDSI/CohortIncidence</w:t>
        </w:r>
      </w:hyperlink>
      <w:r w:rsidR="00B248E8">
        <w:t xml:space="preserve">) </w:t>
      </w:r>
      <w:r w:rsidR="00172EBB">
        <w:t>for</w:t>
      </w:r>
      <w:r w:rsidR="008E1F99">
        <w:t xml:space="preserve"> the phenotypes </w:t>
      </w:r>
      <w:r w:rsidR="00C366C8">
        <w:t>among the pediatric and adult populations</w:t>
      </w:r>
      <w:r>
        <w:t xml:space="preserve">.   </w:t>
      </w:r>
    </w:p>
    <w:p w14:paraId="43BDC9EB" w14:textId="591C191D" w:rsidR="004D763A" w:rsidRDefault="00CB7A6E" w:rsidP="00CB7A6E">
      <w:r>
        <w:t xml:space="preserve">Our aim is purely descriptive. The hope with this work is the evidence we provide can be used </w:t>
      </w:r>
      <w:r w:rsidR="00C43928">
        <w:t xml:space="preserve">as a </w:t>
      </w:r>
      <w:proofErr w:type="gramStart"/>
      <w:r w:rsidR="00C43928">
        <w:t>resources</w:t>
      </w:r>
      <w:proofErr w:type="gramEnd"/>
      <w:r w:rsidR="00C43928">
        <w:t xml:space="preserve"> when evaluating fit for purpose datasources for pediatric studies. </w:t>
      </w:r>
    </w:p>
    <w:p w14:paraId="7E8FE9E5" w14:textId="2531D3FC" w:rsidR="00D155F1" w:rsidRDefault="001974CA" w:rsidP="00822E06">
      <w:pPr>
        <w:pStyle w:val="Heading1"/>
      </w:pPr>
      <w:r>
        <w:t xml:space="preserve">Research </w:t>
      </w:r>
      <w:r w:rsidR="005D6B44">
        <w:t>M</w:t>
      </w:r>
      <w:r>
        <w:t>ethods</w:t>
      </w:r>
    </w:p>
    <w:p w14:paraId="75C878D9" w14:textId="574D7B38" w:rsidR="00D155F1" w:rsidRDefault="00D155F1" w:rsidP="00D155F1">
      <w:pPr>
        <w:pStyle w:val="Heading2"/>
      </w:pPr>
      <w:r w:rsidRPr="00D155F1">
        <w:t>Data Sources</w:t>
      </w:r>
    </w:p>
    <w:p w14:paraId="38FC9497" w14:textId="555DE821" w:rsidR="00690A9A" w:rsidRDefault="00690A9A" w:rsidP="00690A9A">
      <w:r>
        <w:t>We intend to study data with different data source provenance (e.g., electronic medical records, insurance claims) as well data representing different populations (privately insured employees or patients with limited income) and data with different origins (US and non-US). This study will be run on datasets that have been converted to the Observational Medical Outcomes Partnership (OMOP) Common Data Model (CDM) [</w:t>
      </w:r>
      <w:r w:rsidR="00E76399">
        <w:t>1</w:t>
      </w:r>
      <w:r>
        <w:t>] [</w:t>
      </w:r>
      <w:r w:rsidR="00E76399">
        <w:t>2</w:t>
      </w:r>
      <w:r>
        <w:t>].</w:t>
      </w:r>
    </w:p>
    <w:p w14:paraId="5C53E003" w14:textId="1FD9C6CB" w:rsidR="00690A9A" w:rsidRDefault="00690A9A" w:rsidP="00690A9A">
      <w:r>
        <w:t>These data sources include but are not limited to:</w:t>
      </w:r>
    </w:p>
    <w:p w14:paraId="39FA130E" w14:textId="77777777" w:rsidR="00690A9A" w:rsidRDefault="00690A9A" w:rsidP="00EF3589">
      <w:pPr>
        <w:pStyle w:val="ListParagraph"/>
        <w:numPr>
          <w:ilvl w:val="0"/>
          <w:numId w:val="6"/>
        </w:numPr>
      </w:pPr>
      <w:r>
        <w:t xml:space="preserve">IBM </w:t>
      </w:r>
      <w:proofErr w:type="spellStart"/>
      <w:r>
        <w:t>MarketScan</w:t>
      </w:r>
      <w:proofErr w:type="spellEnd"/>
      <w:r>
        <w:t>® Commercial Claims and Encounters (CCAE)</w:t>
      </w:r>
    </w:p>
    <w:p w14:paraId="49B9C9E4" w14:textId="77777777" w:rsidR="00690A9A" w:rsidRDefault="00690A9A" w:rsidP="00EF3589">
      <w:pPr>
        <w:pStyle w:val="ListParagraph"/>
        <w:numPr>
          <w:ilvl w:val="0"/>
          <w:numId w:val="6"/>
        </w:numPr>
      </w:pPr>
      <w:r>
        <w:t xml:space="preserve">IBM </w:t>
      </w:r>
      <w:proofErr w:type="spellStart"/>
      <w:r>
        <w:t>MarketScan</w:t>
      </w:r>
      <w:proofErr w:type="spellEnd"/>
      <w:r>
        <w:t>® Medicare Supplemental Beneficiaries (MDCR)</w:t>
      </w:r>
    </w:p>
    <w:p w14:paraId="77830671" w14:textId="77777777" w:rsidR="00690A9A" w:rsidRDefault="00690A9A" w:rsidP="00EF3589">
      <w:pPr>
        <w:pStyle w:val="ListParagraph"/>
        <w:numPr>
          <w:ilvl w:val="0"/>
          <w:numId w:val="6"/>
        </w:numPr>
      </w:pPr>
      <w:r>
        <w:t xml:space="preserve">IBM </w:t>
      </w:r>
      <w:proofErr w:type="spellStart"/>
      <w:r>
        <w:t>MarketScan</w:t>
      </w:r>
      <w:proofErr w:type="spellEnd"/>
      <w:r>
        <w:t>® Multi-state Medicaid (MDCD)</w:t>
      </w:r>
    </w:p>
    <w:p w14:paraId="789B1C5A" w14:textId="77777777" w:rsidR="00690A9A" w:rsidRDefault="00690A9A" w:rsidP="00EF3589">
      <w:pPr>
        <w:pStyle w:val="ListParagraph"/>
        <w:numPr>
          <w:ilvl w:val="0"/>
          <w:numId w:val="6"/>
        </w:numPr>
      </w:pPr>
      <w:r>
        <w:t>IQVIA® Disease Analyzer (DA) Germany (IQVIA_GERMANY_DA)</w:t>
      </w:r>
    </w:p>
    <w:p w14:paraId="719B99E9" w14:textId="77777777" w:rsidR="00690A9A" w:rsidRDefault="00690A9A" w:rsidP="00EF3589">
      <w:pPr>
        <w:pStyle w:val="ListParagraph"/>
        <w:numPr>
          <w:ilvl w:val="0"/>
          <w:numId w:val="6"/>
        </w:numPr>
      </w:pPr>
      <w:r>
        <w:t>IQVIA® Disease Analyzer (DA) France (IQVIA_FRANCE_DA)</w:t>
      </w:r>
    </w:p>
    <w:p w14:paraId="796C6B2A" w14:textId="77777777" w:rsidR="00690A9A" w:rsidRDefault="00690A9A" w:rsidP="00EF3589">
      <w:pPr>
        <w:pStyle w:val="ListParagraph"/>
        <w:numPr>
          <w:ilvl w:val="0"/>
          <w:numId w:val="6"/>
        </w:numPr>
      </w:pPr>
      <w:r>
        <w:t>IQVIA® Australia Longitudinal Patient Data (IQVIA_AUSTRALIA_LPD)</w:t>
      </w:r>
    </w:p>
    <w:p w14:paraId="4F581D46" w14:textId="77777777" w:rsidR="00690A9A" w:rsidRDefault="00690A9A" w:rsidP="00EF3589">
      <w:pPr>
        <w:pStyle w:val="ListParagraph"/>
        <w:numPr>
          <w:ilvl w:val="0"/>
          <w:numId w:val="6"/>
        </w:numPr>
      </w:pPr>
      <w:r>
        <w:t>Japan Medical Data Center (JMDC)</w:t>
      </w:r>
    </w:p>
    <w:p w14:paraId="0267D961" w14:textId="77777777" w:rsidR="00690A9A" w:rsidRDefault="00690A9A" w:rsidP="00EF3589">
      <w:pPr>
        <w:pStyle w:val="ListParagraph"/>
        <w:numPr>
          <w:ilvl w:val="0"/>
          <w:numId w:val="6"/>
        </w:numPr>
      </w:pPr>
      <w:r>
        <w:t>Optum® de-identified Electronic Health Record Dataset (OPTUM_EHR)</w:t>
      </w:r>
    </w:p>
    <w:p w14:paraId="650B14A2" w14:textId="77777777" w:rsidR="00690A9A" w:rsidRDefault="00690A9A" w:rsidP="00EF3589">
      <w:pPr>
        <w:pStyle w:val="ListParagraph"/>
        <w:numPr>
          <w:ilvl w:val="0"/>
          <w:numId w:val="6"/>
        </w:numPr>
      </w:pPr>
      <w:r>
        <w:t>Optum® de-identified Clinformatics® Data Mart Database – Date of Death (OPTUM_DOD)</w:t>
      </w:r>
    </w:p>
    <w:p w14:paraId="6EDCC94B" w14:textId="77777777" w:rsidR="00690A9A" w:rsidRDefault="00690A9A" w:rsidP="00EF3589">
      <w:pPr>
        <w:pStyle w:val="ListParagraph"/>
        <w:numPr>
          <w:ilvl w:val="0"/>
          <w:numId w:val="6"/>
        </w:numPr>
      </w:pPr>
      <w:r>
        <w:t>Various European Health Data &amp; Evidence Network (EHDEN) Data Partners</w:t>
      </w:r>
    </w:p>
    <w:p w14:paraId="26F5D07A" w14:textId="1D926CEA" w:rsidR="00A83BFD" w:rsidRDefault="00A83BFD" w:rsidP="00EF3589">
      <w:pPr>
        <w:pStyle w:val="ListParagraph"/>
        <w:numPr>
          <w:ilvl w:val="0"/>
          <w:numId w:val="6"/>
        </w:numPr>
      </w:pPr>
      <w:r>
        <w:t xml:space="preserve">Various Observation Health </w:t>
      </w:r>
      <w:r w:rsidR="00AB4D6E">
        <w:t>Data Sciences and Informatics</w:t>
      </w:r>
      <w:r w:rsidR="00591113">
        <w:t xml:space="preserve"> (OHDSI)</w:t>
      </w:r>
      <w:r w:rsidR="00AB4D6E">
        <w:t xml:space="preserve"> Data Partners</w:t>
      </w:r>
    </w:p>
    <w:p w14:paraId="204ED955" w14:textId="27233C75" w:rsidR="004A2A2A" w:rsidRDefault="00690A9A" w:rsidP="00EF3589">
      <w:pPr>
        <w:pStyle w:val="ListParagraph"/>
        <w:numPr>
          <w:ilvl w:val="0"/>
          <w:numId w:val="6"/>
        </w:numPr>
      </w:pPr>
      <w:r>
        <w:t>Other data sources from prospective data partners</w:t>
      </w:r>
    </w:p>
    <w:p w14:paraId="36463806" w14:textId="4EC8A93A" w:rsidR="004A2A2A" w:rsidRPr="004A2A2A" w:rsidRDefault="004A2A2A" w:rsidP="004A2A2A">
      <w:pPr>
        <w:pStyle w:val="Heading2"/>
      </w:pPr>
      <w:r>
        <w:t>Study Populations</w:t>
      </w:r>
    </w:p>
    <w:p w14:paraId="15BDDFE1" w14:textId="24974AC5" w:rsidR="00A15977" w:rsidRDefault="00A77C7E" w:rsidP="005D6B44">
      <w:r w:rsidRPr="00A77C7E">
        <w:t>We will define all cohorts in the Atlas environment (</w:t>
      </w:r>
      <w:hyperlink r:id="rId9" w:history="1">
        <w:r w:rsidR="00ED0616" w:rsidRPr="001A3501">
          <w:rPr>
            <w:rStyle w:val="Hyperlink"/>
          </w:rPr>
          <w:t>https://atlas.ohdsi.org/</w:t>
        </w:r>
      </w:hyperlink>
      <w:r w:rsidRPr="00A77C7E">
        <w:t xml:space="preserve">). Detailed definitions can be found in the </w:t>
      </w:r>
      <w:r w:rsidRPr="00D47A33">
        <w:rPr>
          <w:highlight w:val="cyan"/>
        </w:rPr>
        <w:t>Appendix</w:t>
      </w:r>
      <w:r w:rsidR="00E5453F" w:rsidRPr="00D47A33">
        <w:rPr>
          <w:highlight w:val="cyan"/>
        </w:rPr>
        <w:t xml:space="preserve"> 2</w:t>
      </w:r>
      <w:r w:rsidRPr="00A77C7E">
        <w:t>.</w:t>
      </w:r>
    </w:p>
    <w:p w14:paraId="603B37A7" w14:textId="77777777" w:rsidR="00C84AE9" w:rsidRDefault="00C84AE9" w:rsidP="00C84AE9">
      <w:r>
        <w:t xml:space="preserve">Phenotype algorithms have been built and evaluated for these conditions in existing observational databases converted to the CDM using version 5.1.3. </w:t>
      </w:r>
    </w:p>
    <w:p w14:paraId="4E45A0EB" w14:textId="69B20F0E" w:rsidR="00C84AE9" w:rsidRDefault="00C84AE9" w:rsidP="005D6B44">
      <w:r>
        <w:t xml:space="preserve">ATLAS is a web based open-source application and provides a unified interface to patient level data and analytics. ATLAS will be used to generate cohorts </w:t>
      </w:r>
      <w:r w:rsidR="003F2138">
        <w:t xml:space="preserve">and their json representations </w:t>
      </w:r>
      <w:r>
        <w:t xml:space="preserve">will be used as the analytical inputs to </w:t>
      </w:r>
      <w:r w:rsidR="003F2138">
        <w:t>the study</w:t>
      </w:r>
      <w:r>
        <w:t xml:space="preserve">. </w:t>
      </w:r>
    </w:p>
    <w:p w14:paraId="1BAED249" w14:textId="7CDFFE05" w:rsidR="004A2A2A" w:rsidRDefault="004A2A2A" w:rsidP="00D47A33">
      <w:pPr>
        <w:pStyle w:val="Heading3"/>
      </w:pPr>
      <w:r>
        <w:t>Target Cohort Definitions</w:t>
      </w:r>
    </w:p>
    <w:p w14:paraId="5B77ED76" w14:textId="2994B40C" w:rsidR="001F36E8" w:rsidRDefault="000A0562" w:rsidP="004A2A2A">
      <w:r>
        <w:t xml:space="preserve">For </w:t>
      </w:r>
      <w:r w:rsidR="0078503C">
        <w:t xml:space="preserve">generation of background rates </w:t>
      </w:r>
      <w:r w:rsidR="001F36E8">
        <w:t xml:space="preserve">six </w:t>
      </w:r>
      <w:r w:rsidR="000F6E05">
        <w:t xml:space="preserve">target </w:t>
      </w:r>
      <w:r>
        <w:t xml:space="preserve">cohorts </w:t>
      </w:r>
      <w:r w:rsidR="001F36E8">
        <w:t>will be used and are</w:t>
      </w:r>
      <w:r w:rsidR="00393C1B">
        <w:t xml:space="preserve"> listed </w:t>
      </w:r>
      <w:r w:rsidR="00A907E8">
        <w:t xml:space="preserve">in </w:t>
      </w:r>
      <w:r w:rsidR="00A907E8" w:rsidRPr="00F75BB2">
        <w:rPr>
          <w:highlight w:val="cyan"/>
        </w:rPr>
        <w:t>Appendix Table 2</w:t>
      </w:r>
      <w:r w:rsidR="00A907E8">
        <w:t xml:space="preserve">. </w:t>
      </w:r>
      <w:r w:rsidR="001F36E8">
        <w:t xml:space="preserve">The cohorts will </w:t>
      </w:r>
      <w:r w:rsidR="004A7ECA">
        <w:t>be indexed on observation period start and end dates</w:t>
      </w:r>
      <w:r w:rsidR="00FE62C2">
        <w:t xml:space="preserve"> </w:t>
      </w:r>
      <w:r w:rsidR="00C03937" w:rsidRPr="00C03937">
        <w:t>with the start date of the cohort representing the index date of the analysis</w:t>
      </w:r>
      <w:r w:rsidR="00C03937">
        <w:t xml:space="preserve">. </w:t>
      </w:r>
      <w:r w:rsidR="00460EB4">
        <w:t>P</w:t>
      </w:r>
      <w:r w:rsidR="00460EB4" w:rsidRPr="00460EB4">
        <w:t xml:space="preserve">atients with less than one year of observation prior to the </w:t>
      </w:r>
      <w:r w:rsidR="00460EB4" w:rsidRPr="00460EB4">
        <w:lastRenderedPageBreak/>
        <w:t xml:space="preserve">index date </w:t>
      </w:r>
      <w:r w:rsidR="00460EB4">
        <w:t xml:space="preserve">will be excluded </w:t>
      </w:r>
      <w:proofErr w:type="gramStart"/>
      <w:r w:rsidR="00460EB4" w:rsidRPr="00460EB4">
        <w:t>in order to</w:t>
      </w:r>
      <w:proofErr w:type="gramEnd"/>
      <w:r w:rsidR="00460EB4" w:rsidRPr="00460EB4">
        <w:t xml:space="preserve"> better identify patients who have previously been diagnosed with the outcome of interest.</w:t>
      </w:r>
    </w:p>
    <w:p w14:paraId="64036202" w14:textId="3131535C" w:rsidR="004A2A2A" w:rsidRDefault="004A2A2A" w:rsidP="00D47A33">
      <w:pPr>
        <w:pStyle w:val="Heading3"/>
      </w:pPr>
      <w:r>
        <w:t>Outcome Cohort Definitions</w:t>
      </w:r>
    </w:p>
    <w:p w14:paraId="00DAB7EB" w14:textId="5C4EAA20" w:rsidR="00292493" w:rsidRDefault="001C6D81" w:rsidP="00292493">
      <w:r>
        <w:t xml:space="preserve">The background rates will use the </w:t>
      </w:r>
      <w:r w:rsidR="001F7FC3">
        <w:t xml:space="preserve">incident </w:t>
      </w:r>
      <w:r w:rsidR="0081731D">
        <w:t xml:space="preserve">phenotypes listed in </w:t>
      </w:r>
      <w:r w:rsidR="00F4214B" w:rsidRPr="00F75BB2">
        <w:rPr>
          <w:highlight w:val="cyan"/>
        </w:rPr>
        <w:t xml:space="preserve">Appendix Table </w:t>
      </w:r>
      <w:r w:rsidR="00BA75A2">
        <w:t>3</w:t>
      </w:r>
      <w:r w:rsidR="00F4214B">
        <w:t xml:space="preserve"> </w:t>
      </w:r>
      <w:r>
        <w:t>as t</w:t>
      </w:r>
      <w:r w:rsidR="00F4214B">
        <w:t>he outcomes</w:t>
      </w:r>
      <w:r w:rsidR="003648EC">
        <w:t>.</w:t>
      </w:r>
      <w:r w:rsidR="000168F4">
        <w:t xml:space="preserve"> </w:t>
      </w:r>
      <w:r w:rsidR="00BA75A2">
        <w:t>C</w:t>
      </w:r>
      <w:r w:rsidR="000168F4" w:rsidRPr="000168F4">
        <w:t>lean window</w:t>
      </w:r>
      <w:r w:rsidR="00BA75A2">
        <w:t>s</w:t>
      </w:r>
      <w:r w:rsidR="000168F4" w:rsidRPr="000168F4">
        <w:t xml:space="preserve"> </w:t>
      </w:r>
      <w:r w:rsidR="000168F4">
        <w:t xml:space="preserve">will </w:t>
      </w:r>
      <w:r w:rsidR="00BA75A2">
        <w:t>include those listed in Appendix Table 3</w:t>
      </w:r>
      <w:r w:rsidR="000168F4">
        <w:t>.</w:t>
      </w:r>
    </w:p>
    <w:p w14:paraId="4396A4FE" w14:textId="7672E24A" w:rsidR="00292493" w:rsidRDefault="00292493" w:rsidP="008F2C31">
      <w:pPr>
        <w:pStyle w:val="Heading2"/>
      </w:pPr>
      <w:r w:rsidRPr="00292493">
        <w:t>Population Subgroups</w:t>
      </w:r>
    </w:p>
    <w:p w14:paraId="3B842720" w14:textId="77777777" w:rsidR="00AE4784" w:rsidRDefault="00AE4784" w:rsidP="00AE4784">
      <w:r>
        <w:t>The CD tool will be used to characterize the conditions of interest</w:t>
      </w:r>
      <w:r w:rsidRPr="000F0E20">
        <w:rPr>
          <w:highlight w:val="yellow"/>
        </w:rPr>
        <w:t>. A custom feature will be included to assess the relevant pediatric age groups using the custom covariate builder function</w:t>
      </w:r>
      <w:r>
        <w:t xml:space="preserve"> </w:t>
      </w:r>
      <w:hyperlink r:id="rId10" w:history="1">
        <w:r w:rsidRPr="001A3501">
          <w:rPr>
            <w:rStyle w:val="Hyperlink"/>
          </w:rPr>
          <w:t>https://ohdsi.github.io/FeatureExtraction/articles/CreatingCustomCovariateBuilders.html</w:t>
        </w:r>
      </w:hyperlink>
      <w:r>
        <w:t>.</w:t>
      </w:r>
    </w:p>
    <w:p w14:paraId="0DF47232" w14:textId="310C2A4C" w:rsidR="003648EC" w:rsidRDefault="003648EC" w:rsidP="003648EC">
      <w:r>
        <w:t xml:space="preserve">We will consider the following age subgroups independently and jointly. </w:t>
      </w:r>
    </w:p>
    <w:p w14:paraId="75CDAD66" w14:textId="77777777" w:rsidR="003648EC" w:rsidRDefault="003648EC" w:rsidP="003648EC">
      <w:r>
        <w:t>Age groups</w:t>
      </w:r>
    </w:p>
    <w:p w14:paraId="6E820C9A" w14:textId="4CFC83FE" w:rsidR="003648EC" w:rsidRDefault="003648EC" w:rsidP="00621AD4">
      <w:commentRangeStart w:id="0"/>
      <w:commentRangeStart w:id="1"/>
      <w:r>
        <w:t>Pediatric Age Groups</w:t>
      </w:r>
      <w:r w:rsidR="00FE3808">
        <w:t xml:space="preserve"> - FDA</w:t>
      </w:r>
      <w:r>
        <w:t>:</w:t>
      </w:r>
      <w:commentRangeEnd w:id="0"/>
      <w:r w:rsidR="00976BF9">
        <w:rPr>
          <w:rStyle w:val="CommentReference"/>
        </w:rPr>
        <w:commentReference w:id="0"/>
      </w:r>
      <w:commentRangeEnd w:id="1"/>
      <w:r w:rsidR="00F6434D">
        <w:rPr>
          <w:rStyle w:val="CommentReference"/>
        </w:rPr>
        <w:commentReference w:id="1"/>
      </w:r>
    </w:p>
    <w:p w14:paraId="0E2A552D" w14:textId="09DB4831" w:rsidR="003648EC" w:rsidRDefault="003648EC" w:rsidP="003648EC">
      <w:pPr>
        <w:pStyle w:val="ListParagraph"/>
        <w:numPr>
          <w:ilvl w:val="0"/>
          <w:numId w:val="7"/>
        </w:numPr>
      </w:pPr>
      <w:r>
        <w:t>&lt;2</w:t>
      </w:r>
    </w:p>
    <w:p w14:paraId="0912621D" w14:textId="56AE2A4A" w:rsidR="003648EC" w:rsidRDefault="003648EC" w:rsidP="003648EC">
      <w:pPr>
        <w:pStyle w:val="ListParagraph"/>
        <w:numPr>
          <w:ilvl w:val="0"/>
          <w:numId w:val="7"/>
        </w:numPr>
      </w:pPr>
      <w:r>
        <w:t>3-5</w:t>
      </w:r>
    </w:p>
    <w:p w14:paraId="7D55112E" w14:textId="08FC398B" w:rsidR="003648EC" w:rsidRDefault="003648EC" w:rsidP="003648EC">
      <w:pPr>
        <w:pStyle w:val="ListParagraph"/>
        <w:numPr>
          <w:ilvl w:val="0"/>
          <w:numId w:val="7"/>
        </w:numPr>
      </w:pPr>
      <w:r>
        <w:t>6-11</w:t>
      </w:r>
    </w:p>
    <w:p w14:paraId="214A9FF2" w14:textId="77777777" w:rsidR="003648EC" w:rsidRDefault="003648EC" w:rsidP="003648EC">
      <w:pPr>
        <w:pStyle w:val="ListParagraph"/>
        <w:numPr>
          <w:ilvl w:val="0"/>
          <w:numId w:val="7"/>
        </w:numPr>
      </w:pPr>
      <w:r>
        <w:t>12-17</w:t>
      </w:r>
    </w:p>
    <w:p w14:paraId="46E6BD3D" w14:textId="77777777" w:rsidR="003648EC" w:rsidRDefault="003648EC" w:rsidP="003F5379">
      <w:r>
        <w:t>General:</w:t>
      </w:r>
    </w:p>
    <w:p w14:paraId="1CF69B17" w14:textId="77777777" w:rsidR="003648EC" w:rsidRDefault="003648EC" w:rsidP="003648EC">
      <w:pPr>
        <w:pStyle w:val="ListParagraph"/>
        <w:numPr>
          <w:ilvl w:val="0"/>
          <w:numId w:val="7"/>
        </w:numPr>
      </w:pPr>
      <w:r>
        <w:t>0–5</w:t>
      </w:r>
    </w:p>
    <w:p w14:paraId="3BA8713C" w14:textId="77777777" w:rsidR="003648EC" w:rsidRDefault="003648EC" w:rsidP="003648EC">
      <w:pPr>
        <w:pStyle w:val="ListParagraph"/>
        <w:numPr>
          <w:ilvl w:val="0"/>
          <w:numId w:val="7"/>
        </w:numPr>
      </w:pPr>
      <w:r>
        <w:t>6–17</w:t>
      </w:r>
    </w:p>
    <w:p w14:paraId="480CE742" w14:textId="77777777" w:rsidR="003648EC" w:rsidRDefault="003648EC" w:rsidP="003648EC">
      <w:pPr>
        <w:pStyle w:val="ListParagraph"/>
        <w:numPr>
          <w:ilvl w:val="0"/>
          <w:numId w:val="7"/>
        </w:numPr>
      </w:pPr>
      <w:r>
        <w:t>18–34</w:t>
      </w:r>
    </w:p>
    <w:p w14:paraId="3210AE5D" w14:textId="77777777" w:rsidR="003648EC" w:rsidRDefault="003648EC" w:rsidP="003648EC">
      <w:pPr>
        <w:pStyle w:val="ListParagraph"/>
        <w:numPr>
          <w:ilvl w:val="0"/>
          <w:numId w:val="7"/>
        </w:numPr>
      </w:pPr>
      <w:r>
        <w:t>35–54</w:t>
      </w:r>
    </w:p>
    <w:p w14:paraId="44FDE207" w14:textId="77777777" w:rsidR="003648EC" w:rsidRDefault="003648EC" w:rsidP="003648EC">
      <w:pPr>
        <w:pStyle w:val="ListParagraph"/>
        <w:numPr>
          <w:ilvl w:val="0"/>
          <w:numId w:val="7"/>
        </w:numPr>
      </w:pPr>
      <w:r>
        <w:t>55–64</w:t>
      </w:r>
    </w:p>
    <w:p w14:paraId="5AD501E1" w14:textId="77777777" w:rsidR="003648EC" w:rsidRDefault="003648EC" w:rsidP="003648EC">
      <w:pPr>
        <w:pStyle w:val="ListParagraph"/>
        <w:numPr>
          <w:ilvl w:val="0"/>
          <w:numId w:val="7"/>
        </w:numPr>
      </w:pPr>
      <w:r>
        <w:t>65–74</w:t>
      </w:r>
    </w:p>
    <w:p w14:paraId="38B5FEB0" w14:textId="77777777" w:rsidR="003648EC" w:rsidRDefault="003648EC" w:rsidP="003648EC">
      <w:pPr>
        <w:pStyle w:val="ListParagraph"/>
        <w:numPr>
          <w:ilvl w:val="0"/>
          <w:numId w:val="7"/>
        </w:numPr>
      </w:pPr>
      <w:r>
        <w:t>75–84</w:t>
      </w:r>
    </w:p>
    <w:p w14:paraId="16D378B4" w14:textId="6AB5D02F" w:rsidR="002E26DB" w:rsidRDefault="003648EC" w:rsidP="002E26DB">
      <w:pPr>
        <w:pStyle w:val="ListParagraph"/>
        <w:numPr>
          <w:ilvl w:val="0"/>
          <w:numId w:val="7"/>
        </w:numPr>
      </w:pPr>
      <w:r>
        <w:t>Greater Than 85 (&gt;=)</w:t>
      </w:r>
    </w:p>
    <w:p w14:paraId="19979AEA" w14:textId="3635F54B" w:rsidR="002E26DB" w:rsidRDefault="002E26DB" w:rsidP="002E26DB">
      <w:r>
        <w:t>Male/female</w:t>
      </w:r>
    </w:p>
    <w:p w14:paraId="3B82470A" w14:textId="5C060919" w:rsidR="00A945D4" w:rsidRDefault="00A945D4" w:rsidP="008768CB">
      <w:pPr>
        <w:pStyle w:val="Heading2"/>
      </w:pPr>
      <w:r>
        <w:t>Times at risk</w:t>
      </w:r>
    </w:p>
    <w:p w14:paraId="0B55CADA" w14:textId="4533A961" w:rsidR="00A005FD" w:rsidRPr="00654C34" w:rsidRDefault="00A005FD" w:rsidP="00A945D4">
      <w:pPr>
        <w:rPr>
          <w:b/>
          <w:bCs/>
        </w:rPr>
      </w:pPr>
      <w:r>
        <w:t>For background rates</w:t>
      </w:r>
      <w:r w:rsidR="00D6403C">
        <w:t xml:space="preserve"> </w:t>
      </w:r>
      <w:r w:rsidR="00AE4784">
        <w:t xml:space="preserve">several </w:t>
      </w:r>
      <w:r w:rsidR="00D6403C" w:rsidRPr="00D6403C">
        <w:t>time-at-risk window</w:t>
      </w:r>
      <w:r w:rsidR="00AE4784">
        <w:t>s</w:t>
      </w:r>
      <w:r w:rsidR="00C02EB3">
        <w:t xml:space="preserve"> will be used</w:t>
      </w:r>
      <w:r w:rsidR="00D6403C" w:rsidRPr="00D6403C">
        <w:t xml:space="preserve"> to </w:t>
      </w:r>
      <w:r w:rsidR="00AE4784">
        <w:t xml:space="preserve">examine the impacts on </w:t>
      </w:r>
      <w:r w:rsidR="00D6403C" w:rsidRPr="00D6403C">
        <w:t>the sample size and provide rate stability</w:t>
      </w:r>
      <w:r w:rsidR="00C02EB3">
        <w:t xml:space="preserve">. </w:t>
      </w:r>
    </w:p>
    <w:p w14:paraId="061B4453" w14:textId="5267A805" w:rsidR="00B50DE3" w:rsidRDefault="00C02EB3" w:rsidP="00C315AE">
      <w:r>
        <w:t xml:space="preserve">We will include </w:t>
      </w:r>
      <w:r w:rsidR="00C315AE">
        <w:t>four</w:t>
      </w:r>
      <w:r w:rsidR="0079643E">
        <w:t xml:space="preserve"> </w:t>
      </w:r>
      <w:r>
        <w:t>TAR</w:t>
      </w:r>
      <w:r w:rsidR="0079643E">
        <w:t>s</w:t>
      </w:r>
      <w:r>
        <w:t>, relative to the visit date</w:t>
      </w:r>
      <w:r w:rsidR="00856101">
        <w:t xml:space="preserve"> which is the index date for this </w:t>
      </w:r>
      <w:r w:rsidR="000D7AD8">
        <w:t>objective</w:t>
      </w:r>
      <w:r w:rsidR="00856101">
        <w:t xml:space="preserve">. </w:t>
      </w:r>
      <w:r w:rsidR="00B50DE3">
        <w:t xml:space="preserve">Days 1 – </w:t>
      </w:r>
      <w:r w:rsidR="00C315AE">
        <w:t>30</w:t>
      </w:r>
      <w:r w:rsidR="00B50DE3">
        <w:t xml:space="preserve"> days (Four Weeks)</w:t>
      </w:r>
    </w:p>
    <w:p w14:paraId="53A092D0" w14:textId="3956030E" w:rsidR="00B50DE3" w:rsidRDefault="00B50DE3" w:rsidP="00B50DE3">
      <w:pPr>
        <w:pStyle w:val="ListParagraph"/>
        <w:numPr>
          <w:ilvl w:val="0"/>
          <w:numId w:val="14"/>
        </w:numPr>
      </w:pPr>
      <w:r>
        <w:t xml:space="preserve">Days 1 – </w:t>
      </w:r>
      <w:r w:rsidR="00C315AE">
        <w:t>3</w:t>
      </w:r>
      <w:r>
        <w:t>0 days</w:t>
      </w:r>
    </w:p>
    <w:p w14:paraId="0372ADB3" w14:textId="3E5FF9BE" w:rsidR="00856101" w:rsidRDefault="00856101" w:rsidP="00856101">
      <w:pPr>
        <w:pStyle w:val="ListParagraph"/>
        <w:numPr>
          <w:ilvl w:val="0"/>
          <w:numId w:val="14"/>
        </w:numPr>
      </w:pPr>
      <w:r w:rsidRPr="00856101">
        <w:t xml:space="preserve">Days 1 – </w:t>
      </w:r>
      <w:r w:rsidR="00C315AE">
        <w:t>90</w:t>
      </w:r>
      <w:r w:rsidRPr="00856101">
        <w:t xml:space="preserve"> days</w:t>
      </w:r>
    </w:p>
    <w:p w14:paraId="74B31B0E" w14:textId="248F4C92" w:rsidR="00C315AE" w:rsidRPr="00A945D4" w:rsidRDefault="00C315AE" w:rsidP="00C315AE">
      <w:pPr>
        <w:pStyle w:val="ListParagraph"/>
        <w:numPr>
          <w:ilvl w:val="0"/>
          <w:numId w:val="14"/>
        </w:numPr>
      </w:pPr>
      <w:r w:rsidRPr="00856101">
        <w:t xml:space="preserve">Days 1 – </w:t>
      </w:r>
      <w:r w:rsidR="00675EDB">
        <w:t>180</w:t>
      </w:r>
      <w:r w:rsidRPr="00856101">
        <w:t xml:space="preserve"> days</w:t>
      </w:r>
    </w:p>
    <w:p w14:paraId="7AE9C18C" w14:textId="6315A5B2" w:rsidR="00C315AE" w:rsidRPr="00A945D4" w:rsidRDefault="00675EDB" w:rsidP="00542B56">
      <w:pPr>
        <w:pStyle w:val="ListParagraph"/>
        <w:numPr>
          <w:ilvl w:val="0"/>
          <w:numId w:val="14"/>
        </w:numPr>
      </w:pPr>
      <w:r w:rsidRPr="00856101">
        <w:t xml:space="preserve">Days 1 – </w:t>
      </w:r>
      <w:r>
        <w:t>365</w:t>
      </w:r>
      <w:r w:rsidRPr="00856101">
        <w:t xml:space="preserve"> days</w:t>
      </w:r>
    </w:p>
    <w:p w14:paraId="00E12F9F" w14:textId="241D041A" w:rsidR="00377A84" w:rsidRDefault="00B8427F" w:rsidP="00B8427F">
      <w:pPr>
        <w:pStyle w:val="Heading2"/>
        <w:numPr>
          <w:ilvl w:val="0"/>
          <w:numId w:val="0"/>
        </w:numPr>
      </w:pPr>
      <w:r>
        <w:lastRenderedPageBreak/>
        <w:t>7. 5</w:t>
      </w:r>
      <w:r>
        <w:tab/>
      </w:r>
      <w:r w:rsidR="00377A84">
        <w:t>Analysis</w:t>
      </w:r>
    </w:p>
    <w:p w14:paraId="00744198" w14:textId="77777777" w:rsidR="00377A84" w:rsidRDefault="00377A84" w:rsidP="00377A84">
      <w:r>
        <w:t xml:space="preserve">Incidence will be calculated as both a rate and a </w:t>
      </w:r>
      <w:proofErr w:type="gramStart"/>
      <w:r>
        <w:t>proportion, and</w:t>
      </w:r>
      <w:proofErr w:type="gramEnd"/>
      <w:r>
        <w:t xml:space="preserve"> calculated for all four potential times-at-risk noted above. Incidence proportion is defined as the number of patients in the target cohort who enter the outcome cohort during the time at risk divided by the total number of patients in the target cohort. Incidence rate is defined as the number of outcome events that occur within the time-at-risk among the target cohort episodes divided by the total time at risk for all patients in the target cohort. </w:t>
      </w:r>
    </w:p>
    <w:p w14:paraId="6101655B" w14:textId="0DD79CD4" w:rsidR="00B8427F" w:rsidRDefault="00377A84" w:rsidP="00B8427F">
      <w:pPr>
        <w:pStyle w:val="Heading2"/>
        <w:numPr>
          <w:ilvl w:val="0"/>
          <w:numId w:val="0"/>
        </w:numPr>
      </w:pPr>
      <w:r>
        <w:t xml:space="preserve">7.6 </w:t>
      </w:r>
      <w:r w:rsidR="00C17A8B">
        <w:t>Study outputs</w:t>
      </w:r>
    </w:p>
    <w:p w14:paraId="00A8477C" w14:textId="3117C36C" w:rsidR="00B8427F" w:rsidRDefault="002D5476" w:rsidP="00F3046F">
      <w:r w:rsidRPr="002D5476">
        <w:t>We will generate descriptive statistics using the OHDSI tool</w:t>
      </w:r>
      <w:r>
        <w:t>s</w:t>
      </w:r>
      <w:r w:rsidRPr="002D5476">
        <w:t xml:space="preserve"> Cohort Diagnostics</w:t>
      </w:r>
      <w:r w:rsidR="00675EDB">
        <w:t xml:space="preserve"> and </w:t>
      </w:r>
      <w:proofErr w:type="spellStart"/>
      <w:r w:rsidR="00675EDB">
        <w:t>CohortIncidence</w:t>
      </w:r>
      <w:proofErr w:type="spellEnd"/>
      <w:r w:rsidRPr="002D5476">
        <w:t xml:space="preserve">. </w:t>
      </w:r>
    </w:p>
    <w:p w14:paraId="00A20B10" w14:textId="3145DFEB" w:rsidR="00ED3603" w:rsidRDefault="00ED3603" w:rsidP="00ED3603">
      <w:r>
        <w:t xml:space="preserve">The following will </w:t>
      </w:r>
      <w:r w:rsidR="00850F5F">
        <w:t xml:space="preserve">be </w:t>
      </w:r>
      <w:r>
        <w:t>performed for every subgroup and TAR combination:</w:t>
      </w:r>
    </w:p>
    <w:p w14:paraId="01537B33" w14:textId="77777777" w:rsidR="00ED3603" w:rsidRDefault="00ED3603" w:rsidP="00850F5F">
      <w:pPr>
        <w:pStyle w:val="ListParagraph"/>
        <w:numPr>
          <w:ilvl w:val="0"/>
          <w:numId w:val="14"/>
        </w:numPr>
      </w:pPr>
      <w:r>
        <w:t>Absolute number of outcomes</w:t>
      </w:r>
    </w:p>
    <w:p w14:paraId="7AAA16F6" w14:textId="77777777" w:rsidR="00ED3603" w:rsidRDefault="00ED3603" w:rsidP="00850F5F">
      <w:pPr>
        <w:pStyle w:val="ListParagraph"/>
        <w:numPr>
          <w:ilvl w:val="0"/>
          <w:numId w:val="14"/>
        </w:numPr>
      </w:pPr>
      <w:r>
        <w:t>Absolute number of outcomes prior to TAR start date</w:t>
      </w:r>
    </w:p>
    <w:p w14:paraId="6A3FC77D" w14:textId="77777777" w:rsidR="00ED3603" w:rsidRDefault="00ED3603" w:rsidP="00850F5F">
      <w:pPr>
        <w:pStyle w:val="ListParagraph"/>
        <w:numPr>
          <w:ilvl w:val="0"/>
          <w:numId w:val="14"/>
        </w:numPr>
      </w:pPr>
      <w:r>
        <w:t>Absolute number of patients at risk</w:t>
      </w:r>
    </w:p>
    <w:p w14:paraId="2BD4EFFC" w14:textId="77777777" w:rsidR="00ED3603" w:rsidRDefault="00ED3603" w:rsidP="00850F5F">
      <w:pPr>
        <w:pStyle w:val="ListParagraph"/>
        <w:numPr>
          <w:ilvl w:val="0"/>
          <w:numId w:val="14"/>
        </w:numPr>
      </w:pPr>
      <w:r>
        <w:t>Absolute number of patients with outcomes prior to TAR start date</w:t>
      </w:r>
    </w:p>
    <w:p w14:paraId="23076DC4" w14:textId="77777777" w:rsidR="00ED3603" w:rsidRDefault="00ED3603" w:rsidP="00850F5F">
      <w:pPr>
        <w:pStyle w:val="ListParagraph"/>
        <w:numPr>
          <w:ilvl w:val="0"/>
          <w:numId w:val="14"/>
        </w:numPr>
      </w:pPr>
      <w:r>
        <w:t>Absolute number of patients with outcomes within TAR interval</w:t>
      </w:r>
    </w:p>
    <w:p w14:paraId="6F0ABC29" w14:textId="77777777" w:rsidR="00ED3603" w:rsidRDefault="00ED3603" w:rsidP="00850F5F">
      <w:pPr>
        <w:pStyle w:val="ListParagraph"/>
        <w:numPr>
          <w:ilvl w:val="0"/>
          <w:numId w:val="14"/>
        </w:numPr>
      </w:pPr>
      <w:r>
        <w:t>Incidence proportion of outcomes within TAR interval</w:t>
      </w:r>
    </w:p>
    <w:p w14:paraId="09E1676F" w14:textId="77777777" w:rsidR="00ED3603" w:rsidRDefault="00ED3603" w:rsidP="00850F5F">
      <w:pPr>
        <w:pStyle w:val="ListParagraph"/>
        <w:numPr>
          <w:ilvl w:val="0"/>
          <w:numId w:val="14"/>
        </w:numPr>
      </w:pPr>
      <w:r>
        <w:t>Incidence rate of outcomes within TAR interval</w:t>
      </w:r>
    </w:p>
    <w:p w14:paraId="6D7E15B4" w14:textId="4F85C794" w:rsidR="00ED3603" w:rsidRDefault="00ED3603" w:rsidP="00ED3603">
      <w:r>
        <w:t xml:space="preserve">In the above outcome counts, multiple data elements (e.g., multiple diagnosis codes) within a clean window count as one outcome. Patients will contribute time-at-risk from the index date (date of </w:t>
      </w:r>
      <w:r w:rsidR="00410C8B">
        <w:t>first visit</w:t>
      </w:r>
      <w:r>
        <w:t>) until the earliest of 365 days after the index, their observation period end date, or the start date of the outcome event. Persons with prior outcome events will not begin to contribute time-at-risk until the clean window requirement is satisfied.</w:t>
      </w:r>
    </w:p>
    <w:p w14:paraId="008896FE" w14:textId="6C534F7C" w:rsidR="00082478" w:rsidRDefault="00A945D4" w:rsidP="00A945D4">
      <w:pPr>
        <w:pStyle w:val="Heading2"/>
        <w:numPr>
          <w:ilvl w:val="0"/>
          <w:numId w:val="0"/>
        </w:numPr>
      </w:pPr>
      <w:r>
        <w:t xml:space="preserve">7. </w:t>
      </w:r>
      <w:r w:rsidR="00C17A8B">
        <w:t>6</w:t>
      </w:r>
      <w:r>
        <w:tab/>
      </w:r>
      <w:r w:rsidR="004D3862">
        <w:t>Tools to conduct analyses</w:t>
      </w:r>
    </w:p>
    <w:p w14:paraId="4FDE3330" w14:textId="726D340F" w:rsidR="004D3862" w:rsidRDefault="00E221F5" w:rsidP="004D3862">
      <w:proofErr w:type="gramStart"/>
      <w:r>
        <w:t xml:space="preserve">The </w:t>
      </w:r>
      <w:r w:rsidR="0057675F">
        <w:t xml:space="preserve"> </w:t>
      </w:r>
      <w:proofErr w:type="spellStart"/>
      <w:r w:rsidR="0057675F">
        <w:t>CohortDiagnostics</w:t>
      </w:r>
      <w:proofErr w:type="spellEnd"/>
      <w:proofErr w:type="gramEnd"/>
      <w:r w:rsidR="0057675F">
        <w:t xml:space="preserve"> </w:t>
      </w:r>
      <w:r w:rsidR="00CB2190">
        <w:t>(CD)</w:t>
      </w:r>
      <w:r w:rsidR="0057675F">
        <w:t xml:space="preserve"> module will be </w:t>
      </w:r>
      <w:r w:rsidR="003C79E6">
        <w:t>used</w:t>
      </w:r>
      <w:r w:rsidR="0057675F">
        <w:t xml:space="preserve"> </w:t>
      </w:r>
      <w:r w:rsidR="009C4E03">
        <w:t xml:space="preserve">to characterize the cohorts listed in </w:t>
      </w:r>
      <w:r w:rsidR="009C4E03" w:rsidRPr="006F6F3E">
        <w:rPr>
          <w:highlight w:val="cyan"/>
        </w:rPr>
        <w:t>Appendix Table 2</w:t>
      </w:r>
      <w:r w:rsidR="009C4E03">
        <w:t xml:space="preserve">. The </w:t>
      </w:r>
      <w:r w:rsidR="00CB2190">
        <w:t>GitHub</w:t>
      </w:r>
      <w:r w:rsidR="009C4E03">
        <w:t xml:space="preserve"> repo for the </w:t>
      </w:r>
      <w:proofErr w:type="spellStart"/>
      <w:r w:rsidR="009C4E03">
        <w:t>CohortDiagnostics</w:t>
      </w:r>
      <w:proofErr w:type="spellEnd"/>
      <w:r w:rsidR="009C4E03">
        <w:t xml:space="preserve"> tool is located here: </w:t>
      </w:r>
      <w:hyperlink r:id="rId15" w:history="1">
        <w:r w:rsidR="003C79E6" w:rsidRPr="006A7C4B">
          <w:rPr>
            <w:rStyle w:val="Hyperlink"/>
          </w:rPr>
          <w:t>https://github.com/OHDSI/CohortDiagnostics</w:t>
        </w:r>
      </w:hyperlink>
    </w:p>
    <w:p w14:paraId="7B2A1F23" w14:textId="40B0D6CD" w:rsidR="00CB2190" w:rsidRDefault="003C79E6" w:rsidP="004D3862">
      <w:r>
        <w:t xml:space="preserve">A publicly available shiny application will be deployed </w:t>
      </w:r>
      <w:r w:rsidR="00A57484">
        <w:t xml:space="preserve">using the OHDSI </w:t>
      </w:r>
      <w:proofErr w:type="spellStart"/>
      <w:r w:rsidR="00BD3571">
        <w:t>S</w:t>
      </w:r>
      <w:r w:rsidR="00A57484">
        <w:t>hiny</w:t>
      </w:r>
      <w:r w:rsidR="00BD3571">
        <w:t>Deploy</w:t>
      </w:r>
      <w:proofErr w:type="spellEnd"/>
      <w:r w:rsidR="00A57484">
        <w:t xml:space="preserve"> server located here: </w:t>
      </w:r>
      <w:hyperlink r:id="rId16" w:history="1">
        <w:r w:rsidR="00CB2190" w:rsidRPr="001A3501">
          <w:rPr>
            <w:rStyle w:val="Hyperlink"/>
          </w:rPr>
          <w:t>https://github.com/OHDSI/ShinyDeploy</w:t>
        </w:r>
      </w:hyperlink>
      <w:r w:rsidR="00CB2190">
        <w:t>.</w:t>
      </w:r>
    </w:p>
    <w:p w14:paraId="12D1F747" w14:textId="51A7A9E6" w:rsidR="00233162" w:rsidRPr="004D3862" w:rsidRDefault="00233162" w:rsidP="004D3862">
      <w:r>
        <w:t>Background</w:t>
      </w:r>
      <w:r w:rsidRPr="002D5476">
        <w:t xml:space="preserve"> rates will be calculated via </w:t>
      </w:r>
      <w:r>
        <w:t>the</w:t>
      </w:r>
      <w:r w:rsidRPr="002D5476">
        <w:t xml:space="preserve"> R package</w:t>
      </w:r>
      <w:r w:rsidR="00850F5F">
        <w:t xml:space="preserve"> </w:t>
      </w:r>
      <w:hyperlink r:id="rId17" w:history="1">
        <w:r w:rsidR="00850F5F" w:rsidRPr="00131FE1">
          <w:rPr>
            <w:rStyle w:val="Hyperlink"/>
          </w:rPr>
          <w:t>https://github.com/OHDSI/CohortIncidenceModule</w:t>
        </w:r>
      </w:hyperlink>
      <w:r w:rsidR="00850F5F">
        <w:t xml:space="preserve">. </w:t>
      </w:r>
    </w:p>
    <w:p w14:paraId="3C1EA6EB" w14:textId="584F41FA" w:rsidR="00C33E7F" w:rsidRDefault="00C33E7F" w:rsidP="00964121">
      <w:pPr>
        <w:pStyle w:val="Heading2"/>
      </w:pPr>
      <w:r>
        <w:t xml:space="preserve">7.7 Logistics </w:t>
      </w:r>
      <w:r w:rsidR="00964121">
        <w:t xml:space="preserve">of Network Analyses </w:t>
      </w:r>
    </w:p>
    <w:p w14:paraId="5EC2F594" w14:textId="7F60B578" w:rsidR="00D43FD6" w:rsidRPr="00D43FD6" w:rsidRDefault="00201D88" w:rsidP="002173D6">
      <w:r>
        <w:t xml:space="preserve">Executing a Federated </w:t>
      </w:r>
      <w:proofErr w:type="spellStart"/>
      <w:r>
        <w:t>Study</w:t>
      </w:r>
      <w:r w:rsidR="00D43FD6" w:rsidRPr="00D43FD6">
        <w:t>Sites</w:t>
      </w:r>
      <w:proofErr w:type="spellEnd"/>
      <w:r w:rsidR="00D43FD6" w:rsidRPr="00D43FD6">
        <w:t xml:space="preserve">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rsidR="00D43FD6" w:rsidRPr="00D43FD6">
        <w:t>OhdsiSharing</w:t>
      </w:r>
      <w:proofErr w:type="spellEnd"/>
      <w:r w:rsidR="00D43FD6" w:rsidRPr="00D43FD6">
        <w:t xml:space="preserve"> R Library (http://ohdsi.github.io/OhdsiSharing/) or through a site’s preferred SFTP client using a site-specific key provisioned by the OHDSI Study Coordinator. Local data stewards are encouraged to review study parameters to ensure </w:t>
      </w:r>
      <w:proofErr w:type="spellStart"/>
      <w:r w:rsidR="00D43FD6" w:rsidRPr="00D43FD6">
        <w:t>minCellCount</w:t>
      </w:r>
      <w:proofErr w:type="spellEnd"/>
      <w:r w:rsidR="00D43FD6" w:rsidRPr="00D43FD6">
        <w:t xml:space="preserve">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p>
    <w:p w14:paraId="08E67655" w14:textId="483220CE" w:rsidR="004A2A2A" w:rsidRDefault="00105C0F" w:rsidP="00105C0F">
      <w:pPr>
        <w:pStyle w:val="Heading1"/>
      </w:pPr>
      <w:r w:rsidRPr="00105C0F">
        <w:lastRenderedPageBreak/>
        <w:t>Strengths and Limitations</w:t>
      </w:r>
    </w:p>
    <w:p w14:paraId="434EFD8D" w14:textId="53D82575" w:rsidR="00105C0F" w:rsidRDefault="00105C0F" w:rsidP="00105C0F">
      <w:pPr>
        <w:pStyle w:val="Heading2"/>
      </w:pPr>
      <w:r>
        <w:t>Strengths</w:t>
      </w:r>
    </w:p>
    <w:p w14:paraId="43244882" w14:textId="77777777" w:rsidR="00705AEB" w:rsidRDefault="00705AEB" w:rsidP="00705AEB">
      <w:pPr>
        <w:pStyle w:val="ListParagraph"/>
        <w:numPr>
          <w:ilvl w:val="0"/>
          <w:numId w:val="8"/>
        </w:numPr>
      </w:pPr>
      <w:r>
        <w:t>The fully specified study protocol is being published before analysis begins.</w:t>
      </w:r>
    </w:p>
    <w:p w14:paraId="61FE8A8D" w14:textId="77777777" w:rsidR="00705AEB" w:rsidRDefault="00705AEB" w:rsidP="00705AEB">
      <w:pPr>
        <w:pStyle w:val="ListParagraph"/>
        <w:numPr>
          <w:ilvl w:val="0"/>
          <w:numId w:val="8"/>
        </w:numPr>
      </w:pPr>
      <w:r>
        <w:t>Dissemination of the results will not depend on estimated effects, avoiding publication bias.</w:t>
      </w:r>
    </w:p>
    <w:p w14:paraId="7D163B08" w14:textId="77777777" w:rsidR="00705AEB" w:rsidRDefault="00705AEB" w:rsidP="00705AEB">
      <w:pPr>
        <w:pStyle w:val="ListParagraph"/>
        <w:numPr>
          <w:ilvl w:val="0"/>
          <w:numId w:val="8"/>
        </w:numPr>
      </w:pPr>
      <w:r>
        <w:t>All analytic methods have previously been verified on real data.</w:t>
      </w:r>
    </w:p>
    <w:p w14:paraId="58E38CC1" w14:textId="77777777" w:rsidR="00705AEB" w:rsidRDefault="00705AEB" w:rsidP="00705AEB">
      <w:pPr>
        <w:pStyle w:val="ListParagraph"/>
        <w:numPr>
          <w:ilvl w:val="0"/>
          <w:numId w:val="8"/>
        </w:numPr>
      </w:pPr>
      <w:r>
        <w:t>All software is freely available as open source.</w:t>
      </w:r>
    </w:p>
    <w:p w14:paraId="2C9BA2DA" w14:textId="77777777" w:rsidR="00705AEB" w:rsidRDefault="00705AEB" w:rsidP="00705AEB">
      <w:pPr>
        <w:pStyle w:val="ListParagraph"/>
        <w:numPr>
          <w:ilvl w:val="0"/>
          <w:numId w:val="8"/>
        </w:numPr>
      </w:pPr>
      <w:r>
        <w:t>Use of a common data model allows extension of the experiment to future databases and allows replication of these results on licensable databases that were used in this experiment, while still maintaining patient privacy on patient-level data.</w:t>
      </w:r>
    </w:p>
    <w:p w14:paraId="0721B823" w14:textId="69C35DC2" w:rsidR="00105C0F" w:rsidRDefault="00705AEB" w:rsidP="00705AEB">
      <w:pPr>
        <w:pStyle w:val="ListParagraph"/>
        <w:numPr>
          <w:ilvl w:val="0"/>
          <w:numId w:val="8"/>
        </w:numPr>
      </w:pPr>
      <w:r>
        <w:t>Use of multiple databases allows estimating consistency to add credibility and supports generalizability.</w:t>
      </w:r>
    </w:p>
    <w:p w14:paraId="69AA6006" w14:textId="31AB97C4" w:rsidR="00216FE7" w:rsidRDefault="00216FE7" w:rsidP="00705AEB">
      <w:pPr>
        <w:pStyle w:val="ListParagraph"/>
        <w:numPr>
          <w:ilvl w:val="0"/>
          <w:numId w:val="8"/>
        </w:numPr>
      </w:pPr>
      <w:r>
        <w:t>Because this is a federated, distributed network study, the data holders are in control of if they want to participate both before and after results are generated.</w:t>
      </w:r>
    </w:p>
    <w:p w14:paraId="5F63BC27" w14:textId="71091C38" w:rsidR="00105C0F" w:rsidRDefault="00105C0F" w:rsidP="00105C0F">
      <w:pPr>
        <w:pStyle w:val="Heading2"/>
      </w:pPr>
      <w:r>
        <w:t>Limitations</w:t>
      </w:r>
    </w:p>
    <w:p w14:paraId="79ABAE66" w14:textId="77777777" w:rsidR="00705AEB" w:rsidRDefault="00705AEB" w:rsidP="00705AEB">
      <w:pPr>
        <w:pStyle w:val="ListParagraph"/>
        <w:numPr>
          <w:ilvl w:val="0"/>
          <w:numId w:val="9"/>
        </w:numPr>
      </w:pPr>
      <w:r>
        <w:t>Misclassification of study variables is unavoidable in secondary use of health data, so it is possible to misclassify treatments, covariates, and outcomes; we do not expect differential misclassification, so bias will most likely be towards the null.</w:t>
      </w:r>
    </w:p>
    <w:p w14:paraId="4A4E8840" w14:textId="77777777" w:rsidR="00705AEB" w:rsidRDefault="00705AEB" w:rsidP="00705AEB">
      <w:pPr>
        <w:pStyle w:val="ListParagraph"/>
        <w:numPr>
          <w:ilvl w:val="0"/>
          <w:numId w:val="9"/>
        </w:numPr>
      </w:pPr>
      <w:r>
        <w:t>The electronic health record databases may be missing care episodes for patients due to care outside the respective health systems; bias will most likely be towards the null.</w:t>
      </w:r>
    </w:p>
    <w:p w14:paraId="339AD7D0" w14:textId="024F1AAE" w:rsidR="00105C0F" w:rsidRDefault="00105C0F" w:rsidP="003D2E56">
      <w:pPr>
        <w:pStyle w:val="Heading1"/>
      </w:pPr>
      <w:r>
        <w:t>Protection of Human Subjects</w:t>
      </w:r>
    </w:p>
    <w:p w14:paraId="272A7FFF" w14:textId="044C207D" w:rsidR="00B33BC4" w:rsidRDefault="00B33BC4" w:rsidP="00B33BC4">
      <w:r>
        <w:t xml:space="preserve">This work does not involve human </w:t>
      </w:r>
      <w:proofErr w:type="gramStart"/>
      <w:r>
        <w:t>subjects</w:t>
      </w:r>
      <w:proofErr w:type="gramEnd"/>
      <w:r>
        <w:t xml:space="preserve"> research. The project does, however, use de-identified human data collected during routine healthcare provision. Confidentiality of subject records will be maintained always. All study reports will contain aggregate data only and will not identify individual subjects or physicians. At no time during the study will the sponsor receive subject identifying information</w:t>
      </w:r>
      <w:r w:rsidR="00FD1A39">
        <w:t>.</w:t>
      </w:r>
    </w:p>
    <w:p w14:paraId="21778C53" w14:textId="4D1E7EBD" w:rsidR="00B33BC4" w:rsidRDefault="00B33BC4" w:rsidP="00B33BC4">
      <w:r>
        <w:t xml:space="preserve">All data partners executing this study within their data sources will have received </w:t>
      </w:r>
      <w:r w:rsidR="0045367A">
        <w:t xml:space="preserve">their own approvals </w:t>
      </w:r>
      <w:r>
        <w:t xml:space="preserve">in accordance </w:t>
      </w:r>
      <w:r w:rsidR="00976BF9">
        <w:t>with</w:t>
      </w:r>
      <w:r>
        <w:t xml:space="preserve"> their institutional governance prior to execution. This study will be executed across a federated and distributed data network, where analysis code is sent to participating data partners and only aggregate summary statistics are returned, with no sharing of patient-level data between organizations.</w:t>
      </w:r>
    </w:p>
    <w:p w14:paraId="57E0D35A" w14:textId="2375026D" w:rsidR="00A9007E" w:rsidRDefault="00E04A12" w:rsidP="003F5379">
      <w:pPr>
        <w:pStyle w:val="Heading1"/>
      </w:pPr>
      <w:r w:rsidRPr="00E04A12">
        <w:t>Management and Reporting of Adverse Events and Adverse Reactions</w:t>
      </w:r>
    </w:p>
    <w:p w14:paraId="2596F168" w14:textId="5DDED4CC" w:rsidR="00E04A12" w:rsidRDefault="00A9007E" w:rsidP="00E04A12">
      <w:r w:rsidRPr="00A9007E">
        <w:t xml:space="preserve">This study uses coded data that already exist in electronic databases. In these types of databases, it is not possible to link (i.e., identify a potential causal association between) a particular product and medical event for any specific individual. Thus, the minimum criteria for reporting an adverse event (i.e., identifiable patient, identifiable reporter, a suspect </w:t>
      </w:r>
      <w:proofErr w:type="gramStart"/>
      <w:r w:rsidRPr="00A9007E">
        <w:t>product</w:t>
      </w:r>
      <w:proofErr w:type="gramEnd"/>
      <w:r w:rsidRPr="00A9007E">
        <w:t xml:space="preserve"> and event) are not available and adverse events are not reportable as individual adverse event reports. The study results will be assessed for medically important findings.</w:t>
      </w:r>
    </w:p>
    <w:p w14:paraId="6E2F9F45" w14:textId="002F24C9" w:rsidR="00E04A12" w:rsidRDefault="00E04A12" w:rsidP="00E04A12">
      <w:pPr>
        <w:pStyle w:val="Heading1"/>
      </w:pPr>
      <w:r w:rsidRPr="00E04A12">
        <w:lastRenderedPageBreak/>
        <w:t>Plans for Disseminating and Communicating Study Results</w:t>
      </w:r>
    </w:p>
    <w:p w14:paraId="3ECC25B8" w14:textId="038EF6D8" w:rsidR="007F1DC0" w:rsidRDefault="00A26C38" w:rsidP="007F1DC0">
      <w:r>
        <w:t>Open science aims to make scientific research, including its data process and software, and its dissemination, through publication and presentation, accessible to all levels of an inquiring society, amateur or professional [8]. Open science delivers reproducible, transparent</w:t>
      </w:r>
      <w:r w:rsidR="00285B83">
        <w:t>,</w:t>
      </w:r>
      <w:r>
        <w:t xml:space="preserve"> and reliable evidence. All aspects of study (except private patient data) will be open, and we will actively encourage other interested researchers, </w:t>
      </w:r>
      <w:proofErr w:type="gramStart"/>
      <w:r>
        <w:t>clinicians</w:t>
      </w:r>
      <w:proofErr w:type="gramEnd"/>
      <w:r>
        <w:t xml:space="preserve"> and patients to participate.</w:t>
      </w:r>
    </w:p>
    <w:p w14:paraId="1B7ADD19" w14:textId="30601DA2" w:rsidR="007F1DC0" w:rsidRDefault="007F1DC0" w:rsidP="007F1DC0">
      <w:pPr>
        <w:pStyle w:val="Heading2"/>
      </w:pPr>
      <w:r w:rsidRPr="007F1DC0">
        <w:t>Transparent and re-usable research tools</w:t>
      </w:r>
    </w:p>
    <w:p w14:paraId="031F6083" w14:textId="1977FD8F" w:rsidR="007F1DC0" w:rsidRDefault="006E0EF4" w:rsidP="007F1DC0">
      <w:r>
        <w:t xml:space="preserve">The protocol and all source code will be available </w:t>
      </w:r>
      <w:r w:rsidR="007379B6">
        <w:t xml:space="preserve">below </w:t>
      </w:r>
      <w:r>
        <w:t>prior to execution across the federated and distributed network.</w:t>
      </w:r>
    </w:p>
    <w:p w14:paraId="521ACEE6" w14:textId="5419813B" w:rsidR="009755BB" w:rsidRDefault="00A168B8" w:rsidP="007F1DC0">
      <w:r>
        <w:t xml:space="preserve">Protocol: </w:t>
      </w:r>
      <w:r>
        <w:tab/>
      </w:r>
      <w:r w:rsidR="009755BB" w:rsidRPr="009414F7">
        <w:rPr>
          <w:highlight w:val="yellow"/>
        </w:rPr>
        <w:t>&lt;&lt;ENCEPP LINK&gt;&gt;</w:t>
      </w:r>
    </w:p>
    <w:p w14:paraId="07D828E6" w14:textId="418547D4" w:rsidR="00A168B8" w:rsidRDefault="00A168B8" w:rsidP="007F1DC0">
      <w:r>
        <w:t>Protocol:</w:t>
      </w:r>
      <w:r>
        <w:tab/>
      </w:r>
      <w:r w:rsidR="00976BF9" w:rsidRPr="009414F7">
        <w:rPr>
          <w:highlight w:val="yellow"/>
        </w:rPr>
        <w:t>&lt;&lt;OHDSI GITHUB PROTOCOL&gt;&gt;</w:t>
      </w:r>
    </w:p>
    <w:p w14:paraId="68736CD3" w14:textId="4AD38741" w:rsidR="009755BB" w:rsidRDefault="00A168B8" w:rsidP="007F1DC0">
      <w:r>
        <w:t>Code:</w:t>
      </w:r>
      <w:r>
        <w:tab/>
      </w:r>
      <w:r>
        <w:tab/>
      </w:r>
      <w:hyperlink r:id="rId18" w:history="1">
        <w:r w:rsidRPr="00A168B8">
          <w:rPr>
            <w:rStyle w:val="Hyperlink"/>
          </w:rPr>
          <w:t>https://github.com/ohdsi-studies/PediatricCharacterization</w:t>
        </w:r>
      </w:hyperlink>
    </w:p>
    <w:p w14:paraId="7F43968B" w14:textId="35D8C296" w:rsidR="007F1DC0" w:rsidRDefault="007F1DC0" w:rsidP="007F1DC0">
      <w:pPr>
        <w:pStyle w:val="Heading2"/>
      </w:pPr>
      <w:r w:rsidRPr="007F1DC0">
        <w:t>Continuous sharing of results</w:t>
      </w:r>
    </w:p>
    <w:p w14:paraId="35FB5C4C" w14:textId="65FDB2EC" w:rsidR="00CE6187" w:rsidRDefault="006E0EF4" w:rsidP="00CE6187">
      <w:r w:rsidRPr="006E0EF4">
        <w:t xml:space="preserve">We will store and openly communicate </w:t>
      </w:r>
      <w:proofErr w:type="gramStart"/>
      <w:r w:rsidRPr="006E0EF4">
        <w:t>all of</w:t>
      </w:r>
      <w:proofErr w:type="gramEnd"/>
      <w:r w:rsidRPr="006E0EF4">
        <w:t xml:space="preserve"> these results as they become available using a user-friendly web-based app.</w:t>
      </w:r>
    </w:p>
    <w:p w14:paraId="214AC01A" w14:textId="17546931" w:rsidR="00CE6187" w:rsidRPr="00CE6187" w:rsidRDefault="00CE6187" w:rsidP="00CE6187">
      <w:pPr>
        <w:pStyle w:val="Heading2"/>
      </w:pPr>
      <w:r w:rsidRPr="00CE6187">
        <w:t>Scientific meetings and publications</w:t>
      </w:r>
    </w:p>
    <w:p w14:paraId="7088CCF0" w14:textId="7BBC66F5" w:rsidR="00CE6187" w:rsidRDefault="00765D5B">
      <w:r w:rsidRPr="00765D5B">
        <w:t>We will deliver multiple presentations at scientific venues and will also prepare multiple scientific publications for clinical, informatics, and statistical journals.</w:t>
      </w:r>
    </w:p>
    <w:p w14:paraId="448F9C76" w14:textId="3D111B9A" w:rsidR="00CE6187" w:rsidRDefault="00CE6187" w:rsidP="00CE6187">
      <w:pPr>
        <w:pStyle w:val="Heading2"/>
      </w:pPr>
      <w:r>
        <w:t>General public</w:t>
      </w:r>
    </w:p>
    <w:p w14:paraId="20F3B3E3" w14:textId="08BB7AE9" w:rsidR="00765D5B" w:rsidRDefault="00CE6187" w:rsidP="00CE6187">
      <w:r>
        <w:t xml:space="preserve">We believe in sharing our findings that will guide clinical care with the </w:t>
      </w:r>
      <w:proofErr w:type="gramStart"/>
      <w:r>
        <w:t>general public</w:t>
      </w:r>
      <w:proofErr w:type="gramEnd"/>
      <w:r>
        <w:t>. This study will use social-media (Twitter-OHDSI) to facilitate this.</w:t>
      </w:r>
    </w:p>
    <w:p w14:paraId="46446D89" w14:textId="77777777" w:rsidR="00483D25" w:rsidRDefault="00483D25">
      <w:pPr>
        <w:rPr>
          <w:rFonts w:asciiTheme="majorHAnsi" w:eastAsiaTheme="majorEastAsia" w:hAnsiTheme="majorHAnsi" w:cstheme="majorBidi"/>
          <w:b/>
          <w:bCs/>
          <w:smallCaps/>
          <w:color w:val="000000" w:themeColor="text1"/>
          <w:sz w:val="36"/>
          <w:szCs w:val="36"/>
        </w:rPr>
      </w:pPr>
      <w:r>
        <w:br w:type="page"/>
      </w:r>
    </w:p>
    <w:p w14:paraId="3194156D" w14:textId="1B23C4DF" w:rsidR="00765D5B" w:rsidRDefault="00765D5B" w:rsidP="00765D5B">
      <w:pPr>
        <w:pStyle w:val="Heading1"/>
      </w:pPr>
      <w:r w:rsidRPr="00765D5B">
        <w:lastRenderedPageBreak/>
        <w:t>References</w:t>
      </w:r>
    </w:p>
    <w:p w14:paraId="30205B08" w14:textId="07B0EA75" w:rsidR="00E76399" w:rsidRDefault="00E76399" w:rsidP="00E76399">
      <w:pPr>
        <w:pStyle w:val="ListParagraph"/>
        <w:numPr>
          <w:ilvl w:val="0"/>
          <w:numId w:val="10"/>
        </w:numPr>
      </w:pPr>
      <w:r>
        <w:t xml:space="preserve">Observational medical outcomes partnership common data model (OMOP CDM). </w:t>
      </w:r>
      <w:hyperlink r:id="rId19" w:history="1">
        <w:r w:rsidRPr="00C27214">
          <w:rPr>
            <w:rStyle w:val="Hyperlink"/>
          </w:rPr>
          <w:t>https://github.com/OHDSI/CommonDataModel</w:t>
        </w:r>
      </w:hyperlink>
    </w:p>
    <w:p w14:paraId="0824798E" w14:textId="7016A762" w:rsidR="00E76399" w:rsidRPr="00E76399" w:rsidRDefault="00E76399" w:rsidP="00E76399">
      <w:pPr>
        <w:pStyle w:val="ListParagraph"/>
        <w:numPr>
          <w:ilvl w:val="0"/>
          <w:numId w:val="10"/>
        </w:numPr>
      </w:pPr>
      <w:proofErr w:type="spellStart"/>
      <w:r>
        <w:t>Hripcsak</w:t>
      </w:r>
      <w:proofErr w:type="spellEnd"/>
      <w:r>
        <w:t xml:space="preserve"> G, Duke JD, Shah NH, et al. Observational health data sciences and informatics (OHDSI): Opportunities for observational researchers. Studies in Health Technology and Informatics </w:t>
      </w:r>
      <w:proofErr w:type="gramStart"/>
      <w:r>
        <w:t>2015;216:574</w:t>
      </w:r>
      <w:proofErr w:type="gramEnd"/>
      <w:r>
        <w:t>–8.</w:t>
      </w:r>
    </w:p>
    <w:p w14:paraId="2DF86ACC" w14:textId="77777777" w:rsidR="00483D25" w:rsidRDefault="00483D25">
      <w:pPr>
        <w:rPr>
          <w:rFonts w:asciiTheme="majorHAnsi" w:eastAsiaTheme="majorEastAsia" w:hAnsiTheme="majorHAnsi" w:cstheme="majorBidi"/>
          <w:b/>
          <w:bCs/>
          <w:smallCaps/>
          <w:color w:val="000000" w:themeColor="text1"/>
          <w:sz w:val="36"/>
          <w:szCs w:val="36"/>
        </w:rPr>
      </w:pPr>
      <w:r>
        <w:br w:type="page"/>
      </w:r>
    </w:p>
    <w:p w14:paraId="619004D2" w14:textId="03109388" w:rsidR="00EA2208" w:rsidRDefault="00765D5B" w:rsidP="00765D5B">
      <w:pPr>
        <w:pStyle w:val="Heading1"/>
      </w:pPr>
      <w:r>
        <w:lastRenderedPageBreak/>
        <w:t>Appendix</w:t>
      </w:r>
    </w:p>
    <w:p w14:paraId="7E6FC888" w14:textId="77777777" w:rsidR="00E5453F" w:rsidRDefault="00E5453F" w:rsidP="00483D25">
      <w:pPr>
        <w:pStyle w:val="Heading2"/>
        <w:ind w:left="720" w:hanging="720"/>
      </w:pPr>
      <w:r>
        <w:t>Appendix 1</w:t>
      </w:r>
    </w:p>
    <w:p w14:paraId="48FB8E0A" w14:textId="5E6A8569" w:rsidR="00443436" w:rsidRDefault="00E5453F" w:rsidP="007379B6">
      <w:r>
        <w:rPr>
          <w:b/>
          <w:bCs/>
        </w:rPr>
        <w:t xml:space="preserve">Appendix </w:t>
      </w:r>
      <w:r w:rsidR="00443436" w:rsidRPr="0061381D">
        <w:rPr>
          <w:b/>
        </w:rPr>
        <w:t>Table 1. Overview of existing pediatric data networks</w:t>
      </w:r>
    </w:p>
    <w:tbl>
      <w:tblPr>
        <w:tblStyle w:val="TableGrid"/>
        <w:tblW w:w="0" w:type="auto"/>
        <w:tblLook w:val="04A0" w:firstRow="1" w:lastRow="0" w:firstColumn="1" w:lastColumn="0" w:noHBand="0" w:noVBand="1"/>
      </w:tblPr>
      <w:tblGrid>
        <w:gridCol w:w="3232"/>
        <w:gridCol w:w="2136"/>
        <w:gridCol w:w="1829"/>
        <w:gridCol w:w="2153"/>
      </w:tblGrid>
      <w:tr w:rsidR="00443436" w14:paraId="00CCF039" w14:textId="77777777" w:rsidTr="00F75BB2">
        <w:trPr>
          <w:tblHeader/>
        </w:trPr>
        <w:tc>
          <w:tcPr>
            <w:tcW w:w="2337" w:type="dxa"/>
            <w:shd w:val="clear" w:color="auto" w:fill="D9D9D9" w:themeFill="background1" w:themeFillShade="D9"/>
          </w:tcPr>
          <w:p w14:paraId="7CA56B58" w14:textId="50F3C652" w:rsidR="00443436" w:rsidRPr="0061381D" w:rsidRDefault="00443436">
            <w:pPr>
              <w:rPr>
                <w:b/>
              </w:rPr>
            </w:pPr>
            <w:r w:rsidRPr="0061381D">
              <w:rPr>
                <w:b/>
              </w:rPr>
              <w:t>Name</w:t>
            </w:r>
          </w:p>
        </w:tc>
        <w:tc>
          <w:tcPr>
            <w:tcW w:w="2337" w:type="dxa"/>
            <w:shd w:val="clear" w:color="auto" w:fill="D9D9D9" w:themeFill="background1" w:themeFillShade="D9"/>
          </w:tcPr>
          <w:p w14:paraId="71141CE1" w14:textId="35B08924" w:rsidR="00443436" w:rsidRPr="0061381D" w:rsidRDefault="00A9667A">
            <w:pPr>
              <w:rPr>
                <w:b/>
              </w:rPr>
            </w:pPr>
            <w:r w:rsidRPr="0061381D">
              <w:rPr>
                <w:b/>
              </w:rPr>
              <w:t>Geographical Area/Catchment</w:t>
            </w:r>
          </w:p>
        </w:tc>
        <w:tc>
          <w:tcPr>
            <w:tcW w:w="2338" w:type="dxa"/>
            <w:shd w:val="clear" w:color="auto" w:fill="D9D9D9" w:themeFill="background1" w:themeFillShade="D9"/>
          </w:tcPr>
          <w:p w14:paraId="2BA4E524" w14:textId="1FB69A39" w:rsidR="00443436" w:rsidRPr="0061381D" w:rsidRDefault="00A9667A">
            <w:pPr>
              <w:rPr>
                <w:b/>
              </w:rPr>
            </w:pPr>
            <w:r w:rsidRPr="0061381D">
              <w:rPr>
                <w:b/>
              </w:rPr>
              <w:t>Years of Data</w:t>
            </w:r>
          </w:p>
        </w:tc>
        <w:tc>
          <w:tcPr>
            <w:tcW w:w="2338" w:type="dxa"/>
            <w:shd w:val="clear" w:color="auto" w:fill="D9D9D9" w:themeFill="background1" w:themeFillShade="D9"/>
          </w:tcPr>
          <w:p w14:paraId="6FF7643A" w14:textId="31B6C81E" w:rsidR="00443436" w:rsidRPr="0061381D" w:rsidRDefault="00A9667A">
            <w:pPr>
              <w:rPr>
                <w:b/>
              </w:rPr>
            </w:pPr>
            <w:r w:rsidRPr="0061381D">
              <w:rPr>
                <w:b/>
              </w:rPr>
              <w:t>Research Focus</w:t>
            </w:r>
          </w:p>
        </w:tc>
      </w:tr>
      <w:tr w:rsidR="00443436" w14:paraId="03B4C61D" w14:textId="77777777" w:rsidTr="00443436">
        <w:tc>
          <w:tcPr>
            <w:tcW w:w="2337" w:type="dxa"/>
          </w:tcPr>
          <w:p w14:paraId="51286497" w14:textId="3C4DEC44" w:rsidR="00443436" w:rsidRDefault="00855DCC">
            <w:r w:rsidRPr="00855DCC">
              <w:t>The Children’s Data Network (</w:t>
            </w:r>
            <w:hyperlink r:id="rId20" w:history="1">
              <w:r w:rsidRPr="00564426">
                <w:rPr>
                  <w:rStyle w:val="Hyperlink"/>
                </w:rPr>
                <w:t>CDN</w:t>
              </w:r>
            </w:hyperlink>
            <w:r w:rsidRPr="00855DCC">
              <w:t>)</w:t>
            </w:r>
            <w:r w:rsidR="00564426">
              <w:t xml:space="preserve"> </w:t>
            </w:r>
          </w:p>
        </w:tc>
        <w:tc>
          <w:tcPr>
            <w:tcW w:w="2337" w:type="dxa"/>
          </w:tcPr>
          <w:p w14:paraId="15A7E34E" w14:textId="4DA05DA8" w:rsidR="00443436" w:rsidRDefault="00855DCC">
            <w:r w:rsidRPr="00855DCC">
              <w:t xml:space="preserve">children born in </w:t>
            </w:r>
            <w:proofErr w:type="gramStart"/>
            <w:r w:rsidRPr="00855DCC">
              <w:t>California</w:t>
            </w:r>
            <w:r w:rsidR="00151FE0">
              <w:t xml:space="preserve"> </w:t>
            </w:r>
            <w:r w:rsidR="000F5469">
              <w:t xml:space="preserve"> –</w:t>
            </w:r>
            <w:proofErr w:type="gramEnd"/>
            <w:r w:rsidR="000F5469">
              <w:t xml:space="preserve"> CA </w:t>
            </w:r>
            <w:r w:rsidR="00A0593A">
              <w:t xml:space="preserve">birth and death records; </w:t>
            </w:r>
            <w:r w:rsidR="00803715">
              <w:t xml:space="preserve">incarceration records; </w:t>
            </w:r>
            <w:r w:rsidR="00A37A5A">
              <w:t>social service and education data</w:t>
            </w:r>
          </w:p>
        </w:tc>
        <w:tc>
          <w:tcPr>
            <w:tcW w:w="2338" w:type="dxa"/>
          </w:tcPr>
          <w:p w14:paraId="64C7DC3C" w14:textId="3DC80283" w:rsidR="00443436" w:rsidRDefault="00B5748D">
            <w:r>
              <w:t>2014-</w:t>
            </w:r>
            <w:r w:rsidR="00A6531B">
              <w:t>present</w:t>
            </w:r>
          </w:p>
        </w:tc>
        <w:tc>
          <w:tcPr>
            <w:tcW w:w="2338" w:type="dxa"/>
          </w:tcPr>
          <w:p w14:paraId="6258CCC6" w14:textId="7D27B6C0" w:rsidR="00443436" w:rsidRDefault="00EC4457">
            <w:r>
              <w:t>Evidence based policy</w:t>
            </w:r>
            <w:r w:rsidR="00381EE3">
              <w:t xml:space="preserve"> research</w:t>
            </w:r>
          </w:p>
        </w:tc>
      </w:tr>
      <w:tr w:rsidR="00443436" w14:paraId="15052603" w14:textId="77777777" w:rsidTr="00443436">
        <w:tc>
          <w:tcPr>
            <w:tcW w:w="2337" w:type="dxa"/>
          </w:tcPr>
          <w:p w14:paraId="4920F584" w14:textId="5C67FDEC" w:rsidR="00443436" w:rsidRDefault="00714CA2">
            <w:hyperlink r:id="rId21" w:history="1">
              <w:proofErr w:type="spellStart"/>
              <w:r w:rsidR="000C449B" w:rsidRPr="003259C4">
                <w:rPr>
                  <w:rStyle w:val="Hyperlink"/>
                </w:rPr>
                <w:t>PEDSnet</w:t>
              </w:r>
              <w:proofErr w:type="spellEnd"/>
            </w:hyperlink>
          </w:p>
        </w:tc>
        <w:tc>
          <w:tcPr>
            <w:tcW w:w="2337" w:type="dxa"/>
          </w:tcPr>
          <w:p w14:paraId="6D5441DC" w14:textId="77777777" w:rsidR="00395A69" w:rsidRDefault="00395A69" w:rsidP="00395A69">
            <w:r>
              <w:t>eight children’s hospitals,</w:t>
            </w:r>
          </w:p>
          <w:p w14:paraId="546F992B" w14:textId="77777777" w:rsidR="00395A69" w:rsidRDefault="00395A69" w:rsidP="00395A69">
            <w:r>
              <w:t xml:space="preserve">two existing patient-centered disease-specific pediatric networks addressing inflammatory bowel </w:t>
            </w:r>
            <w:proofErr w:type="gramStart"/>
            <w:r>
              <w:t>disease</w:t>
            </w:r>
            <w:proofErr w:type="gramEnd"/>
          </w:p>
          <w:p w14:paraId="5853F763" w14:textId="77777777" w:rsidR="00395A69" w:rsidRDefault="00395A69" w:rsidP="00395A69">
            <w:r>
              <w:t>and complex congenital heart disease, a newly</w:t>
            </w:r>
          </w:p>
          <w:p w14:paraId="284678F8" w14:textId="77777777" w:rsidR="00395A69" w:rsidRDefault="00395A69" w:rsidP="00395A69">
            <w:r>
              <w:t xml:space="preserve">formed pediatric obesity network, and two </w:t>
            </w:r>
            <w:proofErr w:type="gramStart"/>
            <w:r>
              <w:t>national</w:t>
            </w:r>
            <w:proofErr w:type="gramEnd"/>
          </w:p>
          <w:p w14:paraId="33C247AD" w14:textId="61BD2B24" w:rsidR="00443436" w:rsidRDefault="00395A69" w:rsidP="00395A69">
            <w:r>
              <w:t>data partners;</w:t>
            </w:r>
            <w:r w:rsidR="007625F6" w:rsidRPr="007625F6">
              <w:t xml:space="preserve"> includes observational data on over 5 million children with at least 1 clinical encounter and at least 1 coded diagnosis during or after 2009</w:t>
            </w:r>
            <w:r w:rsidR="00D2323E">
              <w:t xml:space="preserve">. Specific partners include: </w:t>
            </w:r>
          </w:p>
          <w:p w14:paraId="032961BD" w14:textId="77777777" w:rsidR="00B87AF3" w:rsidRDefault="00B87AF3" w:rsidP="00B87AF3">
            <w:r>
              <w:t>Children’s</w:t>
            </w:r>
          </w:p>
          <w:p w14:paraId="659735A6" w14:textId="77777777" w:rsidR="00B87AF3" w:rsidRDefault="00B87AF3" w:rsidP="00B87AF3">
            <w:r>
              <w:t>Hospital of Philadelphia (CHOP), Cincinnati</w:t>
            </w:r>
          </w:p>
          <w:p w14:paraId="74F1FEAA" w14:textId="77777777" w:rsidR="00B87AF3" w:rsidRDefault="00B87AF3" w:rsidP="00B87AF3">
            <w:r>
              <w:t>Children’s Hospital Medical Center (CCHMC),</w:t>
            </w:r>
          </w:p>
          <w:p w14:paraId="02C3BD0B" w14:textId="77777777" w:rsidR="00B87AF3" w:rsidRDefault="00B87AF3" w:rsidP="00B87AF3">
            <w:r>
              <w:t>Children’s Hospital Colorado, Nemours Children’s</w:t>
            </w:r>
          </w:p>
          <w:p w14:paraId="2A37F716" w14:textId="77777777" w:rsidR="00B87AF3" w:rsidRDefault="00B87AF3" w:rsidP="00B87AF3">
            <w:r>
              <w:lastRenderedPageBreak/>
              <w:t>Health System, Nationwide Children’s Hospital,</w:t>
            </w:r>
          </w:p>
          <w:p w14:paraId="400EC14A" w14:textId="77777777" w:rsidR="00B87AF3" w:rsidRDefault="00B87AF3" w:rsidP="00B87AF3">
            <w:r>
              <w:t>St. Louis Children’s Hospital, Seattle Children’s</w:t>
            </w:r>
          </w:p>
          <w:p w14:paraId="111A0A81" w14:textId="77777777" w:rsidR="00B87AF3" w:rsidRDefault="00B87AF3" w:rsidP="00B87AF3">
            <w:r>
              <w:t>Hospital, and Boston Children’s Hospital. With</w:t>
            </w:r>
          </w:p>
          <w:p w14:paraId="3C1522D7" w14:textId="77777777" w:rsidR="001E6324" w:rsidRDefault="00B87AF3" w:rsidP="001E6324">
            <w:r>
              <w:t>regional catchment areas extending across 22 states</w:t>
            </w:r>
            <w:r w:rsidR="001E6324">
              <w:t xml:space="preserve">; </w:t>
            </w:r>
            <w:proofErr w:type="spellStart"/>
            <w:r w:rsidR="001E6324">
              <w:t>ImproveCareNow</w:t>
            </w:r>
            <w:proofErr w:type="spellEnd"/>
            <w:r w:rsidR="001E6324">
              <w:t xml:space="preserve"> (ICN) Inflammatory</w:t>
            </w:r>
          </w:p>
          <w:p w14:paraId="11E67132" w14:textId="364B0DA6" w:rsidR="001E6324" w:rsidRDefault="001E6324" w:rsidP="001E6324">
            <w:r>
              <w:t>Bowel Disease Network, the National Pediatric</w:t>
            </w:r>
          </w:p>
          <w:p w14:paraId="50914289" w14:textId="77777777" w:rsidR="001E6324" w:rsidRDefault="001E6324" w:rsidP="001E6324">
            <w:r>
              <w:t>Cardiology Quality Improvement Collaborative</w:t>
            </w:r>
          </w:p>
          <w:p w14:paraId="6FB26486" w14:textId="39F5DF5B" w:rsidR="001E6324" w:rsidRDefault="001E6324" w:rsidP="001E6324">
            <w:r>
              <w:t xml:space="preserve">(NPCQIC) </w:t>
            </w:r>
            <w:r w:rsidR="003259C4">
              <w:t xml:space="preserve">and </w:t>
            </w:r>
          </w:p>
          <w:p w14:paraId="29C751F5" w14:textId="23FEE462" w:rsidR="001E6324" w:rsidRDefault="001E6324" w:rsidP="001E6324">
            <w:r>
              <w:t>Healthy Weight</w:t>
            </w:r>
          </w:p>
          <w:p w14:paraId="10779E86" w14:textId="5E9FDF6C" w:rsidR="00B87AF3" w:rsidRDefault="001E6324" w:rsidP="001E6324">
            <w:r>
              <w:t>obesity prevention network.</w:t>
            </w:r>
          </w:p>
        </w:tc>
        <w:tc>
          <w:tcPr>
            <w:tcW w:w="2338" w:type="dxa"/>
          </w:tcPr>
          <w:p w14:paraId="58093ECA" w14:textId="27F663BD" w:rsidR="00443436" w:rsidRDefault="00C76EE1">
            <w:r>
              <w:lastRenderedPageBreak/>
              <w:t>2009-present</w:t>
            </w:r>
          </w:p>
        </w:tc>
        <w:tc>
          <w:tcPr>
            <w:tcW w:w="2338" w:type="dxa"/>
          </w:tcPr>
          <w:p w14:paraId="75BAA97D" w14:textId="0007C493" w:rsidR="00443436" w:rsidRDefault="007117D5">
            <w:r>
              <w:t xml:space="preserve">Variety of outcomes and </w:t>
            </w:r>
            <w:hyperlink r:id="rId22" w:history="1">
              <w:r w:rsidRPr="007117D5">
                <w:rPr>
                  <w:rStyle w:val="Hyperlink"/>
                </w:rPr>
                <w:t>data quality</w:t>
              </w:r>
            </w:hyperlink>
            <w:r>
              <w:t xml:space="preserve"> </w:t>
            </w:r>
          </w:p>
        </w:tc>
      </w:tr>
      <w:tr w:rsidR="00443436" w14:paraId="03E1571A" w14:textId="77777777" w:rsidTr="00443436">
        <w:tc>
          <w:tcPr>
            <w:tcW w:w="2337" w:type="dxa"/>
          </w:tcPr>
          <w:p w14:paraId="018FEF79" w14:textId="2B46A4DA" w:rsidR="00443436" w:rsidRDefault="00BC066C">
            <w:r w:rsidRPr="00BC066C">
              <w:t xml:space="preserve">The Shriners Hospitals for Children Learning Health System </w:t>
            </w:r>
            <w:hyperlink r:id="rId23" w:history="1">
              <w:proofErr w:type="spellStart"/>
              <w:r w:rsidR="0066373C" w:rsidRPr="00AD4220">
                <w:rPr>
                  <w:rStyle w:val="Hyperlink"/>
                </w:rPr>
                <w:t>SHOnet</w:t>
              </w:r>
              <w:proofErr w:type="spellEnd"/>
            </w:hyperlink>
          </w:p>
        </w:tc>
        <w:tc>
          <w:tcPr>
            <w:tcW w:w="2337" w:type="dxa"/>
          </w:tcPr>
          <w:p w14:paraId="1B76F844" w14:textId="77777777" w:rsidR="009D52D4" w:rsidRDefault="009D52D4" w:rsidP="009D52D4">
            <w:r>
              <w:t>deidentified data</w:t>
            </w:r>
          </w:p>
          <w:p w14:paraId="3E1EFF67" w14:textId="77777777" w:rsidR="009D52D4" w:rsidRDefault="009D52D4" w:rsidP="009D52D4">
            <w:r>
              <w:t>extracted from the electronic health record (EHR) from the Shriners Hospitals for</w:t>
            </w:r>
          </w:p>
          <w:p w14:paraId="00B4AC40" w14:textId="0EC87CF9" w:rsidR="00AD4220" w:rsidRDefault="009D52D4" w:rsidP="00AD4220">
            <w:r>
              <w:t xml:space="preserve">Children </w:t>
            </w:r>
            <w:proofErr w:type="spellStart"/>
            <w:r>
              <w:t>speacialty</w:t>
            </w:r>
            <w:proofErr w:type="spellEnd"/>
            <w:r>
              <w:t xml:space="preserve"> pediatric health care system</w:t>
            </w:r>
            <w:r w:rsidR="00AD4220">
              <w:t xml:space="preserve">. </w:t>
            </w:r>
            <w:r w:rsidR="00067803">
              <w:t>T</w:t>
            </w:r>
            <w:r w:rsidR="00AD4220">
              <w:t>wo million patient</w:t>
            </w:r>
          </w:p>
          <w:p w14:paraId="09E2B925" w14:textId="2E40CA8C" w:rsidR="00443436" w:rsidRDefault="00AD4220" w:rsidP="00AD4220">
            <w:r>
              <w:t>encounters between 2011</w:t>
            </w:r>
          </w:p>
        </w:tc>
        <w:tc>
          <w:tcPr>
            <w:tcW w:w="2338" w:type="dxa"/>
          </w:tcPr>
          <w:p w14:paraId="59E57F28" w14:textId="4859BF2E" w:rsidR="00443436" w:rsidRDefault="00AD4220">
            <w:r>
              <w:t>2011-present</w:t>
            </w:r>
          </w:p>
        </w:tc>
        <w:tc>
          <w:tcPr>
            <w:tcW w:w="2338" w:type="dxa"/>
          </w:tcPr>
          <w:p w14:paraId="544C0825" w14:textId="0A057F04" w:rsidR="00443436" w:rsidRDefault="00A83FA4">
            <w:r>
              <w:t xml:space="preserve">Cerebral </w:t>
            </w:r>
            <w:r w:rsidR="00837C83">
              <w:t>palsy</w:t>
            </w:r>
            <w:r w:rsidR="005F156D">
              <w:t xml:space="preserve"> (new network so </w:t>
            </w:r>
            <w:r w:rsidR="00267A42">
              <w:t>just getting started)</w:t>
            </w:r>
          </w:p>
        </w:tc>
      </w:tr>
      <w:tr w:rsidR="00443436" w14:paraId="44F59D68" w14:textId="77777777" w:rsidTr="00443436">
        <w:tc>
          <w:tcPr>
            <w:tcW w:w="2337" w:type="dxa"/>
          </w:tcPr>
          <w:p w14:paraId="76D723E2" w14:textId="2D8088D9" w:rsidR="00443436" w:rsidRDefault="001D58DB">
            <w:r w:rsidRPr="001D58DB">
              <w:t>The Newborn Screening Translational Research Network (</w:t>
            </w:r>
            <w:hyperlink r:id="rId24" w:history="1">
              <w:r w:rsidRPr="00B44536">
                <w:rPr>
                  <w:rStyle w:val="Hyperlink"/>
                </w:rPr>
                <w:t>NBSTRN</w:t>
              </w:r>
            </w:hyperlink>
            <w:r w:rsidRPr="001D58DB">
              <w:t>)</w:t>
            </w:r>
          </w:p>
        </w:tc>
        <w:tc>
          <w:tcPr>
            <w:tcW w:w="2337" w:type="dxa"/>
          </w:tcPr>
          <w:p w14:paraId="36889215" w14:textId="65914ACC" w:rsidR="00443436" w:rsidRDefault="00CC10C4">
            <w:r w:rsidRPr="00CC10C4">
              <w:t xml:space="preserve">Data on infants diagnosed at birth. Provides tools and resources for researchers to conduct research relevant to NBS programs for rare diseases for which data has been siloed </w:t>
            </w:r>
            <w:r w:rsidRPr="00CC10C4">
              <w:lastRenderedPageBreak/>
              <w:t>locally. Infrastructure includes tools for the analytical and clinical validation of screening tests; the collection, analysis, sharing, and reporting of longitudinal laboratory and clinical data on newborn-screened individuals; developed the Longitudinal Pediatric Data Resource (LPDR) to capture, store, analyze, visualize, and share genomic and phenotypic data over the lifespan of NBS identified newborns</w:t>
            </w:r>
          </w:p>
        </w:tc>
        <w:tc>
          <w:tcPr>
            <w:tcW w:w="2338" w:type="dxa"/>
          </w:tcPr>
          <w:p w14:paraId="30590892" w14:textId="77777777" w:rsidR="00443436" w:rsidRDefault="00443436"/>
        </w:tc>
        <w:tc>
          <w:tcPr>
            <w:tcW w:w="2338" w:type="dxa"/>
          </w:tcPr>
          <w:p w14:paraId="62AA93D1" w14:textId="05569605" w:rsidR="00443436" w:rsidRDefault="0021623F">
            <w:r>
              <w:t>Muscular Dystrophy; Sickle Cell Disease</w:t>
            </w:r>
            <w:r w:rsidR="00A063C8">
              <w:t xml:space="preserve">; </w:t>
            </w:r>
            <w:r w:rsidR="00A063C8" w:rsidRPr="00A063C8">
              <w:t>primary immunodeficiency</w:t>
            </w:r>
          </w:p>
        </w:tc>
      </w:tr>
      <w:tr w:rsidR="00443436" w14:paraId="3A6DE12C" w14:textId="77777777" w:rsidTr="00443436">
        <w:tc>
          <w:tcPr>
            <w:tcW w:w="2337" w:type="dxa"/>
          </w:tcPr>
          <w:p w14:paraId="1DA46883" w14:textId="67AD701A" w:rsidR="00443436" w:rsidRDefault="00631927">
            <w:r w:rsidRPr="00631927">
              <w:t>Pediatric Research in Office Settings (</w:t>
            </w:r>
            <w:hyperlink r:id="rId25" w:history="1">
              <w:r w:rsidRPr="00112D57">
                <w:rPr>
                  <w:rStyle w:val="Hyperlink"/>
                </w:rPr>
                <w:t>PROS</w:t>
              </w:r>
            </w:hyperlink>
            <w:r w:rsidRPr="00631927">
              <w:t>)</w:t>
            </w:r>
          </w:p>
        </w:tc>
        <w:tc>
          <w:tcPr>
            <w:tcW w:w="2337" w:type="dxa"/>
          </w:tcPr>
          <w:p w14:paraId="0DBF8204" w14:textId="62DC236C" w:rsidR="00EB11F7" w:rsidRDefault="00EB11F7" w:rsidP="00EB11F7">
            <w:r>
              <w:t xml:space="preserve">Practice-based research network of the </w:t>
            </w:r>
            <w:r w:rsidR="00416578">
              <w:t>American Academy of Pediatrics (</w:t>
            </w:r>
            <w:r>
              <w:t>AAP</w:t>
            </w:r>
            <w:r w:rsidR="00416578">
              <w:t>)</w:t>
            </w:r>
          </w:p>
          <w:p w14:paraId="06EB8668" w14:textId="77777777" w:rsidR="00EB11F7" w:rsidRDefault="00EB11F7" w:rsidP="00EB11F7">
            <w:r>
              <w:t>Established in 1986</w:t>
            </w:r>
          </w:p>
          <w:p w14:paraId="474A393D" w14:textId="14900B0B" w:rsidR="00443436" w:rsidRDefault="00EB11F7" w:rsidP="00EB11F7">
            <w:r>
              <w:t>&gt; 400 unique practices have participated in at least 1 study since 2010</w:t>
            </w:r>
          </w:p>
        </w:tc>
        <w:tc>
          <w:tcPr>
            <w:tcW w:w="2338" w:type="dxa"/>
          </w:tcPr>
          <w:p w14:paraId="0582B63A" w14:textId="77777777" w:rsidR="00443436" w:rsidRDefault="00443436"/>
        </w:tc>
        <w:tc>
          <w:tcPr>
            <w:tcW w:w="2338" w:type="dxa"/>
          </w:tcPr>
          <w:p w14:paraId="0295731D" w14:textId="07F46D55" w:rsidR="00443436" w:rsidRDefault="003577D3">
            <w:r>
              <w:t xml:space="preserve">Obesity, flu vaccine, </w:t>
            </w:r>
            <w:proofErr w:type="spellStart"/>
            <w:r>
              <w:t>hpv</w:t>
            </w:r>
            <w:proofErr w:type="spellEnd"/>
            <w:r>
              <w:t xml:space="preserve"> vaccination; child poverty; </w:t>
            </w:r>
            <w:r w:rsidR="00AD2BB4">
              <w:t>adolescent substance abuse</w:t>
            </w:r>
          </w:p>
        </w:tc>
      </w:tr>
      <w:tr w:rsidR="00F124A6" w14:paraId="611F1EEF" w14:textId="77777777" w:rsidTr="00443436">
        <w:tc>
          <w:tcPr>
            <w:tcW w:w="2337" w:type="dxa"/>
          </w:tcPr>
          <w:p w14:paraId="5BE672CF" w14:textId="4E40A963" w:rsidR="00F124A6" w:rsidRPr="00631927" w:rsidRDefault="00C9669F">
            <w:r w:rsidRPr="00C9669F">
              <w:t>Comparative Effectiveness Research through Collaborative Electronic Reporting</w:t>
            </w:r>
            <w:r w:rsidR="000E1373">
              <w:t xml:space="preserve"> (</w:t>
            </w:r>
            <w:hyperlink r:id="rId26" w:history="1">
              <w:r w:rsidR="000E1373" w:rsidRPr="000E1373">
                <w:rPr>
                  <w:rStyle w:val="Hyperlink"/>
                </w:rPr>
                <w:t>CER2</w:t>
              </w:r>
            </w:hyperlink>
            <w:r w:rsidR="000E1373">
              <w:t>)</w:t>
            </w:r>
          </w:p>
        </w:tc>
        <w:tc>
          <w:tcPr>
            <w:tcW w:w="2337" w:type="dxa"/>
          </w:tcPr>
          <w:p w14:paraId="7CDA4242" w14:textId="77777777" w:rsidR="00C9669F" w:rsidRDefault="00C9669F" w:rsidP="00C9669F">
            <w:r>
              <w:t>222 Practicing Sites</w:t>
            </w:r>
          </w:p>
          <w:p w14:paraId="5C2CEB84" w14:textId="77777777" w:rsidR="00C9669F" w:rsidRDefault="00C9669F" w:rsidP="00C9669F">
            <w:r>
              <w:t>27 States</w:t>
            </w:r>
          </w:p>
          <w:p w14:paraId="42540570" w14:textId="77777777" w:rsidR="00C9669F" w:rsidRDefault="00C9669F" w:rsidP="00C9669F">
            <w:r>
              <w:t>2119 Pediatricians and nurse practitioners</w:t>
            </w:r>
          </w:p>
          <w:p w14:paraId="32CF5D0C" w14:textId="2C617567" w:rsidR="00F124A6" w:rsidRDefault="00C9669F" w:rsidP="00C9669F">
            <w:r>
              <w:t xml:space="preserve">&gt;2 </w:t>
            </w:r>
            <w:proofErr w:type="gramStart"/>
            <w:r>
              <w:t>Million</w:t>
            </w:r>
            <w:proofErr w:type="gramEnd"/>
            <w:r>
              <w:t xml:space="preserve"> Covered Lives</w:t>
            </w:r>
          </w:p>
        </w:tc>
        <w:tc>
          <w:tcPr>
            <w:tcW w:w="2338" w:type="dxa"/>
          </w:tcPr>
          <w:p w14:paraId="583153C6" w14:textId="77777777" w:rsidR="00F124A6" w:rsidRDefault="00F124A6"/>
        </w:tc>
        <w:tc>
          <w:tcPr>
            <w:tcW w:w="2338" w:type="dxa"/>
          </w:tcPr>
          <w:p w14:paraId="51B95FE2" w14:textId="77777777" w:rsidR="00F124A6" w:rsidRDefault="00F124A6" w:rsidP="00F124A6">
            <w:r>
              <w:t>Pediatric Hypertension</w:t>
            </w:r>
          </w:p>
          <w:p w14:paraId="4FA030F9" w14:textId="77777777" w:rsidR="00F124A6" w:rsidRDefault="00F124A6" w:rsidP="00F124A6">
            <w:r>
              <w:t>ADHD diagnosis and prescribing</w:t>
            </w:r>
          </w:p>
          <w:p w14:paraId="4F83B26C" w14:textId="77777777" w:rsidR="00F124A6" w:rsidRDefault="00F124A6" w:rsidP="00F124A6">
            <w:r>
              <w:t xml:space="preserve">Patterns of prescribing for psychotropic </w:t>
            </w:r>
            <w:proofErr w:type="spellStart"/>
            <w:r>
              <w:t>mediactions</w:t>
            </w:r>
            <w:proofErr w:type="spellEnd"/>
          </w:p>
          <w:p w14:paraId="0A60BDA4" w14:textId="77777777" w:rsidR="00F124A6" w:rsidRDefault="00F124A6" w:rsidP="00F124A6">
            <w:r>
              <w:t xml:space="preserve">Prescribing patterns and safety profile of antipsychotics </w:t>
            </w:r>
            <w:r>
              <w:lastRenderedPageBreak/>
              <w:t>risperidone and aripiprazole</w:t>
            </w:r>
          </w:p>
          <w:p w14:paraId="7767B888" w14:textId="3C57FF57" w:rsidR="00F124A6" w:rsidRDefault="00F124A6" w:rsidP="00F124A6">
            <w:r>
              <w:t>Benchmarking antibiotic use to inform outpatient stewardship</w:t>
            </w:r>
          </w:p>
        </w:tc>
      </w:tr>
      <w:tr w:rsidR="00F124A6" w14:paraId="1C9CDEAE" w14:textId="77777777" w:rsidTr="00443436">
        <w:tc>
          <w:tcPr>
            <w:tcW w:w="2337" w:type="dxa"/>
          </w:tcPr>
          <w:p w14:paraId="55791F66" w14:textId="3E4C33AD" w:rsidR="00F124A6" w:rsidRPr="00631927" w:rsidRDefault="001A3D77">
            <w:r w:rsidRPr="001A3D77">
              <w:lastRenderedPageBreak/>
              <w:t xml:space="preserve">The Pediatric Research Consortium </w:t>
            </w:r>
            <w:hyperlink r:id="rId27" w:history="1">
              <w:proofErr w:type="spellStart"/>
              <w:r w:rsidRPr="00F5449E">
                <w:rPr>
                  <w:rStyle w:val="Hyperlink"/>
                </w:rPr>
                <w:t>PeRC</w:t>
              </w:r>
              <w:proofErr w:type="spellEnd"/>
            </w:hyperlink>
          </w:p>
        </w:tc>
        <w:tc>
          <w:tcPr>
            <w:tcW w:w="2337" w:type="dxa"/>
          </w:tcPr>
          <w:p w14:paraId="22B670D6" w14:textId="39992093" w:rsidR="00F124A6" w:rsidRDefault="00BA754A" w:rsidP="00EB11F7">
            <w:r w:rsidRPr="00BA754A">
              <w:t>the primary care practice-based research network at Children’s Hospital of Philadelphia</w:t>
            </w:r>
            <w:r>
              <w:t>; launched in 2002</w:t>
            </w:r>
          </w:p>
        </w:tc>
        <w:tc>
          <w:tcPr>
            <w:tcW w:w="2338" w:type="dxa"/>
          </w:tcPr>
          <w:p w14:paraId="4C1380FB" w14:textId="77777777" w:rsidR="00F124A6" w:rsidRDefault="00F124A6"/>
        </w:tc>
        <w:tc>
          <w:tcPr>
            <w:tcW w:w="2338" w:type="dxa"/>
          </w:tcPr>
          <w:p w14:paraId="234802B7" w14:textId="73B509F0" w:rsidR="00F124A6" w:rsidRDefault="00182668">
            <w:r>
              <w:t xml:space="preserve">Adolescent health; </w:t>
            </w:r>
            <w:r w:rsidR="00112486">
              <w:t xml:space="preserve">antibiotic stewardship; asthma; ADHD; Autism spectrum disorder; </w:t>
            </w:r>
            <w:r w:rsidR="00121CA7">
              <w:t xml:space="preserve">behavioral health; cerebral palsy; community acquired pneumonia; </w:t>
            </w:r>
            <w:r w:rsidR="001048D0">
              <w:t>concussion; developmental delay</w:t>
            </w:r>
          </w:p>
        </w:tc>
      </w:tr>
      <w:tr w:rsidR="00F5449E" w14:paraId="6427A1AF" w14:textId="77777777" w:rsidTr="00443436">
        <w:tc>
          <w:tcPr>
            <w:tcW w:w="2337" w:type="dxa"/>
          </w:tcPr>
          <w:p w14:paraId="32E38240" w14:textId="0ECAD73F" w:rsidR="00F5449E" w:rsidRPr="001A3D77" w:rsidRDefault="00C53011">
            <w:r w:rsidRPr="00C53011">
              <w:t>Pediatric Practice Research Group (</w:t>
            </w:r>
            <w:hyperlink r:id="rId28" w:history="1">
              <w:r w:rsidRPr="007D0E23">
                <w:rPr>
                  <w:rStyle w:val="Hyperlink"/>
                </w:rPr>
                <w:t>PPRG</w:t>
              </w:r>
            </w:hyperlink>
            <w:r w:rsidRPr="00C53011">
              <w:t>)</w:t>
            </w:r>
          </w:p>
        </w:tc>
        <w:tc>
          <w:tcPr>
            <w:tcW w:w="2337" w:type="dxa"/>
          </w:tcPr>
          <w:p w14:paraId="5D089BCD" w14:textId="23020E2A" w:rsidR="00F5449E" w:rsidRPr="00BA754A" w:rsidRDefault="007D44E9" w:rsidP="00EB11F7">
            <w:r w:rsidRPr="007D44E9">
              <w:t xml:space="preserve">A partnership of the Department of Pediatrics at Lurie Children’s and over 50 pediatric practices. PPRG operates within the Mary Ann &amp; J. Milburn Smith Child Health Outcomes, Research and Evaluation Center of the </w:t>
            </w:r>
            <w:proofErr w:type="gramStart"/>
            <w:r w:rsidRPr="007D44E9">
              <w:t>Manne  Research</w:t>
            </w:r>
            <w:proofErr w:type="gramEnd"/>
            <w:r w:rsidRPr="007D44E9">
              <w:t xml:space="preserve"> Institute.</w:t>
            </w:r>
          </w:p>
        </w:tc>
        <w:tc>
          <w:tcPr>
            <w:tcW w:w="2338" w:type="dxa"/>
          </w:tcPr>
          <w:p w14:paraId="2E4DFD69" w14:textId="77777777" w:rsidR="00F5449E" w:rsidRDefault="00F5449E"/>
        </w:tc>
        <w:tc>
          <w:tcPr>
            <w:tcW w:w="2338" w:type="dxa"/>
          </w:tcPr>
          <w:p w14:paraId="00FF7B3E" w14:textId="765C1608" w:rsidR="00F5449E" w:rsidRDefault="00A57002">
            <w:r>
              <w:t>Atopic dermati</w:t>
            </w:r>
            <w:r w:rsidR="009A69CC">
              <w:t>tis</w:t>
            </w:r>
            <w:r w:rsidR="00544A23">
              <w:t xml:space="preserve"> – survey and chart review</w:t>
            </w:r>
          </w:p>
        </w:tc>
      </w:tr>
      <w:tr w:rsidR="00CF7A88" w14:paraId="689343ED" w14:textId="77777777" w:rsidTr="00443436">
        <w:tc>
          <w:tcPr>
            <w:tcW w:w="2337" w:type="dxa"/>
          </w:tcPr>
          <w:p w14:paraId="235770A7" w14:textId="5B4BC980" w:rsidR="00CF7A88" w:rsidRPr="001A3D77" w:rsidRDefault="00E14606">
            <w:r w:rsidRPr="00E14606">
              <w:t xml:space="preserve">Pediatric </w:t>
            </w:r>
            <w:proofErr w:type="spellStart"/>
            <w:r w:rsidRPr="00E14606">
              <w:t>PittNet</w:t>
            </w:r>
            <w:proofErr w:type="spellEnd"/>
            <w:r w:rsidRPr="00E14606">
              <w:t>: University of Pittsburgh CTSI PBRN (</w:t>
            </w:r>
            <w:hyperlink r:id="rId29" w:history="1">
              <w:r w:rsidRPr="000A2B39">
                <w:rPr>
                  <w:rStyle w:val="Hyperlink"/>
                </w:rPr>
                <w:t xml:space="preserve">Pediatric </w:t>
              </w:r>
              <w:proofErr w:type="spellStart"/>
              <w:r w:rsidRPr="000A2B39">
                <w:rPr>
                  <w:rStyle w:val="Hyperlink"/>
                </w:rPr>
                <w:t>PittNet</w:t>
              </w:r>
              <w:proofErr w:type="spellEnd"/>
            </w:hyperlink>
            <w:r w:rsidRPr="00E14606">
              <w:t>)</w:t>
            </w:r>
          </w:p>
        </w:tc>
        <w:tc>
          <w:tcPr>
            <w:tcW w:w="2337" w:type="dxa"/>
          </w:tcPr>
          <w:p w14:paraId="6C896F3D" w14:textId="04022EC4" w:rsidR="00CF7A88" w:rsidRPr="00BA754A" w:rsidRDefault="00370F0A" w:rsidP="00EB11F7">
            <w:r w:rsidRPr="00370F0A">
              <w:t xml:space="preserve">Pediatric </w:t>
            </w:r>
            <w:proofErr w:type="spellStart"/>
            <w:r w:rsidRPr="00370F0A">
              <w:t>PittNet</w:t>
            </w:r>
            <w:proofErr w:type="spellEnd"/>
            <w:r w:rsidRPr="00370F0A">
              <w:t xml:space="preserve"> is a practice-based research network that supports collaboration between pediatric primary care practices and University of Pittsburgh researchers to improve the health of children.</w:t>
            </w:r>
          </w:p>
        </w:tc>
        <w:tc>
          <w:tcPr>
            <w:tcW w:w="2338" w:type="dxa"/>
          </w:tcPr>
          <w:p w14:paraId="6F7D5651" w14:textId="77777777" w:rsidR="00CF7A88" w:rsidRDefault="00CF7A88"/>
        </w:tc>
        <w:tc>
          <w:tcPr>
            <w:tcW w:w="2338" w:type="dxa"/>
          </w:tcPr>
          <w:p w14:paraId="366555A4" w14:textId="01832A6F" w:rsidR="00CF7A88" w:rsidRDefault="00411DC1">
            <w:r>
              <w:t xml:space="preserve">Pediatric plaque psoriasis; </w:t>
            </w:r>
            <w:r w:rsidR="00FF415E">
              <w:t>several other outcomes ranging across therapeutic areas</w:t>
            </w:r>
          </w:p>
        </w:tc>
      </w:tr>
      <w:tr w:rsidR="00CF7A88" w14:paraId="52501826" w14:textId="77777777" w:rsidTr="00443436">
        <w:tc>
          <w:tcPr>
            <w:tcW w:w="2337" w:type="dxa"/>
          </w:tcPr>
          <w:p w14:paraId="12DBB2B3" w14:textId="189DCF1E" w:rsidR="00CF7A88" w:rsidRPr="001A3D77" w:rsidRDefault="00983A96">
            <w:r w:rsidRPr="006E254E">
              <w:lastRenderedPageBreak/>
              <w:t>Oklahoma Child Health Network</w:t>
            </w:r>
            <w:r>
              <w:t xml:space="preserve"> (</w:t>
            </w:r>
            <w:hyperlink r:id="rId30" w:history="1">
              <w:r w:rsidRPr="00753415">
                <w:rPr>
                  <w:rStyle w:val="Hyperlink"/>
                </w:rPr>
                <w:t>OCHRN</w:t>
              </w:r>
            </w:hyperlink>
            <w:r>
              <w:t>)</w:t>
            </w:r>
          </w:p>
        </w:tc>
        <w:tc>
          <w:tcPr>
            <w:tcW w:w="2337" w:type="dxa"/>
          </w:tcPr>
          <w:p w14:paraId="11633141" w14:textId="2C47A496" w:rsidR="00CF7A88" w:rsidRPr="00BA754A" w:rsidRDefault="0087187B" w:rsidP="00EB11F7">
            <w:r w:rsidRPr="006E254E">
              <w:t>collaborative effort of the Oklahoma Chapter of the American Academy of Pediatrics, Department of Pediatrics, and the OU Medical Center</w:t>
            </w:r>
            <w:r w:rsidR="00A33D45">
              <w:t xml:space="preserve"> – Oklahoma</w:t>
            </w:r>
            <w:r w:rsidR="007A5FC8">
              <w:t xml:space="preserve"> only; </w:t>
            </w:r>
            <w:r w:rsidR="007A5FC8" w:rsidRPr="007A5FC8">
              <w:t>Contributing to studies are pediatricians, primary care practitioners and specialist</w:t>
            </w:r>
            <w:r w:rsidR="00647840">
              <w:t xml:space="preserve">s - </w:t>
            </w:r>
            <w:r w:rsidR="00647840" w:rsidRPr="00647840">
              <w:t>specialty clinics are Gastroenterology, Pulmonology, Cardiology, and Neurology</w:t>
            </w:r>
          </w:p>
        </w:tc>
        <w:tc>
          <w:tcPr>
            <w:tcW w:w="2338" w:type="dxa"/>
          </w:tcPr>
          <w:p w14:paraId="2565553E" w14:textId="77777777" w:rsidR="00CF7A88" w:rsidRDefault="00CF7A88"/>
        </w:tc>
        <w:tc>
          <w:tcPr>
            <w:tcW w:w="2338" w:type="dxa"/>
          </w:tcPr>
          <w:p w14:paraId="3B840211" w14:textId="79FA72A8" w:rsidR="00CF7A88" w:rsidRDefault="007A5FC8">
            <w:r w:rsidRPr="007A5FC8">
              <w:t xml:space="preserve">vaccine decision making, parent-provider partnerships, referral communication and immunizations.  </w:t>
            </w:r>
          </w:p>
        </w:tc>
      </w:tr>
      <w:tr w:rsidR="00CF7A88" w14:paraId="044578B7" w14:textId="77777777" w:rsidTr="00443436">
        <w:tc>
          <w:tcPr>
            <w:tcW w:w="2337" w:type="dxa"/>
          </w:tcPr>
          <w:p w14:paraId="7DD31787" w14:textId="6E75E433" w:rsidR="00CF7A88" w:rsidRPr="001A3D77" w:rsidRDefault="008F344A">
            <w:r w:rsidRPr="008F344A">
              <w:t>Continuity Research Network (</w:t>
            </w:r>
            <w:hyperlink r:id="rId31" w:history="1">
              <w:r w:rsidRPr="00701F63">
                <w:rPr>
                  <w:rStyle w:val="Hyperlink"/>
                </w:rPr>
                <w:t>CORNET</w:t>
              </w:r>
            </w:hyperlink>
            <w:r w:rsidRPr="008F344A">
              <w:t>)</w:t>
            </w:r>
          </w:p>
        </w:tc>
        <w:tc>
          <w:tcPr>
            <w:tcW w:w="2337" w:type="dxa"/>
          </w:tcPr>
          <w:p w14:paraId="263A986C" w14:textId="0557890A" w:rsidR="00CF7A88" w:rsidRPr="00BA754A" w:rsidRDefault="00D838BF" w:rsidP="00EB11F7">
            <w:r w:rsidRPr="00D838BF">
              <w:t>125 pediatric residency programs with nearly 6,500 pediatric residents caring for over 1 million patients across the United States and Canada.</w:t>
            </w:r>
          </w:p>
        </w:tc>
        <w:tc>
          <w:tcPr>
            <w:tcW w:w="2338" w:type="dxa"/>
          </w:tcPr>
          <w:p w14:paraId="30F61CCF" w14:textId="77777777" w:rsidR="00CF7A88" w:rsidRDefault="00CF7A88"/>
        </w:tc>
        <w:tc>
          <w:tcPr>
            <w:tcW w:w="2338" w:type="dxa"/>
          </w:tcPr>
          <w:p w14:paraId="6CB7735B" w14:textId="77777777" w:rsidR="006E1A80" w:rsidRDefault="006E1A80" w:rsidP="006E1A80">
            <w:r>
              <w:t>To study and improve health, healthcare, and inequities in health and healthcare delivery among children and families, particularly those disproportionately affected by health inequities.</w:t>
            </w:r>
          </w:p>
          <w:p w14:paraId="54D16A69" w14:textId="77777777" w:rsidR="006E1A80" w:rsidRDefault="006E1A80" w:rsidP="006E1A80">
            <w:r>
              <w:t>To study and improve resident education in pediatric continuity practices.</w:t>
            </w:r>
          </w:p>
          <w:p w14:paraId="6CBC062A" w14:textId="00EC1DD5" w:rsidR="00CF7A88" w:rsidRDefault="006E1A80" w:rsidP="006E1A80">
            <w:r>
              <w:t>To engage residents in pediatric primary care research.</w:t>
            </w:r>
          </w:p>
        </w:tc>
      </w:tr>
      <w:tr w:rsidR="001054B4" w14:paraId="5B19E805" w14:textId="77777777" w:rsidTr="00E408B9">
        <w:tc>
          <w:tcPr>
            <w:tcW w:w="9350" w:type="dxa"/>
            <w:gridSpan w:val="4"/>
          </w:tcPr>
          <w:p w14:paraId="6DD3380B" w14:textId="28C11AF7" w:rsidR="001054B4" w:rsidRPr="00876D4A" w:rsidRDefault="001054B4">
            <w:r>
              <w:t>Cardiac Specific Pediatric</w:t>
            </w:r>
          </w:p>
        </w:tc>
      </w:tr>
      <w:tr w:rsidR="00CF7A88" w14:paraId="0DB6498E" w14:textId="77777777" w:rsidTr="00443436">
        <w:tc>
          <w:tcPr>
            <w:tcW w:w="2337" w:type="dxa"/>
          </w:tcPr>
          <w:p w14:paraId="7834B6E7" w14:textId="1E67748C" w:rsidR="00CF7A88" w:rsidRPr="001A3D77" w:rsidRDefault="00DE5708">
            <w:r>
              <w:t>Pediatric Heart Network</w:t>
            </w:r>
            <w:r w:rsidR="00D67921">
              <w:t xml:space="preserve"> (</w:t>
            </w:r>
            <w:hyperlink r:id="rId32" w:history="1">
              <w:r w:rsidR="00D67921" w:rsidRPr="00D67921">
                <w:rPr>
                  <w:rStyle w:val="Hyperlink"/>
                </w:rPr>
                <w:t>PHN</w:t>
              </w:r>
            </w:hyperlink>
            <w:r w:rsidR="00D67921">
              <w:t>)</w:t>
            </w:r>
          </w:p>
        </w:tc>
        <w:tc>
          <w:tcPr>
            <w:tcW w:w="2337" w:type="dxa"/>
          </w:tcPr>
          <w:p w14:paraId="1959C57D" w14:textId="7C993AB1" w:rsidR="00CF7A88" w:rsidRPr="00BA754A" w:rsidRDefault="00876D4A" w:rsidP="00EB11F7">
            <w:r w:rsidRPr="00876D4A">
              <w:t xml:space="preserve">research across a group of hospitals in the United States and Canada to accelerate the discovery of new </w:t>
            </w:r>
            <w:r w:rsidRPr="00876D4A">
              <w:lastRenderedPageBreak/>
              <w:t>treatments for congenital and pediatric-acquired heart disease</w:t>
            </w:r>
          </w:p>
        </w:tc>
        <w:tc>
          <w:tcPr>
            <w:tcW w:w="2338" w:type="dxa"/>
          </w:tcPr>
          <w:p w14:paraId="23FA12C5" w14:textId="77777777" w:rsidR="00CF7A88" w:rsidRDefault="00CF7A88"/>
        </w:tc>
        <w:tc>
          <w:tcPr>
            <w:tcW w:w="2338" w:type="dxa"/>
          </w:tcPr>
          <w:p w14:paraId="4BAED88C" w14:textId="0314B9C3" w:rsidR="00CF7A88" w:rsidRDefault="00876D4A">
            <w:r w:rsidRPr="00876D4A">
              <w:t xml:space="preserve">goal of the PHN is to improve outcomes and quality of life for individuals with congenital and </w:t>
            </w:r>
            <w:r w:rsidRPr="00876D4A">
              <w:lastRenderedPageBreak/>
              <w:t>pediatric-acquired heart disease</w:t>
            </w:r>
          </w:p>
        </w:tc>
      </w:tr>
      <w:tr w:rsidR="001054B4" w14:paraId="5D9FA5D7" w14:textId="77777777" w:rsidTr="00443436">
        <w:tc>
          <w:tcPr>
            <w:tcW w:w="2337" w:type="dxa"/>
          </w:tcPr>
          <w:p w14:paraId="76808C52" w14:textId="7137D542" w:rsidR="001054B4" w:rsidRDefault="004F56C9" w:rsidP="00BC1F9F">
            <w:r>
              <w:lastRenderedPageBreak/>
              <w:t>National Pediatric Cardiology-Quality Improvement Collaborative (NOTE: this is part of PEDSNET)</w:t>
            </w:r>
          </w:p>
        </w:tc>
        <w:tc>
          <w:tcPr>
            <w:tcW w:w="2337" w:type="dxa"/>
          </w:tcPr>
          <w:p w14:paraId="3C942338" w14:textId="77777777" w:rsidR="001054B4" w:rsidRPr="00876D4A" w:rsidRDefault="001054B4" w:rsidP="00EB11F7"/>
        </w:tc>
        <w:tc>
          <w:tcPr>
            <w:tcW w:w="2338" w:type="dxa"/>
          </w:tcPr>
          <w:p w14:paraId="1A17F7E2" w14:textId="77777777" w:rsidR="001054B4" w:rsidRDefault="001054B4"/>
        </w:tc>
        <w:tc>
          <w:tcPr>
            <w:tcW w:w="2338" w:type="dxa"/>
          </w:tcPr>
          <w:p w14:paraId="248D5918" w14:textId="77777777" w:rsidR="001054B4" w:rsidRPr="00876D4A" w:rsidRDefault="001054B4"/>
        </w:tc>
      </w:tr>
      <w:tr w:rsidR="001054B4" w14:paraId="165ADF56" w14:textId="77777777" w:rsidTr="00443436">
        <w:tc>
          <w:tcPr>
            <w:tcW w:w="2337" w:type="dxa"/>
          </w:tcPr>
          <w:p w14:paraId="7870D853" w14:textId="122EABFD" w:rsidR="001054B4" w:rsidRDefault="004F56C9" w:rsidP="004F56C9">
            <w:r>
              <w:t>The Fontan Outcomes Network (</w:t>
            </w:r>
            <w:hyperlink r:id="rId33" w:history="1">
              <w:r w:rsidRPr="00502B29">
                <w:rPr>
                  <w:rStyle w:val="Hyperlink"/>
                </w:rPr>
                <w:t>FON</w:t>
              </w:r>
            </w:hyperlink>
            <w:r>
              <w:t>)</w:t>
            </w:r>
          </w:p>
        </w:tc>
        <w:tc>
          <w:tcPr>
            <w:tcW w:w="2337" w:type="dxa"/>
          </w:tcPr>
          <w:p w14:paraId="1C27E7AF" w14:textId="429D24DD" w:rsidR="001054B4" w:rsidRPr="00876D4A" w:rsidRDefault="001A4AD1" w:rsidP="00EB11F7">
            <w:r>
              <w:t xml:space="preserve">US based - </w:t>
            </w:r>
            <w:r w:rsidRPr="001A4AD1">
              <w:t>12 care centers that have worked to establish a strong foundation for our network. FON welcomed an additional 19 care centers to the network in summer 2022.</w:t>
            </w:r>
          </w:p>
        </w:tc>
        <w:tc>
          <w:tcPr>
            <w:tcW w:w="2338" w:type="dxa"/>
          </w:tcPr>
          <w:p w14:paraId="41EFDE0B" w14:textId="38B6CE1D" w:rsidR="001054B4" w:rsidRDefault="00461A67">
            <w:r>
              <w:t>Launched in 2021</w:t>
            </w:r>
          </w:p>
        </w:tc>
        <w:tc>
          <w:tcPr>
            <w:tcW w:w="2338" w:type="dxa"/>
          </w:tcPr>
          <w:p w14:paraId="2A26320D" w14:textId="77777777" w:rsidR="001054B4" w:rsidRPr="00876D4A" w:rsidRDefault="001054B4"/>
        </w:tc>
      </w:tr>
      <w:tr w:rsidR="001054B4" w14:paraId="50A73F91" w14:textId="77777777" w:rsidTr="00443436">
        <w:tc>
          <w:tcPr>
            <w:tcW w:w="2337" w:type="dxa"/>
          </w:tcPr>
          <w:p w14:paraId="0F451C7F" w14:textId="3F875071" w:rsidR="001054B4" w:rsidRDefault="004F56C9">
            <w:r>
              <w:t>The Australian and New Zealand Fontan Registry</w:t>
            </w:r>
            <w:r w:rsidR="00540A2C">
              <w:t xml:space="preserve"> </w:t>
            </w:r>
            <w:r w:rsidR="003B1372" w:rsidRPr="003B1372">
              <w:t>https://www.fontanregistry.com/</w:t>
            </w:r>
          </w:p>
        </w:tc>
        <w:tc>
          <w:tcPr>
            <w:tcW w:w="2337" w:type="dxa"/>
          </w:tcPr>
          <w:p w14:paraId="6962EFB4" w14:textId="1E163AB6" w:rsidR="001054B4" w:rsidRPr="00876D4A" w:rsidRDefault="0080376D" w:rsidP="00EB11F7">
            <w:r>
              <w:t xml:space="preserve">Australia and New Zealand only - </w:t>
            </w:r>
            <w:r w:rsidRPr="0080376D">
              <w:t>population-based registry collecting health information on all patients who have undergone the Fontan procedure (used to treat single-ventricle congenital heart disease) living in Australia and New Zealand.</w:t>
            </w:r>
          </w:p>
        </w:tc>
        <w:tc>
          <w:tcPr>
            <w:tcW w:w="2338" w:type="dxa"/>
          </w:tcPr>
          <w:p w14:paraId="1392B5BE" w14:textId="77777777" w:rsidR="001054B4" w:rsidRDefault="001054B4"/>
        </w:tc>
        <w:tc>
          <w:tcPr>
            <w:tcW w:w="2338" w:type="dxa"/>
          </w:tcPr>
          <w:p w14:paraId="7E52FC55" w14:textId="77777777" w:rsidR="001054B4" w:rsidRPr="00876D4A" w:rsidRDefault="001054B4"/>
        </w:tc>
      </w:tr>
    </w:tbl>
    <w:p w14:paraId="00908020" w14:textId="77777777" w:rsidR="0068633D" w:rsidRDefault="0068633D"/>
    <w:p w14:paraId="7E4A8C5C" w14:textId="450E58ED" w:rsidR="00E5453F" w:rsidRDefault="00E5453F" w:rsidP="00483D25">
      <w:pPr>
        <w:pStyle w:val="Heading2"/>
        <w:ind w:left="720" w:hanging="720"/>
      </w:pPr>
      <w:r>
        <w:t>Appendix 2</w:t>
      </w:r>
    </w:p>
    <w:p w14:paraId="7F46B567" w14:textId="77777777" w:rsidR="00F60A4C" w:rsidRPr="00F60A4C" w:rsidRDefault="00F60A4C" w:rsidP="00F60A4C"/>
    <w:p w14:paraId="222D71DB" w14:textId="58819093" w:rsidR="00386DA8" w:rsidRPr="00386DA8" w:rsidRDefault="00386DA8" w:rsidP="00386DA8">
      <w:pPr>
        <w:rPr>
          <w:b/>
          <w:bCs/>
        </w:rPr>
      </w:pPr>
      <w:r w:rsidRPr="00386DA8">
        <w:rPr>
          <w:b/>
          <w:bCs/>
        </w:rPr>
        <w:t xml:space="preserve">Target Cohorts: </w:t>
      </w:r>
    </w:p>
    <w:tbl>
      <w:tblPr>
        <w:tblStyle w:val="TableGrid"/>
        <w:tblW w:w="0" w:type="auto"/>
        <w:tblLook w:val="04A0" w:firstRow="1" w:lastRow="0" w:firstColumn="1" w:lastColumn="0" w:noHBand="0" w:noVBand="1"/>
      </w:tblPr>
      <w:tblGrid>
        <w:gridCol w:w="4675"/>
        <w:gridCol w:w="4675"/>
      </w:tblGrid>
      <w:tr w:rsidR="00386DA8" w14:paraId="75DD8536" w14:textId="77777777" w:rsidTr="00F31005">
        <w:tc>
          <w:tcPr>
            <w:tcW w:w="4675" w:type="dxa"/>
          </w:tcPr>
          <w:p w14:paraId="2920975E" w14:textId="02EAC86C" w:rsidR="00386DA8" w:rsidRPr="008F2E6C" w:rsidRDefault="00386DA8" w:rsidP="00F31005">
            <w:pPr>
              <w:rPr>
                <w:b/>
                <w:bCs/>
              </w:rPr>
            </w:pPr>
            <w:bookmarkStart w:id="2" w:name="_Hlk149557173"/>
            <w:r w:rsidRPr="008F2E6C">
              <w:rPr>
                <w:b/>
                <w:bCs/>
              </w:rPr>
              <w:t>Cohort Name</w:t>
            </w:r>
          </w:p>
        </w:tc>
        <w:tc>
          <w:tcPr>
            <w:tcW w:w="4675" w:type="dxa"/>
          </w:tcPr>
          <w:p w14:paraId="625BC691" w14:textId="1A46BE4B" w:rsidR="00386DA8" w:rsidRPr="008F2E6C" w:rsidRDefault="00386DA8" w:rsidP="00F31005">
            <w:pPr>
              <w:rPr>
                <w:b/>
                <w:bCs/>
              </w:rPr>
            </w:pPr>
            <w:r w:rsidRPr="008F2E6C">
              <w:rPr>
                <w:b/>
                <w:bCs/>
              </w:rPr>
              <w:t>JSON file # (included in package)</w:t>
            </w:r>
          </w:p>
        </w:tc>
      </w:tr>
      <w:bookmarkEnd w:id="2"/>
      <w:tr w:rsidR="00386DA8" w14:paraId="6B04EF38" w14:textId="77777777" w:rsidTr="00F31005">
        <w:tc>
          <w:tcPr>
            <w:tcW w:w="4675" w:type="dxa"/>
          </w:tcPr>
          <w:p w14:paraId="4E4C4EF8" w14:textId="77777777" w:rsidR="00386DA8" w:rsidRPr="001F36E8" w:rsidRDefault="00386DA8" w:rsidP="00F31005">
            <w:r w:rsidRPr="00E21B7E">
              <w:t>persons at risk at start of year 2017-2022 with 365d prior observation</w:t>
            </w:r>
          </w:p>
        </w:tc>
        <w:tc>
          <w:tcPr>
            <w:tcW w:w="4675" w:type="dxa"/>
          </w:tcPr>
          <w:p w14:paraId="607E5EBA" w14:textId="16CFE2B0" w:rsidR="00386DA8" w:rsidRDefault="00713836" w:rsidP="00F31005">
            <w:r>
              <w:t>14061</w:t>
            </w:r>
          </w:p>
        </w:tc>
      </w:tr>
      <w:tr w:rsidR="00386DA8" w14:paraId="03439B4F" w14:textId="77777777" w:rsidTr="00F31005">
        <w:tc>
          <w:tcPr>
            <w:tcW w:w="4675" w:type="dxa"/>
          </w:tcPr>
          <w:p w14:paraId="375A1588" w14:textId="77777777" w:rsidR="00386DA8" w:rsidRDefault="00386DA8" w:rsidP="00F31005">
            <w:r w:rsidRPr="001F36E8">
              <w:t>persons at risk at start of year 2017 with 365d prior observation</w:t>
            </w:r>
          </w:p>
        </w:tc>
        <w:tc>
          <w:tcPr>
            <w:tcW w:w="4675" w:type="dxa"/>
          </w:tcPr>
          <w:p w14:paraId="15F8C253" w14:textId="0C14C955" w:rsidR="00386DA8" w:rsidRDefault="00843E76" w:rsidP="00F31005">
            <w:r>
              <w:t>14063</w:t>
            </w:r>
          </w:p>
        </w:tc>
      </w:tr>
      <w:tr w:rsidR="00386DA8" w14:paraId="4B1A7876" w14:textId="77777777" w:rsidTr="00F31005">
        <w:tc>
          <w:tcPr>
            <w:tcW w:w="4675" w:type="dxa"/>
          </w:tcPr>
          <w:p w14:paraId="53A9DF2B" w14:textId="77777777" w:rsidR="00386DA8" w:rsidRDefault="00386DA8" w:rsidP="00F31005">
            <w:r w:rsidRPr="005A3F48">
              <w:t>persons at risk at start of year 201</w:t>
            </w:r>
            <w:r>
              <w:t>8</w:t>
            </w:r>
            <w:r w:rsidRPr="005A3F48">
              <w:t xml:space="preserve"> with 365d prior observation</w:t>
            </w:r>
          </w:p>
        </w:tc>
        <w:tc>
          <w:tcPr>
            <w:tcW w:w="4675" w:type="dxa"/>
          </w:tcPr>
          <w:p w14:paraId="36E35AAD" w14:textId="2BB518F6" w:rsidR="00386DA8" w:rsidRDefault="00843E76" w:rsidP="00F31005">
            <w:r>
              <w:t>14064</w:t>
            </w:r>
          </w:p>
        </w:tc>
      </w:tr>
      <w:tr w:rsidR="00386DA8" w14:paraId="2B26266E" w14:textId="77777777" w:rsidTr="00F31005">
        <w:tc>
          <w:tcPr>
            <w:tcW w:w="4675" w:type="dxa"/>
          </w:tcPr>
          <w:p w14:paraId="518C29FF" w14:textId="77777777" w:rsidR="00386DA8" w:rsidRDefault="00386DA8" w:rsidP="00F31005">
            <w:r w:rsidRPr="005A3F48">
              <w:lastRenderedPageBreak/>
              <w:t>persons at risk at start of year 201</w:t>
            </w:r>
            <w:r>
              <w:t>9</w:t>
            </w:r>
            <w:r w:rsidRPr="005A3F48">
              <w:t xml:space="preserve"> with 365d prior observation</w:t>
            </w:r>
          </w:p>
        </w:tc>
        <w:tc>
          <w:tcPr>
            <w:tcW w:w="4675" w:type="dxa"/>
          </w:tcPr>
          <w:p w14:paraId="09340165" w14:textId="1C587FEA" w:rsidR="00386DA8" w:rsidRDefault="00843E76" w:rsidP="00F31005">
            <w:r>
              <w:t>14065</w:t>
            </w:r>
          </w:p>
        </w:tc>
      </w:tr>
      <w:tr w:rsidR="00386DA8" w14:paraId="05A9910C" w14:textId="77777777" w:rsidTr="00F31005">
        <w:tc>
          <w:tcPr>
            <w:tcW w:w="4675" w:type="dxa"/>
          </w:tcPr>
          <w:p w14:paraId="719D2047" w14:textId="77777777" w:rsidR="00386DA8" w:rsidRDefault="00386DA8" w:rsidP="00F31005">
            <w:r w:rsidRPr="005A3F48">
              <w:t>persons at risk at start of year 20</w:t>
            </w:r>
            <w:r>
              <w:t>20</w:t>
            </w:r>
            <w:r w:rsidRPr="005A3F48">
              <w:t xml:space="preserve"> with 365d prior observation</w:t>
            </w:r>
          </w:p>
        </w:tc>
        <w:tc>
          <w:tcPr>
            <w:tcW w:w="4675" w:type="dxa"/>
          </w:tcPr>
          <w:p w14:paraId="33EC2739" w14:textId="52B41843" w:rsidR="00386DA8" w:rsidRDefault="00843E76" w:rsidP="00F31005">
            <w:r>
              <w:t>14066</w:t>
            </w:r>
          </w:p>
        </w:tc>
      </w:tr>
      <w:tr w:rsidR="00386DA8" w14:paraId="0CFCAD65" w14:textId="77777777" w:rsidTr="00F31005">
        <w:tc>
          <w:tcPr>
            <w:tcW w:w="4675" w:type="dxa"/>
          </w:tcPr>
          <w:p w14:paraId="552E3CF2" w14:textId="77777777" w:rsidR="00386DA8" w:rsidRDefault="00386DA8" w:rsidP="00F31005">
            <w:r w:rsidRPr="005A3F48">
              <w:t>persons at risk at start of year 20</w:t>
            </w:r>
            <w:r>
              <w:t>21</w:t>
            </w:r>
            <w:r w:rsidRPr="005A3F48">
              <w:t xml:space="preserve"> with 365d prior observation</w:t>
            </w:r>
          </w:p>
        </w:tc>
        <w:tc>
          <w:tcPr>
            <w:tcW w:w="4675" w:type="dxa"/>
          </w:tcPr>
          <w:p w14:paraId="69E4E39B" w14:textId="5F484E04" w:rsidR="00386DA8" w:rsidRDefault="00843E76" w:rsidP="00F31005">
            <w:r>
              <w:t>14067</w:t>
            </w:r>
          </w:p>
        </w:tc>
      </w:tr>
      <w:tr w:rsidR="00386DA8" w14:paraId="3F5ED002" w14:textId="77777777" w:rsidTr="00F31005">
        <w:tc>
          <w:tcPr>
            <w:tcW w:w="4675" w:type="dxa"/>
          </w:tcPr>
          <w:p w14:paraId="5494A760" w14:textId="77777777" w:rsidR="00386DA8" w:rsidRDefault="00386DA8" w:rsidP="00F31005">
            <w:r w:rsidRPr="005A3F48">
              <w:t>persons at risk at start of year 20</w:t>
            </w:r>
            <w:r>
              <w:t>22</w:t>
            </w:r>
            <w:r w:rsidRPr="005A3F48">
              <w:t xml:space="preserve"> with 365d prior observation</w:t>
            </w:r>
          </w:p>
        </w:tc>
        <w:tc>
          <w:tcPr>
            <w:tcW w:w="4675" w:type="dxa"/>
          </w:tcPr>
          <w:p w14:paraId="65E5E3BE" w14:textId="4188269C" w:rsidR="00386DA8" w:rsidRDefault="009A11EE" w:rsidP="00F31005">
            <w:r>
              <w:t>14068</w:t>
            </w:r>
          </w:p>
        </w:tc>
      </w:tr>
    </w:tbl>
    <w:p w14:paraId="3A59FBE0" w14:textId="77777777" w:rsidR="00386DA8" w:rsidRPr="00386DA8" w:rsidRDefault="00386DA8" w:rsidP="00386DA8"/>
    <w:p w14:paraId="7B935661" w14:textId="7933EC0A" w:rsidR="00DF5A14" w:rsidRDefault="007647A9" w:rsidP="00F75BB2">
      <w:r>
        <w:rPr>
          <w:b/>
        </w:rPr>
        <w:t xml:space="preserve">Outcome Cohorts - </w:t>
      </w:r>
      <w:r w:rsidR="00E039AD">
        <w:rPr>
          <w:b/>
        </w:rPr>
        <w:t>Conditions</w:t>
      </w:r>
      <w:r w:rsidR="00B5012F">
        <w:rPr>
          <w:b/>
        </w:rPr>
        <w:t xml:space="preserve"> and Clean Windows</w:t>
      </w:r>
      <w:r>
        <w:rPr>
          <w:b/>
        </w:rPr>
        <w:t>:</w:t>
      </w:r>
    </w:p>
    <w:tbl>
      <w:tblPr>
        <w:tblStyle w:val="TableGrid"/>
        <w:tblW w:w="0" w:type="auto"/>
        <w:jc w:val="center"/>
        <w:tblLook w:val="04A0" w:firstRow="1" w:lastRow="0" w:firstColumn="1" w:lastColumn="0" w:noHBand="0" w:noVBand="1"/>
      </w:tblPr>
      <w:tblGrid>
        <w:gridCol w:w="4585"/>
        <w:gridCol w:w="3150"/>
        <w:gridCol w:w="1615"/>
      </w:tblGrid>
      <w:tr w:rsidR="00D00906" w14:paraId="1B85B454" w14:textId="77777777" w:rsidTr="008F2E6C">
        <w:trPr>
          <w:jc w:val="center"/>
        </w:trPr>
        <w:tc>
          <w:tcPr>
            <w:tcW w:w="4585" w:type="dxa"/>
          </w:tcPr>
          <w:p w14:paraId="3503FB23" w14:textId="3FCD7EC0" w:rsidR="009A11EE" w:rsidRPr="008F2E6C" w:rsidRDefault="009A11EE" w:rsidP="00DF5A14">
            <w:pPr>
              <w:rPr>
                <w:b/>
                <w:bCs/>
              </w:rPr>
            </w:pPr>
            <w:r w:rsidRPr="008F2E6C">
              <w:rPr>
                <w:b/>
                <w:bCs/>
              </w:rPr>
              <w:t>Cohort Name</w:t>
            </w:r>
            <w:r w:rsidRPr="008F2E6C">
              <w:rPr>
                <w:b/>
                <w:bCs/>
              </w:rPr>
              <w:tab/>
            </w:r>
          </w:p>
        </w:tc>
        <w:tc>
          <w:tcPr>
            <w:tcW w:w="3150" w:type="dxa"/>
          </w:tcPr>
          <w:p w14:paraId="74C637D1" w14:textId="49847553" w:rsidR="009A11EE" w:rsidRPr="008F2E6C" w:rsidRDefault="009A11EE" w:rsidP="00DF5A14">
            <w:pPr>
              <w:rPr>
                <w:b/>
                <w:bCs/>
              </w:rPr>
            </w:pPr>
            <w:r w:rsidRPr="008F2E6C">
              <w:rPr>
                <w:b/>
                <w:bCs/>
              </w:rPr>
              <w:t>JSON file # (included in package)</w:t>
            </w:r>
          </w:p>
        </w:tc>
        <w:tc>
          <w:tcPr>
            <w:tcW w:w="1615" w:type="dxa"/>
          </w:tcPr>
          <w:p w14:paraId="73583F6A" w14:textId="66996E82" w:rsidR="009A11EE" w:rsidRPr="008F2E6C" w:rsidRDefault="009A11EE" w:rsidP="00DF5A14">
            <w:pPr>
              <w:rPr>
                <w:b/>
                <w:bCs/>
              </w:rPr>
            </w:pPr>
            <w:r w:rsidRPr="008F2E6C">
              <w:rPr>
                <w:b/>
                <w:bCs/>
              </w:rPr>
              <w:t>Clean Window</w:t>
            </w:r>
          </w:p>
        </w:tc>
      </w:tr>
      <w:tr w:rsidR="00D00906" w14:paraId="0E65D4A0" w14:textId="77777777" w:rsidTr="008F2E6C">
        <w:trPr>
          <w:jc w:val="center"/>
        </w:trPr>
        <w:tc>
          <w:tcPr>
            <w:tcW w:w="4585" w:type="dxa"/>
          </w:tcPr>
          <w:p w14:paraId="7363C6DD" w14:textId="242DAB1A" w:rsidR="009A11EE" w:rsidRDefault="0015332D" w:rsidP="0015332D">
            <w:r>
              <w:t>Ulcerative</w:t>
            </w:r>
            <w:r w:rsidR="00863F8B">
              <w:t xml:space="preserve"> Colitis</w:t>
            </w:r>
            <w:r>
              <w:t xml:space="preserve"> </w:t>
            </w:r>
          </w:p>
        </w:tc>
        <w:tc>
          <w:tcPr>
            <w:tcW w:w="3150" w:type="dxa"/>
          </w:tcPr>
          <w:p w14:paraId="55D11002" w14:textId="0835F838" w:rsidR="009A11EE" w:rsidRDefault="0015332D" w:rsidP="00DF5A14">
            <w:r>
              <w:t>10606</w:t>
            </w:r>
          </w:p>
        </w:tc>
        <w:tc>
          <w:tcPr>
            <w:tcW w:w="1615" w:type="dxa"/>
          </w:tcPr>
          <w:p w14:paraId="50600327" w14:textId="7CDE1E3B" w:rsidR="009A11EE" w:rsidRDefault="00863F8B" w:rsidP="00DF5A14">
            <w:r>
              <w:t>9999</w:t>
            </w:r>
          </w:p>
        </w:tc>
      </w:tr>
      <w:tr w:rsidR="00D00906" w14:paraId="29EF9D87" w14:textId="77777777" w:rsidTr="008F2E6C">
        <w:trPr>
          <w:jc w:val="center"/>
        </w:trPr>
        <w:tc>
          <w:tcPr>
            <w:tcW w:w="4585" w:type="dxa"/>
          </w:tcPr>
          <w:p w14:paraId="739AAF5A" w14:textId="5BE34F8F" w:rsidR="009A11EE" w:rsidRDefault="0015332D" w:rsidP="006F3E22">
            <w:r>
              <w:t>Autism</w:t>
            </w:r>
          </w:p>
        </w:tc>
        <w:tc>
          <w:tcPr>
            <w:tcW w:w="3150" w:type="dxa"/>
          </w:tcPr>
          <w:p w14:paraId="1045F680" w14:textId="731F53E1" w:rsidR="009A11EE" w:rsidRDefault="006F3E22" w:rsidP="00DF5A14">
            <w:r>
              <w:t>3417</w:t>
            </w:r>
          </w:p>
        </w:tc>
        <w:tc>
          <w:tcPr>
            <w:tcW w:w="1615" w:type="dxa"/>
          </w:tcPr>
          <w:p w14:paraId="670E4811" w14:textId="25A61E37" w:rsidR="009A11EE" w:rsidRDefault="006F3E22" w:rsidP="00DF5A14">
            <w:r>
              <w:t>9999</w:t>
            </w:r>
          </w:p>
        </w:tc>
      </w:tr>
      <w:tr w:rsidR="00D00906" w14:paraId="3D990159" w14:textId="77777777" w:rsidTr="008F2E6C">
        <w:trPr>
          <w:jc w:val="center"/>
        </w:trPr>
        <w:tc>
          <w:tcPr>
            <w:tcW w:w="4585" w:type="dxa"/>
          </w:tcPr>
          <w:p w14:paraId="687B065A" w14:textId="6283029A" w:rsidR="009A11EE" w:rsidRDefault="006F3E22" w:rsidP="004171BE">
            <w:r>
              <w:t>Crohn's Disease</w:t>
            </w:r>
          </w:p>
        </w:tc>
        <w:tc>
          <w:tcPr>
            <w:tcW w:w="3150" w:type="dxa"/>
          </w:tcPr>
          <w:p w14:paraId="52AFA162" w14:textId="65D0BDB4" w:rsidR="009A11EE" w:rsidRDefault="006F3E22" w:rsidP="00DF5A14">
            <w:r>
              <w:t>10616</w:t>
            </w:r>
          </w:p>
        </w:tc>
        <w:tc>
          <w:tcPr>
            <w:tcW w:w="1615" w:type="dxa"/>
          </w:tcPr>
          <w:p w14:paraId="36CEFBA7" w14:textId="4433559B" w:rsidR="009A11EE" w:rsidRDefault="004171BE" w:rsidP="00DF5A14">
            <w:r>
              <w:t>9999</w:t>
            </w:r>
          </w:p>
        </w:tc>
      </w:tr>
      <w:tr w:rsidR="00D00906" w14:paraId="7C084516" w14:textId="77777777" w:rsidTr="008F2E6C">
        <w:trPr>
          <w:jc w:val="center"/>
        </w:trPr>
        <w:tc>
          <w:tcPr>
            <w:tcW w:w="4585" w:type="dxa"/>
          </w:tcPr>
          <w:p w14:paraId="31D57858" w14:textId="28A7C440" w:rsidR="009A11EE" w:rsidRDefault="004171BE" w:rsidP="004171BE">
            <w:r>
              <w:t>Plaque Psoriasis</w:t>
            </w:r>
          </w:p>
        </w:tc>
        <w:tc>
          <w:tcPr>
            <w:tcW w:w="3150" w:type="dxa"/>
          </w:tcPr>
          <w:p w14:paraId="6576869B" w14:textId="1EC111E7" w:rsidR="009A11EE" w:rsidRDefault="004171BE" w:rsidP="004171BE">
            <w:r>
              <w:t>10626</w:t>
            </w:r>
          </w:p>
        </w:tc>
        <w:tc>
          <w:tcPr>
            <w:tcW w:w="1615" w:type="dxa"/>
          </w:tcPr>
          <w:p w14:paraId="0F16E2D2" w14:textId="3439A555" w:rsidR="009A11EE" w:rsidRDefault="00282554" w:rsidP="00DF5A14">
            <w:r>
              <w:t>9999</w:t>
            </w:r>
          </w:p>
        </w:tc>
      </w:tr>
      <w:tr w:rsidR="00D00906" w14:paraId="6445F748" w14:textId="77777777" w:rsidTr="008F2E6C">
        <w:trPr>
          <w:jc w:val="center"/>
        </w:trPr>
        <w:tc>
          <w:tcPr>
            <w:tcW w:w="4585" w:type="dxa"/>
          </w:tcPr>
          <w:p w14:paraId="644F6309" w14:textId="08D6C6E5" w:rsidR="009A11EE" w:rsidRDefault="004171BE" w:rsidP="00282554">
            <w:r>
              <w:t>Major Depressive Disorder</w:t>
            </w:r>
          </w:p>
        </w:tc>
        <w:tc>
          <w:tcPr>
            <w:tcW w:w="3150" w:type="dxa"/>
          </w:tcPr>
          <w:p w14:paraId="54974ED3" w14:textId="30864BB8" w:rsidR="009A11EE" w:rsidRDefault="00282554" w:rsidP="00282554">
            <w:r>
              <w:t>10628</w:t>
            </w:r>
          </w:p>
        </w:tc>
        <w:tc>
          <w:tcPr>
            <w:tcW w:w="1615" w:type="dxa"/>
          </w:tcPr>
          <w:p w14:paraId="4BB7C679" w14:textId="4BADFD83" w:rsidR="009A11EE" w:rsidRDefault="00282554" w:rsidP="00DF5A14">
            <w:r>
              <w:t>9999</w:t>
            </w:r>
          </w:p>
        </w:tc>
      </w:tr>
      <w:tr w:rsidR="00D00906" w14:paraId="0713908A" w14:textId="77777777" w:rsidTr="008F2E6C">
        <w:trPr>
          <w:jc w:val="center"/>
        </w:trPr>
        <w:tc>
          <w:tcPr>
            <w:tcW w:w="4585" w:type="dxa"/>
          </w:tcPr>
          <w:p w14:paraId="6B2C7180" w14:textId="04A33E75" w:rsidR="009A11EE" w:rsidRDefault="00282554" w:rsidP="00C604F6">
            <w:r>
              <w:t>Attention Deficit Disorder</w:t>
            </w:r>
          </w:p>
        </w:tc>
        <w:tc>
          <w:tcPr>
            <w:tcW w:w="3150" w:type="dxa"/>
          </w:tcPr>
          <w:p w14:paraId="230B2E5E" w14:textId="042D1FAE" w:rsidR="009A11EE" w:rsidRDefault="00282554" w:rsidP="00282554">
            <w:r>
              <w:t>10640</w:t>
            </w:r>
          </w:p>
        </w:tc>
        <w:tc>
          <w:tcPr>
            <w:tcW w:w="1615" w:type="dxa"/>
          </w:tcPr>
          <w:p w14:paraId="7EFE9127" w14:textId="5C81206A" w:rsidR="009A11EE" w:rsidRDefault="00C604F6" w:rsidP="00DF5A14">
            <w:r>
              <w:t>9999</w:t>
            </w:r>
          </w:p>
        </w:tc>
      </w:tr>
      <w:tr w:rsidR="00C604F6" w14:paraId="1BD81BA8" w14:textId="77777777" w:rsidTr="008F2E6C">
        <w:trPr>
          <w:jc w:val="center"/>
        </w:trPr>
        <w:tc>
          <w:tcPr>
            <w:tcW w:w="4585" w:type="dxa"/>
          </w:tcPr>
          <w:p w14:paraId="18863749" w14:textId="1FE7D216" w:rsidR="00C604F6" w:rsidRDefault="00C604F6" w:rsidP="00D00906">
            <w:r>
              <w:t>Multiple Sclerosis</w:t>
            </w:r>
          </w:p>
        </w:tc>
        <w:tc>
          <w:tcPr>
            <w:tcW w:w="3150" w:type="dxa"/>
          </w:tcPr>
          <w:p w14:paraId="7003AA4F" w14:textId="521A6546" w:rsidR="00C604F6" w:rsidRDefault="00C604F6" w:rsidP="00C604F6">
            <w:r>
              <w:t>10641</w:t>
            </w:r>
          </w:p>
        </w:tc>
        <w:tc>
          <w:tcPr>
            <w:tcW w:w="1615" w:type="dxa"/>
          </w:tcPr>
          <w:p w14:paraId="57A97AC7" w14:textId="1EDEA77E" w:rsidR="00C604F6" w:rsidRDefault="00046EB7" w:rsidP="00DF5A14">
            <w:r>
              <w:t>9999</w:t>
            </w:r>
          </w:p>
        </w:tc>
      </w:tr>
      <w:tr w:rsidR="00D00906" w14:paraId="399A11B2" w14:textId="77777777" w:rsidTr="008F2E6C">
        <w:trPr>
          <w:jc w:val="center"/>
        </w:trPr>
        <w:tc>
          <w:tcPr>
            <w:tcW w:w="4585" w:type="dxa"/>
          </w:tcPr>
          <w:p w14:paraId="3939C169" w14:textId="1DEA1478" w:rsidR="00D00906" w:rsidRDefault="00D00906" w:rsidP="00D00906">
            <w:r>
              <w:t>Chronic Lymphocytic Leukemia</w:t>
            </w:r>
          </w:p>
        </w:tc>
        <w:tc>
          <w:tcPr>
            <w:tcW w:w="3150" w:type="dxa"/>
          </w:tcPr>
          <w:p w14:paraId="77BDAE43" w14:textId="4FF9961A" w:rsidR="00D00906" w:rsidRDefault="00D00906" w:rsidP="00D00906">
            <w:r>
              <w:t>10642</w:t>
            </w:r>
          </w:p>
        </w:tc>
        <w:tc>
          <w:tcPr>
            <w:tcW w:w="1615" w:type="dxa"/>
          </w:tcPr>
          <w:p w14:paraId="42D3275E" w14:textId="76DBA7DA" w:rsidR="00D00906" w:rsidRDefault="00046EB7" w:rsidP="00DF5A14">
            <w:r>
              <w:t>9999</w:t>
            </w:r>
          </w:p>
        </w:tc>
      </w:tr>
      <w:tr w:rsidR="00D00906" w14:paraId="7D6C643F" w14:textId="77777777" w:rsidTr="008F2E6C">
        <w:trPr>
          <w:jc w:val="center"/>
        </w:trPr>
        <w:tc>
          <w:tcPr>
            <w:tcW w:w="4585" w:type="dxa"/>
          </w:tcPr>
          <w:p w14:paraId="34DAF321" w14:textId="0F7EB6B6" w:rsidR="00D00906" w:rsidRDefault="00D00906" w:rsidP="00D00906">
            <w:r>
              <w:t>Type 2 diabetes mellitus</w:t>
            </w:r>
          </w:p>
        </w:tc>
        <w:tc>
          <w:tcPr>
            <w:tcW w:w="3150" w:type="dxa"/>
          </w:tcPr>
          <w:p w14:paraId="4EAE1108" w14:textId="6DDE755F" w:rsidR="00D00906" w:rsidRDefault="00D00906" w:rsidP="00D00906">
            <w:r>
              <w:t>10647</w:t>
            </w:r>
          </w:p>
        </w:tc>
        <w:tc>
          <w:tcPr>
            <w:tcW w:w="1615" w:type="dxa"/>
          </w:tcPr>
          <w:p w14:paraId="06D03ACC" w14:textId="40DAD102" w:rsidR="00D00906" w:rsidRDefault="00046EB7" w:rsidP="00DF5A14">
            <w:r>
              <w:t>9999</w:t>
            </w:r>
          </w:p>
        </w:tc>
      </w:tr>
      <w:tr w:rsidR="00D00906" w14:paraId="10A1E2C6" w14:textId="77777777" w:rsidTr="008F2E6C">
        <w:trPr>
          <w:jc w:val="center"/>
        </w:trPr>
        <w:tc>
          <w:tcPr>
            <w:tcW w:w="4585" w:type="dxa"/>
          </w:tcPr>
          <w:p w14:paraId="342E771A" w14:textId="2A6F6412" w:rsidR="00D00906" w:rsidRDefault="00D00906" w:rsidP="00D00906">
            <w:r>
              <w:t>Anaphylaxis non environmental</w:t>
            </w:r>
          </w:p>
        </w:tc>
        <w:tc>
          <w:tcPr>
            <w:tcW w:w="3150" w:type="dxa"/>
          </w:tcPr>
          <w:p w14:paraId="759BEB98" w14:textId="6996CA13" w:rsidR="00D00906" w:rsidRDefault="00D00906" w:rsidP="00D00906">
            <w:r>
              <w:t>10659</w:t>
            </w:r>
          </w:p>
        </w:tc>
        <w:tc>
          <w:tcPr>
            <w:tcW w:w="1615" w:type="dxa"/>
          </w:tcPr>
          <w:p w14:paraId="79AA2D89" w14:textId="4A468C3C" w:rsidR="00D00906" w:rsidRDefault="00046EB7" w:rsidP="00DF5A14">
            <w:r>
              <w:t>30</w:t>
            </w:r>
          </w:p>
        </w:tc>
      </w:tr>
      <w:tr w:rsidR="00D00906" w14:paraId="6C01AA1D" w14:textId="77777777" w:rsidTr="008F2E6C">
        <w:trPr>
          <w:jc w:val="center"/>
        </w:trPr>
        <w:tc>
          <w:tcPr>
            <w:tcW w:w="4585" w:type="dxa"/>
          </w:tcPr>
          <w:p w14:paraId="2D857F1A" w14:textId="6F40B5A9" w:rsidR="00D00906" w:rsidRDefault="00D00906" w:rsidP="00D00906">
            <w:r>
              <w:t>Urinary tract infection</w:t>
            </w:r>
          </w:p>
        </w:tc>
        <w:tc>
          <w:tcPr>
            <w:tcW w:w="3150" w:type="dxa"/>
          </w:tcPr>
          <w:p w14:paraId="7569D29F" w14:textId="58D31CAF" w:rsidR="00D00906" w:rsidRDefault="00D00906" w:rsidP="00D00906">
            <w:r>
              <w:t>12396</w:t>
            </w:r>
          </w:p>
        </w:tc>
        <w:tc>
          <w:tcPr>
            <w:tcW w:w="1615" w:type="dxa"/>
          </w:tcPr>
          <w:p w14:paraId="77C21738" w14:textId="69D2E45F" w:rsidR="00D00906" w:rsidRDefault="00046EB7" w:rsidP="00DF5A14">
            <w:r>
              <w:t>30</w:t>
            </w:r>
          </w:p>
        </w:tc>
      </w:tr>
      <w:tr w:rsidR="00D00906" w14:paraId="6335228E" w14:textId="77777777" w:rsidTr="008F2E6C">
        <w:trPr>
          <w:jc w:val="center"/>
        </w:trPr>
        <w:tc>
          <w:tcPr>
            <w:tcW w:w="4585" w:type="dxa"/>
          </w:tcPr>
          <w:p w14:paraId="16E81499" w14:textId="16F8C448" w:rsidR="00D00906" w:rsidRDefault="00D00906" w:rsidP="00D00906">
            <w:r>
              <w:t>Epilepsy</w:t>
            </w:r>
          </w:p>
        </w:tc>
        <w:tc>
          <w:tcPr>
            <w:tcW w:w="3150" w:type="dxa"/>
          </w:tcPr>
          <w:p w14:paraId="606AE103" w14:textId="3C00D965" w:rsidR="00D00906" w:rsidRDefault="00D00906" w:rsidP="00D00906">
            <w:r>
              <w:t>12403</w:t>
            </w:r>
          </w:p>
        </w:tc>
        <w:tc>
          <w:tcPr>
            <w:tcW w:w="1615" w:type="dxa"/>
          </w:tcPr>
          <w:p w14:paraId="7F47091A" w14:textId="0F28C980" w:rsidR="00D00906" w:rsidRDefault="00046EB7" w:rsidP="00DF5A14">
            <w:r>
              <w:t>9999</w:t>
            </w:r>
          </w:p>
        </w:tc>
      </w:tr>
      <w:tr w:rsidR="00D00906" w14:paraId="7A8F4DE0" w14:textId="77777777" w:rsidTr="008F2E6C">
        <w:trPr>
          <w:jc w:val="center"/>
        </w:trPr>
        <w:tc>
          <w:tcPr>
            <w:tcW w:w="4585" w:type="dxa"/>
          </w:tcPr>
          <w:p w14:paraId="792EEA8A" w14:textId="1E43F68A" w:rsidR="00D00906" w:rsidRDefault="00D00906" w:rsidP="00EE46D1">
            <w:r>
              <w:t>Migraine</w:t>
            </w:r>
          </w:p>
        </w:tc>
        <w:tc>
          <w:tcPr>
            <w:tcW w:w="3150" w:type="dxa"/>
          </w:tcPr>
          <w:p w14:paraId="17E8A5B3" w14:textId="360040FD" w:rsidR="00D00906" w:rsidRDefault="00EE46D1" w:rsidP="00EE46D1">
            <w:r>
              <w:t>12468</w:t>
            </w:r>
          </w:p>
        </w:tc>
        <w:tc>
          <w:tcPr>
            <w:tcW w:w="1615" w:type="dxa"/>
          </w:tcPr>
          <w:p w14:paraId="532982E4" w14:textId="0158FC75" w:rsidR="00D00906" w:rsidRDefault="008652A7" w:rsidP="00DF5A14">
            <w:r>
              <w:t>30</w:t>
            </w:r>
          </w:p>
        </w:tc>
      </w:tr>
      <w:tr w:rsidR="00D00906" w14:paraId="1244F3AA" w14:textId="77777777" w:rsidTr="008F2E6C">
        <w:trPr>
          <w:jc w:val="center"/>
        </w:trPr>
        <w:tc>
          <w:tcPr>
            <w:tcW w:w="4585" w:type="dxa"/>
          </w:tcPr>
          <w:p w14:paraId="38377C75" w14:textId="5FED0C08" w:rsidR="00D00906" w:rsidRDefault="00EE46D1" w:rsidP="00EE46D1">
            <w:r>
              <w:t>Burns</w:t>
            </w:r>
          </w:p>
        </w:tc>
        <w:tc>
          <w:tcPr>
            <w:tcW w:w="3150" w:type="dxa"/>
          </w:tcPr>
          <w:p w14:paraId="43AE5CBC" w14:textId="42C9F477" w:rsidR="00D00906" w:rsidRDefault="00EE46D1" w:rsidP="00EE46D1">
            <w:r>
              <w:t>13676</w:t>
            </w:r>
          </w:p>
        </w:tc>
        <w:tc>
          <w:tcPr>
            <w:tcW w:w="1615" w:type="dxa"/>
          </w:tcPr>
          <w:p w14:paraId="13287609" w14:textId="3524CD84" w:rsidR="00D00906" w:rsidRDefault="008652A7" w:rsidP="00DF5A14">
            <w:r>
              <w:t>30</w:t>
            </w:r>
          </w:p>
        </w:tc>
      </w:tr>
      <w:tr w:rsidR="00D00906" w14:paraId="0E22D135" w14:textId="77777777" w:rsidTr="008F2E6C">
        <w:trPr>
          <w:jc w:val="center"/>
        </w:trPr>
        <w:tc>
          <w:tcPr>
            <w:tcW w:w="4585" w:type="dxa"/>
          </w:tcPr>
          <w:p w14:paraId="231AFB78" w14:textId="7DAE7F8F" w:rsidR="00D00906" w:rsidRDefault="00EE46D1" w:rsidP="00EE46D1">
            <w:r>
              <w:t>Cystic Fibrosis</w:t>
            </w:r>
          </w:p>
        </w:tc>
        <w:tc>
          <w:tcPr>
            <w:tcW w:w="3150" w:type="dxa"/>
          </w:tcPr>
          <w:p w14:paraId="5D2DEFC0" w14:textId="58B448CE" w:rsidR="00D00906" w:rsidRDefault="00EE46D1" w:rsidP="00EE46D1">
            <w:r>
              <w:t>13626</w:t>
            </w:r>
          </w:p>
        </w:tc>
        <w:tc>
          <w:tcPr>
            <w:tcW w:w="1615" w:type="dxa"/>
          </w:tcPr>
          <w:p w14:paraId="46538BB1" w14:textId="03C91FBD" w:rsidR="00D00906" w:rsidRDefault="008652A7" w:rsidP="00DF5A14">
            <w:r>
              <w:t>9999</w:t>
            </w:r>
          </w:p>
        </w:tc>
      </w:tr>
      <w:tr w:rsidR="00EE46D1" w14:paraId="16140309" w14:textId="77777777" w:rsidTr="008F2E6C">
        <w:trPr>
          <w:jc w:val="center"/>
        </w:trPr>
        <w:tc>
          <w:tcPr>
            <w:tcW w:w="4585" w:type="dxa"/>
          </w:tcPr>
          <w:p w14:paraId="19D798B7" w14:textId="7E97FF2B" w:rsidR="00EE46D1" w:rsidRDefault="00EE46D1" w:rsidP="00EE46D1">
            <w:r>
              <w:t>Down Syndrome</w:t>
            </w:r>
          </w:p>
        </w:tc>
        <w:tc>
          <w:tcPr>
            <w:tcW w:w="3150" w:type="dxa"/>
          </w:tcPr>
          <w:p w14:paraId="7F0A764C" w14:textId="5F5C0E20" w:rsidR="00EE46D1" w:rsidRDefault="00EE46D1" w:rsidP="00EE46D1">
            <w:r>
              <w:t>13625</w:t>
            </w:r>
          </w:p>
        </w:tc>
        <w:tc>
          <w:tcPr>
            <w:tcW w:w="1615" w:type="dxa"/>
          </w:tcPr>
          <w:p w14:paraId="4F694F4C" w14:textId="27812B2B" w:rsidR="00EE46D1" w:rsidRDefault="008652A7" w:rsidP="00DF5A14">
            <w:r>
              <w:t>9999</w:t>
            </w:r>
          </w:p>
        </w:tc>
      </w:tr>
      <w:tr w:rsidR="00D00906" w14:paraId="60EAC43C" w14:textId="77777777" w:rsidTr="008F2E6C">
        <w:trPr>
          <w:jc w:val="center"/>
        </w:trPr>
        <w:tc>
          <w:tcPr>
            <w:tcW w:w="4585" w:type="dxa"/>
          </w:tcPr>
          <w:p w14:paraId="149CABEB" w14:textId="07749364" w:rsidR="009A11EE" w:rsidRDefault="0015332D" w:rsidP="00EE46D1">
            <w:r>
              <w:t>Motor Vehicle Accident</w:t>
            </w:r>
          </w:p>
        </w:tc>
        <w:tc>
          <w:tcPr>
            <w:tcW w:w="3150" w:type="dxa"/>
          </w:tcPr>
          <w:p w14:paraId="597C092C" w14:textId="6C90EBA3" w:rsidR="009A11EE" w:rsidRDefault="00EE46D1" w:rsidP="00DF5A14">
            <w:r>
              <w:t>13692</w:t>
            </w:r>
          </w:p>
        </w:tc>
        <w:tc>
          <w:tcPr>
            <w:tcW w:w="1615" w:type="dxa"/>
          </w:tcPr>
          <w:p w14:paraId="0678BCAC" w14:textId="4128082C" w:rsidR="009A11EE" w:rsidRDefault="008652A7" w:rsidP="00DF5A14">
            <w:r>
              <w:t>30</w:t>
            </w:r>
          </w:p>
        </w:tc>
      </w:tr>
      <w:tr w:rsidR="00EE46D1" w14:paraId="6323D483" w14:textId="77777777" w:rsidTr="008F2E6C">
        <w:trPr>
          <w:jc w:val="center"/>
        </w:trPr>
        <w:tc>
          <w:tcPr>
            <w:tcW w:w="4585" w:type="dxa"/>
          </w:tcPr>
          <w:p w14:paraId="778CBB82" w14:textId="159843E2" w:rsidR="00EE46D1" w:rsidRDefault="00EE46D1" w:rsidP="00EE46D1">
            <w:r>
              <w:t xml:space="preserve"> Firearm Accident</w:t>
            </w:r>
          </w:p>
        </w:tc>
        <w:tc>
          <w:tcPr>
            <w:tcW w:w="3150" w:type="dxa"/>
          </w:tcPr>
          <w:p w14:paraId="6D026003" w14:textId="649BC425" w:rsidR="00EE46D1" w:rsidRDefault="00EE46D1" w:rsidP="00EE46D1">
            <w:r>
              <w:t>13631</w:t>
            </w:r>
          </w:p>
        </w:tc>
        <w:tc>
          <w:tcPr>
            <w:tcW w:w="1615" w:type="dxa"/>
          </w:tcPr>
          <w:p w14:paraId="0F2A419D" w14:textId="03C5D4E7" w:rsidR="00EE46D1" w:rsidRDefault="008652A7" w:rsidP="00DF5A14">
            <w:r>
              <w:t>30</w:t>
            </w:r>
          </w:p>
        </w:tc>
      </w:tr>
      <w:tr w:rsidR="00EE46D1" w14:paraId="1412FA78" w14:textId="77777777" w:rsidTr="008F2E6C">
        <w:trPr>
          <w:jc w:val="center"/>
        </w:trPr>
        <w:tc>
          <w:tcPr>
            <w:tcW w:w="4585" w:type="dxa"/>
          </w:tcPr>
          <w:p w14:paraId="6D0E2EC1" w14:textId="5D8265CE" w:rsidR="00EE46D1" w:rsidRDefault="00EE46D1" w:rsidP="00EE46D1">
            <w:r>
              <w:t>Suicide ideation attempt, including drug poisoning</w:t>
            </w:r>
          </w:p>
        </w:tc>
        <w:tc>
          <w:tcPr>
            <w:tcW w:w="3150" w:type="dxa"/>
          </w:tcPr>
          <w:p w14:paraId="5424A2EA" w14:textId="60817422" w:rsidR="00EE46D1" w:rsidRDefault="00EE46D1" w:rsidP="00EE46D1">
            <w:r>
              <w:t>3429</w:t>
            </w:r>
          </w:p>
        </w:tc>
        <w:tc>
          <w:tcPr>
            <w:tcW w:w="1615" w:type="dxa"/>
          </w:tcPr>
          <w:p w14:paraId="1C8ACE24" w14:textId="472D91EF" w:rsidR="00EE46D1" w:rsidRDefault="008F2E6C" w:rsidP="00DF5A14">
            <w:r>
              <w:t>30</w:t>
            </w:r>
          </w:p>
        </w:tc>
      </w:tr>
      <w:tr w:rsidR="00EE46D1" w14:paraId="7AD7F7D3" w14:textId="77777777" w:rsidTr="008F2E6C">
        <w:trPr>
          <w:jc w:val="center"/>
        </w:trPr>
        <w:tc>
          <w:tcPr>
            <w:tcW w:w="4585" w:type="dxa"/>
          </w:tcPr>
          <w:p w14:paraId="2869F64D" w14:textId="78382765" w:rsidR="00EE46D1" w:rsidRDefault="00EE46D1" w:rsidP="00EE46D1">
            <w:r>
              <w:t>Asthma</w:t>
            </w:r>
          </w:p>
        </w:tc>
        <w:tc>
          <w:tcPr>
            <w:tcW w:w="3150" w:type="dxa"/>
          </w:tcPr>
          <w:p w14:paraId="041AA498" w14:textId="69BD114D" w:rsidR="00EE46D1" w:rsidRDefault="00EE46D1" w:rsidP="00EE46D1">
            <w:r>
              <w:t>14041</w:t>
            </w:r>
          </w:p>
        </w:tc>
        <w:tc>
          <w:tcPr>
            <w:tcW w:w="1615" w:type="dxa"/>
          </w:tcPr>
          <w:p w14:paraId="0D290CAD" w14:textId="09C14886" w:rsidR="00EE46D1" w:rsidRDefault="008F2E6C" w:rsidP="00DF5A14">
            <w:r>
              <w:t>9999</w:t>
            </w:r>
          </w:p>
        </w:tc>
      </w:tr>
      <w:tr w:rsidR="00EE46D1" w14:paraId="1BE90D1B" w14:textId="77777777" w:rsidTr="008F2E6C">
        <w:trPr>
          <w:jc w:val="center"/>
        </w:trPr>
        <w:tc>
          <w:tcPr>
            <w:tcW w:w="4585" w:type="dxa"/>
          </w:tcPr>
          <w:p w14:paraId="4A4B5595" w14:textId="67F32C6B" w:rsidR="00EE46D1" w:rsidRDefault="00EE46D1" w:rsidP="00EE46D1">
            <w:r>
              <w:t>Atopic Dermatitis</w:t>
            </w:r>
          </w:p>
        </w:tc>
        <w:tc>
          <w:tcPr>
            <w:tcW w:w="3150" w:type="dxa"/>
          </w:tcPr>
          <w:p w14:paraId="471F1FC0" w14:textId="46288D6E" w:rsidR="00EE46D1" w:rsidRDefault="00EE46D1" w:rsidP="00EE46D1">
            <w:r>
              <w:t>12734</w:t>
            </w:r>
          </w:p>
        </w:tc>
        <w:tc>
          <w:tcPr>
            <w:tcW w:w="1615" w:type="dxa"/>
          </w:tcPr>
          <w:p w14:paraId="1011F4CD" w14:textId="03DC031D" w:rsidR="00EE46D1" w:rsidRDefault="008F2E6C" w:rsidP="00DF5A14">
            <w:r>
              <w:t>9999</w:t>
            </w:r>
          </w:p>
        </w:tc>
      </w:tr>
      <w:tr w:rsidR="00EE46D1" w14:paraId="5C7438E7" w14:textId="77777777" w:rsidTr="008F2E6C">
        <w:trPr>
          <w:jc w:val="center"/>
        </w:trPr>
        <w:tc>
          <w:tcPr>
            <w:tcW w:w="4585" w:type="dxa"/>
          </w:tcPr>
          <w:p w14:paraId="4A79918E" w14:textId="7BBD525F" w:rsidR="00EE46D1" w:rsidRDefault="00EE46D1" w:rsidP="00EE46D1">
            <w:r>
              <w:t>Otitis Media</w:t>
            </w:r>
          </w:p>
        </w:tc>
        <w:tc>
          <w:tcPr>
            <w:tcW w:w="3150" w:type="dxa"/>
          </w:tcPr>
          <w:p w14:paraId="34D1C536" w14:textId="77EC66F0" w:rsidR="00EE46D1" w:rsidRDefault="00EE46D1" w:rsidP="00EE46D1">
            <w:r>
              <w:t>372</w:t>
            </w:r>
          </w:p>
        </w:tc>
        <w:tc>
          <w:tcPr>
            <w:tcW w:w="1615" w:type="dxa"/>
          </w:tcPr>
          <w:p w14:paraId="6E876D2D" w14:textId="2B8E952B" w:rsidR="00EE46D1" w:rsidRDefault="008F2E6C" w:rsidP="00DF5A14">
            <w:r>
              <w:t>30</w:t>
            </w:r>
          </w:p>
        </w:tc>
      </w:tr>
    </w:tbl>
    <w:p w14:paraId="4A14DD09" w14:textId="77777777" w:rsidR="00DF5A14" w:rsidRPr="00DF5A14" w:rsidRDefault="00DF5A14" w:rsidP="00DF5A14"/>
    <w:p w14:paraId="2F71A5DC" w14:textId="77777777" w:rsidR="00DF5A14" w:rsidRDefault="00DF5A14"/>
    <w:sectPr w:rsidR="00DF5A14">
      <w:headerReference w:type="default" r:id="rId34"/>
      <w:footerReference w:type="defaul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oss, Erica [JRDUS]" w:date="2023-03-16T10:19:00Z" w:initials="VE[">
    <w:p w14:paraId="07E4B46C" w14:textId="6EBD8BB6" w:rsidR="00976BF9" w:rsidRDefault="00976BF9">
      <w:pPr>
        <w:pStyle w:val="CommentText"/>
      </w:pPr>
      <w:r>
        <w:rPr>
          <w:rStyle w:val="CommentReference"/>
        </w:rPr>
        <w:annotationRef/>
      </w:r>
      <w:r>
        <w:t>We’ll want to see if there are different EMA ones as I assume these are the FDA ones</w:t>
      </w:r>
    </w:p>
  </w:comment>
  <w:comment w:id="1" w:author="Hardin, Jill [JRDUS]" w:date="2023-03-16T11:45:00Z" w:initials="HJ[">
    <w:p w14:paraId="1FA7C06A" w14:textId="13148DF4" w:rsidR="00F6434D" w:rsidRDefault="00F6434D">
      <w:pPr>
        <w:pStyle w:val="CommentText"/>
      </w:pPr>
      <w:r>
        <w:rPr>
          <w:rStyle w:val="CommentReference"/>
        </w:rPr>
        <w:annotationRef/>
      </w:r>
      <w:r>
        <w:t>Yes they are the FDA age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E4B46C" w15:done="0"/>
  <w15:commentEx w15:paraId="1FA7C06A" w15:paraIdParent="07E4B4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6BCC" w16cex:dateUtc="2023-03-16T14:19:00Z"/>
  <w16cex:commentExtensible w16cex:durableId="27BD7FD1" w16cex:dateUtc="2023-03-16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E4B46C" w16cid:durableId="27BD6BCC"/>
  <w16cid:commentId w16cid:paraId="1FA7C06A" w16cid:durableId="27BD7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F13E" w14:textId="77777777" w:rsidR="00CC2B3E" w:rsidRDefault="00CC2B3E" w:rsidP="00E130CD">
      <w:pPr>
        <w:spacing w:after="0" w:line="240" w:lineRule="auto"/>
      </w:pPr>
      <w:r>
        <w:separator/>
      </w:r>
    </w:p>
  </w:endnote>
  <w:endnote w:type="continuationSeparator" w:id="0">
    <w:p w14:paraId="17BA8DF1" w14:textId="77777777" w:rsidR="00CC2B3E" w:rsidRDefault="00CC2B3E" w:rsidP="00E130CD">
      <w:pPr>
        <w:spacing w:after="0" w:line="240" w:lineRule="auto"/>
      </w:pPr>
      <w:r>
        <w:continuationSeparator/>
      </w:r>
    </w:p>
  </w:endnote>
  <w:endnote w:type="continuationNotice" w:id="1">
    <w:p w14:paraId="4C9D5AF8" w14:textId="77777777" w:rsidR="00CC2B3E" w:rsidRDefault="00CC2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04368"/>
      <w:docPartObj>
        <w:docPartGallery w:val="Page Numbers (Bottom of Page)"/>
        <w:docPartUnique/>
      </w:docPartObj>
    </w:sdtPr>
    <w:sdtEndPr>
      <w:rPr>
        <w:noProof/>
      </w:rPr>
    </w:sdtEndPr>
    <w:sdtContent>
      <w:p w14:paraId="1E6E1715" w14:textId="12F13687" w:rsidR="00DE146B" w:rsidRDefault="00DE14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7C2155" w14:textId="77777777" w:rsidR="00E130CD" w:rsidRDefault="00E13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17DB7" w14:textId="77777777" w:rsidR="00CC2B3E" w:rsidRDefault="00CC2B3E" w:rsidP="00E130CD">
      <w:pPr>
        <w:spacing w:after="0" w:line="240" w:lineRule="auto"/>
      </w:pPr>
      <w:r>
        <w:separator/>
      </w:r>
    </w:p>
  </w:footnote>
  <w:footnote w:type="continuationSeparator" w:id="0">
    <w:p w14:paraId="3835439D" w14:textId="77777777" w:rsidR="00CC2B3E" w:rsidRDefault="00CC2B3E" w:rsidP="00E130CD">
      <w:pPr>
        <w:spacing w:after="0" w:line="240" w:lineRule="auto"/>
      </w:pPr>
      <w:r>
        <w:continuationSeparator/>
      </w:r>
    </w:p>
  </w:footnote>
  <w:footnote w:type="continuationNotice" w:id="1">
    <w:p w14:paraId="4FB9F4DD" w14:textId="77777777" w:rsidR="00CC2B3E" w:rsidRDefault="00CC2B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37638"/>
      <w:docPartObj>
        <w:docPartGallery w:val="Watermarks"/>
        <w:docPartUnique/>
      </w:docPartObj>
    </w:sdtPr>
    <w:sdtEndPr/>
    <w:sdtContent>
      <w:p w14:paraId="422B4F16" w14:textId="153C97A2" w:rsidR="00E130CD" w:rsidRDefault="00714CA2">
        <w:pPr>
          <w:pStyle w:val="Header"/>
        </w:pPr>
        <w:r>
          <w:rPr>
            <w:noProof/>
          </w:rPr>
          <w:pict w14:anchorId="6BC02D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wrap-edited:f;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4041"/>
    <w:multiLevelType w:val="hybridMultilevel"/>
    <w:tmpl w:val="06A6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99200E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2A5D70"/>
    <w:multiLevelType w:val="multilevel"/>
    <w:tmpl w:val="A88C80A0"/>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DBA7D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5C51E0"/>
    <w:multiLevelType w:val="multilevel"/>
    <w:tmpl w:val="7334FA8C"/>
    <w:lvl w:ilvl="0">
      <w:start w:val="1"/>
      <w:numFmt w:val="decimal"/>
      <w:pStyle w:val="TOC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2D43A80"/>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2E66CE8"/>
    <w:multiLevelType w:val="hybridMultilevel"/>
    <w:tmpl w:val="AB38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20791"/>
    <w:multiLevelType w:val="multilevel"/>
    <w:tmpl w:val="CB82E0F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0238F1"/>
    <w:multiLevelType w:val="hybridMultilevel"/>
    <w:tmpl w:val="8F02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753C0"/>
    <w:multiLevelType w:val="hybridMultilevel"/>
    <w:tmpl w:val="837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D0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8A5B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4708C0"/>
    <w:multiLevelType w:val="hybridMultilevel"/>
    <w:tmpl w:val="D3B6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C07BE1"/>
    <w:multiLevelType w:val="hybridMultilevel"/>
    <w:tmpl w:val="F6907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996661">
    <w:abstractNumId w:val="10"/>
  </w:num>
  <w:num w:numId="2" w16cid:durableId="1227374271">
    <w:abstractNumId w:val="11"/>
  </w:num>
  <w:num w:numId="3" w16cid:durableId="188178746">
    <w:abstractNumId w:val="3"/>
  </w:num>
  <w:num w:numId="4" w16cid:durableId="1619216918">
    <w:abstractNumId w:val="7"/>
  </w:num>
  <w:num w:numId="5" w16cid:durableId="24017828">
    <w:abstractNumId w:val="2"/>
  </w:num>
  <w:num w:numId="6" w16cid:durableId="1353647476">
    <w:abstractNumId w:val="9"/>
  </w:num>
  <w:num w:numId="7" w16cid:durableId="1570844866">
    <w:abstractNumId w:val="6"/>
  </w:num>
  <w:num w:numId="8" w16cid:durableId="511262872">
    <w:abstractNumId w:val="8"/>
  </w:num>
  <w:num w:numId="9" w16cid:durableId="1392001778">
    <w:abstractNumId w:val="12"/>
  </w:num>
  <w:num w:numId="10" w16cid:durableId="795026096">
    <w:abstractNumId w:val="13"/>
  </w:num>
  <w:num w:numId="11" w16cid:durableId="712726820">
    <w:abstractNumId w:val="1"/>
  </w:num>
  <w:num w:numId="12" w16cid:durableId="2007245835">
    <w:abstractNumId w:val="5"/>
  </w:num>
  <w:num w:numId="13" w16cid:durableId="1790202729">
    <w:abstractNumId w:val="4"/>
  </w:num>
  <w:num w:numId="14" w16cid:durableId="283851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din, Jill [JRDUS]">
    <w15:presenceInfo w15:providerId="AD" w15:userId="S::jhardi10@its.jnj.com::135987b5-59ad-49d3-bc97-98ca45368d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3B"/>
    <w:rsid w:val="00000046"/>
    <w:rsid w:val="00001F86"/>
    <w:rsid w:val="00006DFF"/>
    <w:rsid w:val="000168F4"/>
    <w:rsid w:val="000169CC"/>
    <w:rsid w:val="00017B7A"/>
    <w:rsid w:val="0002050C"/>
    <w:rsid w:val="00036AFC"/>
    <w:rsid w:val="00040E4F"/>
    <w:rsid w:val="000416D0"/>
    <w:rsid w:val="00046EB7"/>
    <w:rsid w:val="000554A1"/>
    <w:rsid w:val="00055E7D"/>
    <w:rsid w:val="00063994"/>
    <w:rsid w:val="00064DD8"/>
    <w:rsid w:val="00067803"/>
    <w:rsid w:val="00071AA9"/>
    <w:rsid w:val="00081A49"/>
    <w:rsid w:val="00082478"/>
    <w:rsid w:val="000858F1"/>
    <w:rsid w:val="000A0562"/>
    <w:rsid w:val="000A070F"/>
    <w:rsid w:val="000A2B39"/>
    <w:rsid w:val="000A76DA"/>
    <w:rsid w:val="000B3568"/>
    <w:rsid w:val="000C449B"/>
    <w:rsid w:val="000D1A2B"/>
    <w:rsid w:val="000D7AD8"/>
    <w:rsid w:val="000E1373"/>
    <w:rsid w:val="000E6035"/>
    <w:rsid w:val="000F0E20"/>
    <w:rsid w:val="000F3D5B"/>
    <w:rsid w:val="000F5469"/>
    <w:rsid w:val="000F6C09"/>
    <w:rsid w:val="000F6E05"/>
    <w:rsid w:val="001048D0"/>
    <w:rsid w:val="001054B4"/>
    <w:rsid w:val="00105C0F"/>
    <w:rsid w:val="00112486"/>
    <w:rsid w:val="00112D57"/>
    <w:rsid w:val="001135C0"/>
    <w:rsid w:val="00116870"/>
    <w:rsid w:val="00121CA7"/>
    <w:rsid w:val="0013553B"/>
    <w:rsid w:val="0014075D"/>
    <w:rsid w:val="00150714"/>
    <w:rsid w:val="00151FE0"/>
    <w:rsid w:val="0015332D"/>
    <w:rsid w:val="0015423A"/>
    <w:rsid w:val="00157761"/>
    <w:rsid w:val="00162FFF"/>
    <w:rsid w:val="00165AA0"/>
    <w:rsid w:val="001728C3"/>
    <w:rsid w:val="00172EBB"/>
    <w:rsid w:val="001735B4"/>
    <w:rsid w:val="001739FE"/>
    <w:rsid w:val="00182668"/>
    <w:rsid w:val="00183AC3"/>
    <w:rsid w:val="00193B81"/>
    <w:rsid w:val="001974CA"/>
    <w:rsid w:val="001A3D77"/>
    <w:rsid w:val="001A4AD1"/>
    <w:rsid w:val="001A70D1"/>
    <w:rsid w:val="001B4EE4"/>
    <w:rsid w:val="001C05C4"/>
    <w:rsid w:val="001C6D81"/>
    <w:rsid w:val="001D0191"/>
    <w:rsid w:val="001D032A"/>
    <w:rsid w:val="001D03A1"/>
    <w:rsid w:val="001D13FC"/>
    <w:rsid w:val="001D423F"/>
    <w:rsid w:val="001D505F"/>
    <w:rsid w:val="001D58DB"/>
    <w:rsid w:val="001E21C0"/>
    <w:rsid w:val="001E6324"/>
    <w:rsid w:val="001E6F29"/>
    <w:rsid w:val="001F36E8"/>
    <w:rsid w:val="001F7FC3"/>
    <w:rsid w:val="00201D88"/>
    <w:rsid w:val="00203DC9"/>
    <w:rsid w:val="002063CC"/>
    <w:rsid w:val="00207D4D"/>
    <w:rsid w:val="0021623F"/>
    <w:rsid w:val="002167CE"/>
    <w:rsid w:val="00216FE7"/>
    <w:rsid w:val="00216FEB"/>
    <w:rsid w:val="002173D6"/>
    <w:rsid w:val="00233162"/>
    <w:rsid w:val="0023423E"/>
    <w:rsid w:val="00235308"/>
    <w:rsid w:val="0024135B"/>
    <w:rsid w:val="00267A42"/>
    <w:rsid w:val="00271E5D"/>
    <w:rsid w:val="00272A31"/>
    <w:rsid w:val="00276787"/>
    <w:rsid w:val="00282554"/>
    <w:rsid w:val="00285B83"/>
    <w:rsid w:val="00292493"/>
    <w:rsid w:val="0029405D"/>
    <w:rsid w:val="002A7498"/>
    <w:rsid w:val="002B3E41"/>
    <w:rsid w:val="002B5236"/>
    <w:rsid w:val="002B7AD5"/>
    <w:rsid w:val="002D26AA"/>
    <w:rsid w:val="002D3132"/>
    <w:rsid w:val="002D5476"/>
    <w:rsid w:val="002D7C1D"/>
    <w:rsid w:val="002E26DB"/>
    <w:rsid w:val="002F3B53"/>
    <w:rsid w:val="00300BAD"/>
    <w:rsid w:val="00300F16"/>
    <w:rsid w:val="003019F5"/>
    <w:rsid w:val="00310E20"/>
    <w:rsid w:val="00322D2E"/>
    <w:rsid w:val="0032368F"/>
    <w:rsid w:val="003259C4"/>
    <w:rsid w:val="003306C9"/>
    <w:rsid w:val="00341500"/>
    <w:rsid w:val="00341FDC"/>
    <w:rsid w:val="00345947"/>
    <w:rsid w:val="0035240D"/>
    <w:rsid w:val="00352FA3"/>
    <w:rsid w:val="0035716D"/>
    <w:rsid w:val="003577D3"/>
    <w:rsid w:val="003648EC"/>
    <w:rsid w:val="00366274"/>
    <w:rsid w:val="00370F0A"/>
    <w:rsid w:val="00377A84"/>
    <w:rsid w:val="00381EE3"/>
    <w:rsid w:val="00386DA8"/>
    <w:rsid w:val="00393C1B"/>
    <w:rsid w:val="00395A69"/>
    <w:rsid w:val="003968D8"/>
    <w:rsid w:val="003A6C1E"/>
    <w:rsid w:val="003B0339"/>
    <w:rsid w:val="003B08DA"/>
    <w:rsid w:val="003B1372"/>
    <w:rsid w:val="003C1503"/>
    <w:rsid w:val="003C47C3"/>
    <w:rsid w:val="003C47ED"/>
    <w:rsid w:val="003C79E6"/>
    <w:rsid w:val="003D2E56"/>
    <w:rsid w:val="003D70EF"/>
    <w:rsid w:val="003F142C"/>
    <w:rsid w:val="003F1CAB"/>
    <w:rsid w:val="003F2138"/>
    <w:rsid w:val="003F30B8"/>
    <w:rsid w:val="003F5379"/>
    <w:rsid w:val="00401B58"/>
    <w:rsid w:val="00410C8B"/>
    <w:rsid w:val="00411DC1"/>
    <w:rsid w:val="00416578"/>
    <w:rsid w:val="004171BE"/>
    <w:rsid w:val="00423D8D"/>
    <w:rsid w:val="00430E19"/>
    <w:rsid w:val="00433F84"/>
    <w:rsid w:val="00434E6D"/>
    <w:rsid w:val="00443436"/>
    <w:rsid w:val="0044345B"/>
    <w:rsid w:val="00450A9C"/>
    <w:rsid w:val="0045367A"/>
    <w:rsid w:val="00457E82"/>
    <w:rsid w:val="0046001E"/>
    <w:rsid w:val="00460EB4"/>
    <w:rsid w:val="00461A67"/>
    <w:rsid w:val="0046662A"/>
    <w:rsid w:val="00466BFD"/>
    <w:rsid w:val="00470EF3"/>
    <w:rsid w:val="00483D25"/>
    <w:rsid w:val="00484A8D"/>
    <w:rsid w:val="00495E70"/>
    <w:rsid w:val="00497C21"/>
    <w:rsid w:val="004A2A2A"/>
    <w:rsid w:val="004A68A4"/>
    <w:rsid w:val="004A7C8C"/>
    <w:rsid w:val="004A7ECA"/>
    <w:rsid w:val="004B3CDB"/>
    <w:rsid w:val="004C077E"/>
    <w:rsid w:val="004D3862"/>
    <w:rsid w:val="004D3D07"/>
    <w:rsid w:val="004D763A"/>
    <w:rsid w:val="004E5FCB"/>
    <w:rsid w:val="004F3D00"/>
    <w:rsid w:val="004F4D5C"/>
    <w:rsid w:val="004F56C9"/>
    <w:rsid w:val="004F6412"/>
    <w:rsid w:val="00502B29"/>
    <w:rsid w:val="00524255"/>
    <w:rsid w:val="00532699"/>
    <w:rsid w:val="005401BA"/>
    <w:rsid w:val="00540A2C"/>
    <w:rsid w:val="00544A23"/>
    <w:rsid w:val="00544C74"/>
    <w:rsid w:val="0056240C"/>
    <w:rsid w:val="00564426"/>
    <w:rsid w:val="00566D0A"/>
    <w:rsid w:val="0057419B"/>
    <w:rsid w:val="0057675F"/>
    <w:rsid w:val="00576D57"/>
    <w:rsid w:val="00586872"/>
    <w:rsid w:val="00591113"/>
    <w:rsid w:val="005A3F48"/>
    <w:rsid w:val="005B1620"/>
    <w:rsid w:val="005B26DE"/>
    <w:rsid w:val="005C4354"/>
    <w:rsid w:val="005D1F5F"/>
    <w:rsid w:val="005D211B"/>
    <w:rsid w:val="005D398C"/>
    <w:rsid w:val="005D3CF6"/>
    <w:rsid w:val="005D56F8"/>
    <w:rsid w:val="005D6B44"/>
    <w:rsid w:val="005E4BCD"/>
    <w:rsid w:val="005F1382"/>
    <w:rsid w:val="005F156D"/>
    <w:rsid w:val="005F2792"/>
    <w:rsid w:val="005F4111"/>
    <w:rsid w:val="005F5A45"/>
    <w:rsid w:val="005F7B69"/>
    <w:rsid w:val="006045EC"/>
    <w:rsid w:val="00607056"/>
    <w:rsid w:val="0061381D"/>
    <w:rsid w:val="00616F3C"/>
    <w:rsid w:val="00621AD4"/>
    <w:rsid w:val="006247B1"/>
    <w:rsid w:val="006277AE"/>
    <w:rsid w:val="00631927"/>
    <w:rsid w:val="0064569E"/>
    <w:rsid w:val="00647840"/>
    <w:rsid w:val="006532BA"/>
    <w:rsid w:val="00654C34"/>
    <w:rsid w:val="00660225"/>
    <w:rsid w:val="0066373C"/>
    <w:rsid w:val="00664DF4"/>
    <w:rsid w:val="006742FB"/>
    <w:rsid w:val="00675EDB"/>
    <w:rsid w:val="00680AB5"/>
    <w:rsid w:val="0068633D"/>
    <w:rsid w:val="00690A9A"/>
    <w:rsid w:val="00695074"/>
    <w:rsid w:val="0069759A"/>
    <w:rsid w:val="006A302C"/>
    <w:rsid w:val="006A4E93"/>
    <w:rsid w:val="006D0AA3"/>
    <w:rsid w:val="006E0EF4"/>
    <w:rsid w:val="006E1A80"/>
    <w:rsid w:val="006E7C36"/>
    <w:rsid w:val="006F0694"/>
    <w:rsid w:val="006F3E22"/>
    <w:rsid w:val="006F5F48"/>
    <w:rsid w:val="006F6F3E"/>
    <w:rsid w:val="006F712F"/>
    <w:rsid w:val="0070058C"/>
    <w:rsid w:val="00701AA4"/>
    <w:rsid w:val="00701F63"/>
    <w:rsid w:val="00704F50"/>
    <w:rsid w:val="00705AEB"/>
    <w:rsid w:val="007060FC"/>
    <w:rsid w:val="007117D5"/>
    <w:rsid w:val="00713836"/>
    <w:rsid w:val="00714CA2"/>
    <w:rsid w:val="00726531"/>
    <w:rsid w:val="0073066E"/>
    <w:rsid w:val="007377B9"/>
    <w:rsid w:val="0073784D"/>
    <w:rsid w:val="007379B6"/>
    <w:rsid w:val="0075073F"/>
    <w:rsid w:val="00753415"/>
    <w:rsid w:val="007538E5"/>
    <w:rsid w:val="00756233"/>
    <w:rsid w:val="00760BAE"/>
    <w:rsid w:val="007625F6"/>
    <w:rsid w:val="007647A9"/>
    <w:rsid w:val="00765D5B"/>
    <w:rsid w:val="00771EE4"/>
    <w:rsid w:val="0077451D"/>
    <w:rsid w:val="007755E7"/>
    <w:rsid w:val="0078503C"/>
    <w:rsid w:val="00785328"/>
    <w:rsid w:val="0079643E"/>
    <w:rsid w:val="00797546"/>
    <w:rsid w:val="007A0452"/>
    <w:rsid w:val="007A0B36"/>
    <w:rsid w:val="007A23CF"/>
    <w:rsid w:val="007A5FC8"/>
    <w:rsid w:val="007B0A72"/>
    <w:rsid w:val="007B3515"/>
    <w:rsid w:val="007C02AE"/>
    <w:rsid w:val="007C26AE"/>
    <w:rsid w:val="007C2788"/>
    <w:rsid w:val="007C513F"/>
    <w:rsid w:val="007D060A"/>
    <w:rsid w:val="007D0E23"/>
    <w:rsid w:val="007D44E9"/>
    <w:rsid w:val="007D7EBB"/>
    <w:rsid w:val="007E67FA"/>
    <w:rsid w:val="007F1DC0"/>
    <w:rsid w:val="00803715"/>
    <w:rsid w:val="0080376D"/>
    <w:rsid w:val="00813D3B"/>
    <w:rsid w:val="0081731D"/>
    <w:rsid w:val="00822E06"/>
    <w:rsid w:val="00837C83"/>
    <w:rsid w:val="008439E4"/>
    <w:rsid w:val="00843E76"/>
    <w:rsid w:val="008456DA"/>
    <w:rsid w:val="00847896"/>
    <w:rsid w:val="00850F5F"/>
    <w:rsid w:val="00852BCF"/>
    <w:rsid w:val="00855DCC"/>
    <w:rsid w:val="00856101"/>
    <w:rsid w:val="00856A3B"/>
    <w:rsid w:val="00856C42"/>
    <w:rsid w:val="00863F8B"/>
    <w:rsid w:val="008652A7"/>
    <w:rsid w:val="0087187B"/>
    <w:rsid w:val="008768CB"/>
    <w:rsid w:val="00876D4A"/>
    <w:rsid w:val="00876EB1"/>
    <w:rsid w:val="008912D5"/>
    <w:rsid w:val="00893F8E"/>
    <w:rsid w:val="0089759F"/>
    <w:rsid w:val="008A3F2D"/>
    <w:rsid w:val="008A4EBA"/>
    <w:rsid w:val="008A55A6"/>
    <w:rsid w:val="008D2752"/>
    <w:rsid w:val="008E0F8D"/>
    <w:rsid w:val="008E1F99"/>
    <w:rsid w:val="008F20A6"/>
    <w:rsid w:val="008F2C31"/>
    <w:rsid w:val="008F2E6C"/>
    <w:rsid w:val="008F344A"/>
    <w:rsid w:val="009037E8"/>
    <w:rsid w:val="0090517B"/>
    <w:rsid w:val="00910A99"/>
    <w:rsid w:val="009133F2"/>
    <w:rsid w:val="00916A45"/>
    <w:rsid w:val="009414F7"/>
    <w:rsid w:val="00951A99"/>
    <w:rsid w:val="009615A6"/>
    <w:rsid w:val="00964121"/>
    <w:rsid w:val="009663E9"/>
    <w:rsid w:val="00971B63"/>
    <w:rsid w:val="009755BB"/>
    <w:rsid w:val="0097597C"/>
    <w:rsid w:val="00976BF9"/>
    <w:rsid w:val="00983A96"/>
    <w:rsid w:val="009A11EE"/>
    <w:rsid w:val="009A69CC"/>
    <w:rsid w:val="009B1552"/>
    <w:rsid w:val="009C02E5"/>
    <w:rsid w:val="009C1B5F"/>
    <w:rsid w:val="009C4E03"/>
    <w:rsid w:val="009C6143"/>
    <w:rsid w:val="009C69BB"/>
    <w:rsid w:val="009D52D4"/>
    <w:rsid w:val="009E3AEB"/>
    <w:rsid w:val="009F400B"/>
    <w:rsid w:val="009F468F"/>
    <w:rsid w:val="00A005FD"/>
    <w:rsid w:val="00A04B0E"/>
    <w:rsid w:val="00A0593A"/>
    <w:rsid w:val="00A063C8"/>
    <w:rsid w:val="00A107FA"/>
    <w:rsid w:val="00A11A79"/>
    <w:rsid w:val="00A15877"/>
    <w:rsid w:val="00A15977"/>
    <w:rsid w:val="00A15BE0"/>
    <w:rsid w:val="00A168B8"/>
    <w:rsid w:val="00A209EF"/>
    <w:rsid w:val="00A26C38"/>
    <w:rsid w:val="00A27008"/>
    <w:rsid w:val="00A31F86"/>
    <w:rsid w:val="00A33D45"/>
    <w:rsid w:val="00A34C80"/>
    <w:rsid w:val="00A37A5A"/>
    <w:rsid w:val="00A41EFC"/>
    <w:rsid w:val="00A52692"/>
    <w:rsid w:val="00A57002"/>
    <w:rsid w:val="00A57484"/>
    <w:rsid w:val="00A57BDC"/>
    <w:rsid w:val="00A63937"/>
    <w:rsid w:val="00A6531B"/>
    <w:rsid w:val="00A77C7E"/>
    <w:rsid w:val="00A83BFD"/>
    <w:rsid w:val="00A83FA4"/>
    <w:rsid w:val="00A9007E"/>
    <w:rsid w:val="00A907E8"/>
    <w:rsid w:val="00A945D4"/>
    <w:rsid w:val="00A9667A"/>
    <w:rsid w:val="00AA24D8"/>
    <w:rsid w:val="00AB4D6E"/>
    <w:rsid w:val="00AB7CDE"/>
    <w:rsid w:val="00AD2BB4"/>
    <w:rsid w:val="00AD4220"/>
    <w:rsid w:val="00AD4A72"/>
    <w:rsid w:val="00AE2D92"/>
    <w:rsid w:val="00AE4784"/>
    <w:rsid w:val="00B0166E"/>
    <w:rsid w:val="00B17622"/>
    <w:rsid w:val="00B1776F"/>
    <w:rsid w:val="00B248E8"/>
    <w:rsid w:val="00B33BC4"/>
    <w:rsid w:val="00B43A4B"/>
    <w:rsid w:val="00B44536"/>
    <w:rsid w:val="00B5012F"/>
    <w:rsid w:val="00B50DE3"/>
    <w:rsid w:val="00B543C8"/>
    <w:rsid w:val="00B5561E"/>
    <w:rsid w:val="00B5748D"/>
    <w:rsid w:val="00B577AC"/>
    <w:rsid w:val="00B62E94"/>
    <w:rsid w:val="00B75BC5"/>
    <w:rsid w:val="00B8427F"/>
    <w:rsid w:val="00B87AF3"/>
    <w:rsid w:val="00B942FE"/>
    <w:rsid w:val="00B975BB"/>
    <w:rsid w:val="00BA03E8"/>
    <w:rsid w:val="00BA754A"/>
    <w:rsid w:val="00BA75A2"/>
    <w:rsid w:val="00BC066C"/>
    <w:rsid w:val="00BC1F9F"/>
    <w:rsid w:val="00BC629E"/>
    <w:rsid w:val="00BD2AD5"/>
    <w:rsid w:val="00BD3571"/>
    <w:rsid w:val="00BD7502"/>
    <w:rsid w:val="00BE7515"/>
    <w:rsid w:val="00C02EB3"/>
    <w:rsid w:val="00C03937"/>
    <w:rsid w:val="00C05709"/>
    <w:rsid w:val="00C17A8B"/>
    <w:rsid w:val="00C23308"/>
    <w:rsid w:val="00C311FC"/>
    <w:rsid w:val="00C315AE"/>
    <w:rsid w:val="00C33E7F"/>
    <w:rsid w:val="00C366C8"/>
    <w:rsid w:val="00C415B4"/>
    <w:rsid w:val="00C42D46"/>
    <w:rsid w:val="00C43928"/>
    <w:rsid w:val="00C53011"/>
    <w:rsid w:val="00C56B0B"/>
    <w:rsid w:val="00C604F6"/>
    <w:rsid w:val="00C70529"/>
    <w:rsid w:val="00C7170A"/>
    <w:rsid w:val="00C76EE1"/>
    <w:rsid w:val="00C84AE9"/>
    <w:rsid w:val="00C93493"/>
    <w:rsid w:val="00C9669F"/>
    <w:rsid w:val="00CB2190"/>
    <w:rsid w:val="00CB2C0C"/>
    <w:rsid w:val="00CB3228"/>
    <w:rsid w:val="00CB3581"/>
    <w:rsid w:val="00CB7A6E"/>
    <w:rsid w:val="00CC10C4"/>
    <w:rsid w:val="00CC132F"/>
    <w:rsid w:val="00CC1990"/>
    <w:rsid w:val="00CC2B3E"/>
    <w:rsid w:val="00CC4E02"/>
    <w:rsid w:val="00CD004B"/>
    <w:rsid w:val="00CD0663"/>
    <w:rsid w:val="00CD2813"/>
    <w:rsid w:val="00CE6187"/>
    <w:rsid w:val="00CE671F"/>
    <w:rsid w:val="00CF7A88"/>
    <w:rsid w:val="00D00906"/>
    <w:rsid w:val="00D0480D"/>
    <w:rsid w:val="00D155F1"/>
    <w:rsid w:val="00D218A1"/>
    <w:rsid w:val="00D2323E"/>
    <w:rsid w:val="00D345A5"/>
    <w:rsid w:val="00D37BEE"/>
    <w:rsid w:val="00D43FD6"/>
    <w:rsid w:val="00D47A33"/>
    <w:rsid w:val="00D604B2"/>
    <w:rsid w:val="00D6403C"/>
    <w:rsid w:val="00D67921"/>
    <w:rsid w:val="00D774CF"/>
    <w:rsid w:val="00D838BF"/>
    <w:rsid w:val="00D868FA"/>
    <w:rsid w:val="00DD0C32"/>
    <w:rsid w:val="00DD299D"/>
    <w:rsid w:val="00DE146B"/>
    <w:rsid w:val="00DE5708"/>
    <w:rsid w:val="00DF5A14"/>
    <w:rsid w:val="00E039AD"/>
    <w:rsid w:val="00E04A12"/>
    <w:rsid w:val="00E05EB5"/>
    <w:rsid w:val="00E066F9"/>
    <w:rsid w:val="00E130CD"/>
    <w:rsid w:val="00E14606"/>
    <w:rsid w:val="00E1488B"/>
    <w:rsid w:val="00E16A00"/>
    <w:rsid w:val="00E203FA"/>
    <w:rsid w:val="00E21B7E"/>
    <w:rsid w:val="00E221F5"/>
    <w:rsid w:val="00E229E5"/>
    <w:rsid w:val="00E33531"/>
    <w:rsid w:val="00E408B9"/>
    <w:rsid w:val="00E5453F"/>
    <w:rsid w:val="00E577BB"/>
    <w:rsid w:val="00E6060C"/>
    <w:rsid w:val="00E76399"/>
    <w:rsid w:val="00E801FE"/>
    <w:rsid w:val="00E913D4"/>
    <w:rsid w:val="00E91C98"/>
    <w:rsid w:val="00E95248"/>
    <w:rsid w:val="00E96A43"/>
    <w:rsid w:val="00EA2208"/>
    <w:rsid w:val="00EA2C85"/>
    <w:rsid w:val="00EB02B4"/>
    <w:rsid w:val="00EB05E4"/>
    <w:rsid w:val="00EB11F7"/>
    <w:rsid w:val="00EC26FE"/>
    <w:rsid w:val="00EC4457"/>
    <w:rsid w:val="00EC7AE3"/>
    <w:rsid w:val="00ED0616"/>
    <w:rsid w:val="00ED3603"/>
    <w:rsid w:val="00ED4C9D"/>
    <w:rsid w:val="00ED6E71"/>
    <w:rsid w:val="00EE3E0D"/>
    <w:rsid w:val="00EE46D1"/>
    <w:rsid w:val="00EF0A82"/>
    <w:rsid w:val="00EF3589"/>
    <w:rsid w:val="00EF5DD1"/>
    <w:rsid w:val="00F00303"/>
    <w:rsid w:val="00F0366E"/>
    <w:rsid w:val="00F118A6"/>
    <w:rsid w:val="00F124A6"/>
    <w:rsid w:val="00F241BA"/>
    <w:rsid w:val="00F25C92"/>
    <w:rsid w:val="00F3046F"/>
    <w:rsid w:val="00F33C82"/>
    <w:rsid w:val="00F4214B"/>
    <w:rsid w:val="00F42488"/>
    <w:rsid w:val="00F44433"/>
    <w:rsid w:val="00F5449E"/>
    <w:rsid w:val="00F60A4C"/>
    <w:rsid w:val="00F6434D"/>
    <w:rsid w:val="00F75BB2"/>
    <w:rsid w:val="00F812A6"/>
    <w:rsid w:val="00F840EA"/>
    <w:rsid w:val="00F96202"/>
    <w:rsid w:val="00FA1A19"/>
    <w:rsid w:val="00FA462B"/>
    <w:rsid w:val="00FB1F29"/>
    <w:rsid w:val="00FD1A39"/>
    <w:rsid w:val="00FD792E"/>
    <w:rsid w:val="00FE3808"/>
    <w:rsid w:val="00FE560C"/>
    <w:rsid w:val="00FE62C2"/>
    <w:rsid w:val="00FF0900"/>
    <w:rsid w:val="00FF415E"/>
    <w:rsid w:val="0370CF63"/>
    <w:rsid w:val="04796A17"/>
    <w:rsid w:val="0716DE43"/>
    <w:rsid w:val="1A3D999A"/>
    <w:rsid w:val="20DDF66B"/>
    <w:rsid w:val="2415972D"/>
    <w:rsid w:val="28CDBB61"/>
    <w:rsid w:val="376B493F"/>
    <w:rsid w:val="42DA53EE"/>
    <w:rsid w:val="45B1275C"/>
    <w:rsid w:val="4BF62768"/>
    <w:rsid w:val="5144689F"/>
    <w:rsid w:val="53062147"/>
    <w:rsid w:val="585AFC45"/>
    <w:rsid w:val="62C28CF8"/>
    <w:rsid w:val="69BFA754"/>
    <w:rsid w:val="6A023261"/>
    <w:rsid w:val="6CAA79A4"/>
    <w:rsid w:val="7D2C33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26ED9"/>
  <w15:chartTrackingRefBased/>
  <w15:docId w15:val="{47583F01-D5DA-4AC4-8BFF-A3CB4A9B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B7A"/>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7B7A"/>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17B7A"/>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D0AA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0AA3"/>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6D0AA3"/>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6D0AA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0AA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0AA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4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12D5"/>
    <w:rPr>
      <w:sz w:val="16"/>
      <w:szCs w:val="16"/>
    </w:rPr>
  </w:style>
  <w:style w:type="paragraph" w:styleId="CommentText">
    <w:name w:val="annotation text"/>
    <w:basedOn w:val="Normal"/>
    <w:link w:val="CommentTextChar"/>
    <w:uiPriority w:val="99"/>
    <w:unhideWhenUsed/>
    <w:rsid w:val="008912D5"/>
    <w:pPr>
      <w:spacing w:line="240" w:lineRule="auto"/>
    </w:pPr>
    <w:rPr>
      <w:sz w:val="20"/>
      <w:szCs w:val="20"/>
    </w:rPr>
  </w:style>
  <w:style w:type="character" w:customStyle="1" w:styleId="CommentTextChar">
    <w:name w:val="Comment Text Char"/>
    <w:basedOn w:val="DefaultParagraphFont"/>
    <w:link w:val="CommentText"/>
    <w:uiPriority w:val="99"/>
    <w:rsid w:val="008912D5"/>
    <w:rPr>
      <w:sz w:val="20"/>
      <w:szCs w:val="20"/>
    </w:rPr>
  </w:style>
  <w:style w:type="paragraph" w:styleId="CommentSubject">
    <w:name w:val="annotation subject"/>
    <w:basedOn w:val="CommentText"/>
    <w:next w:val="CommentText"/>
    <w:link w:val="CommentSubjectChar"/>
    <w:uiPriority w:val="99"/>
    <w:semiHidden/>
    <w:unhideWhenUsed/>
    <w:rsid w:val="008912D5"/>
    <w:rPr>
      <w:b/>
      <w:bCs/>
    </w:rPr>
  </w:style>
  <w:style w:type="character" w:customStyle="1" w:styleId="CommentSubjectChar">
    <w:name w:val="Comment Subject Char"/>
    <w:basedOn w:val="CommentTextChar"/>
    <w:link w:val="CommentSubject"/>
    <w:uiPriority w:val="99"/>
    <w:semiHidden/>
    <w:rsid w:val="008912D5"/>
    <w:rPr>
      <w:b/>
      <w:bCs/>
      <w:sz w:val="20"/>
      <w:szCs w:val="20"/>
    </w:rPr>
  </w:style>
  <w:style w:type="character" w:styleId="Hyperlink">
    <w:name w:val="Hyperlink"/>
    <w:basedOn w:val="DefaultParagraphFont"/>
    <w:uiPriority w:val="99"/>
    <w:unhideWhenUsed/>
    <w:rsid w:val="00564426"/>
    <w:rPr>
      <w:color w:val="0000FF" w:themeColor="hyperlink"/>
      <w:u w:val="single"/>
    </w:rPr>
  </w:style>
  <w:style w:type="character" w:styleId="UnresolvedMention">
    <w:name w:val="Unresolved Mention"/>
    <w:basedOn w:val="DefaultParagraphFont"/>
    <w:uiPriority w:val="99"/>
    <w:semiHidden/>
    <w:unhideWhenUsed/>
    <w:rsid w:val="00564426"/>
    <w:rPr>
      <w:color w:val="605E5C"/>
      <w:shd w:val="clear" w:color="auto" w:fill="E1DFDD"/>
    </w:rPr>
  </w:style>
  <w:style w:type="character" w:styleId="FollowedHyperlink">
    <w:name w:val="FollowedHyperlink"/>
    <w:basedOn w:val="DefaultParagraphFont"/>
    <w:uiPriority w:val="99"/>
    <w:semiHidden/>
    <w:unhideWhenUsed/>
    <w:rsid w:val="001D58DB"/>
    <w:rPr>
      <w:color w:val="800080" w:themeColor="followedHyperlink"/>
      <w:u w:val="single"/>
    </w:rPr>
  </w:style>
  <w:style w:type="character" w:customStyle="1" w:styleId="Heading1Char">
    <w:name w:val="Heading 1 Char"/>
    <w:basedOn w:val="DefaultParagraphFont"/>
    <w:link w:val="Heading1"/>
    <w:uiPriority w:val="9"/>
    <w:rsid w:val="00017B7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17B7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17B7A"/>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105C0F"/>
    <w:pPr>
      <w:ind w:left="720"/>
      <w:contextualSpacing/>
    </w:pPr>
  </w:style>
  <w:style w:type="paragraph" w:customStyle="1" w:styleId="msonormal0">
    <w:name w:val="msonormal"/>
    <w:basedOn w:val="Normal"/>
    <w:rsid w:val="003306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306C9"/>
    <w:pPr>
      <w:spacing w:before="100" w:beforeAutospacing="1" w:after="100" w:afterAutospacing="1" w:line="240" w:lineRule="auto"/>
    </w:pPr>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13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0CD"/>
  </w:style>
  <w:style w:type="paragraph" w:styleId="Footer">
    <w:name w:val="footer"/>
    <w:basedOn w:val="Normal"/>
    <w:link w:val="FooterChar"/>
    <w:uiPriority w:val="99"/>
    <w:unhideWhenUsed/>
    <w:rsid w:val="00E13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0CD"/>
  </w:style>
  <w:style w:type="character" w:customStyle="1" w:styleId="Heading4Char">
    <w:name w:val="Heading 4 Char"/>
    <w:basedOn w:val="DefaultParagraphFont"/>
    <w:link w:val="Heading4"/>
    <w:uiPriority w:val="9"/>
    <w:semiHidden/>
    <w:rsid w:val="006D0AA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0AA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D0AA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D0A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0A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0AA3"/>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6D0AA3"/>
    <w:pPr>
      <w:spacing w:after="0" w:line="240" w:lineRule="auto"/>
    </w:pPr>
  </w:style>
  <w:style w:type="paragraph" w:styleId="Title">
    <w:name w:val="Title"/>
    <w:basedOn w:val="Normal"/>
    <w:next w:val="Normal"/>
    <w:link w:val="TitleChar"/>
    <w:uiPriority w:val="10"/>
    <w:qFormat/>
    <w:rsid w:val="006D0A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0AA3"/>
    <w:rPr>
      <w:rFonts w:asciiTheme="majorHAnsi" w:eastAsiaTheme="majorEastAsia" w:hAnsiTheme="majorHAnsi" w:cstheme="majorBidi"/>
      <w:color w:val="000000" w:themeColor="text1"/>
      <w:sz w:val="56"/>
      <w:szCs w:val="56"/>
    </w:rPr>
  </w:style>
  <w:style w:type="paragraph" w:styleId="Caption">
    <w:name w:val="caption"/>
    <w:basedOn w:val="Normal"/>
    <w:next w:val="Normal"/>
    <w:uiPriority w:val="35"/>
    <w:semiHidden/>
    <w:unhideWhenUsed/>
    <w:qFormat/>
    <w:rsid w:val="006D0AA3"/>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6D0AA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0AA3"/>
    <w:rPr>
      <w:color w:val="5A5A5A" w:themeColor="text1" w:themeTint="A5"/>
      <w:spacing w:val="10"/>
    </w:rPr>
  </w:style>
  <w:style w:type="character" w:styleId="Strong">
    <w:name w:val="Strong"/>
    <w:basedOn w:val="DefaultParagraphFont"/>
    <w:uiPriority w:val="22"/>
    <w:qFormat/>
    <w:rsid w:val="006D0AA3"/>
    <w:rPr>
      <w:b/>
      <w:bCs/>
      <w:color w:val="000000" w:themeColor="text1"/>
    </w:rPr>
  </w:style>
  <w:style w:type="character" w:styleId="Emphasis">
    <w:name w:val="Emphasis"/>
    <w:basedOn w:val="DefaultParagraphFont"/>
    <w:uiPriority w:val="20"/>
    <w:qFormat/>
    <w:rsid w:val="006D0AA3"/>
    <w:rPr>
      <w:i/>
      <w:iCs/>
      <w:color w:val="auto"/>
    </w:rPr>
  </w:style>
  <w:style w:type="paragraph" w:styleId="NoSpacing">
    <w:name w:val="No Spacing"/>
    <w:uiPriority w:val="1"/>
    <w:qFormat/>
    <w:rsid w:val="006D0AA3"/>
    <w:pPr>
      <w:spacing w:after="0" w:line="240" w:lineRule="auto"/>
    </w:pPr>
  </w:style>
  <w:style w:type="paragraph" w:styleId="Quote">
    <w:name w:val="Quote"/>
    <w:basedOn w:val="Normal"/>
    <w:next w:val="Normal"/>
    <w:link w:val="QuoteChar"/>
    <w:uiPriority w:val="29"/>
    <w:qFormat/>
    <w:rsid w:val="006D0AA3"/>
    <w:pPr>
      <w:spacing w:before="160"/>
      <w:ind w:left="720" w:right="720"/>
    </w:pPr>
    <w:rPr>
      <w:i/>
      <w:iCs/>
      <w:color w:val="000000" w:themeColor="text1"/>
    </w:rPr>
  </w:style>
  <w:style w:type="character" w:customStyle="1" w:styleId="QuoteChar">
    <w:name w:val="Quote Char"/>
    <w:basedOn w:val="DefaultParagraphFont"/>
    <w:link w:val="Quote"/>
    <w:uiPriority w:val="29"/>
    <w:rsid w:val="006D0AA3"/>
    <w:rPr>
      <w:i/>
      <w:iCs/>
      <w:color w:val="000000" w:themeColor="text1"/>
    </w:rPr>
  </w:style>
  <w:style w:type="paragraph" w:styleId="IntenseQuote">
    <w:name w:val="Intense Quote"/>
    <w:basedOn w:val="Normal"/>
    <w:next w:val="Normal"/>
    <w:link w:val="IntenseQuoteChar"/>
    <w:uiPriority w:val="30"/>
    <w:qFormat/>
    <w:rsid w:val="006D0A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0AA3"/>
    <w:rPr>
      <w:color w:val="000000" w:themeColor="text1"/>
      <w:shd w:val="clear" w:color="auto" w:fill="F2F2F2" w:themeFill="background1" w:themeFillShade="F2"/>
    </w:rPr>
  </w:style>
  <w:style w:type="character" w:styleId="SubtleEmphasis">
    <w:name w:val="Subtle Emphasis"/>
    <w:basedOn w:val="DefaultParagraphFont"/>
    <w:uiPriority w:val="19"/>
    <w:qFormat/>
    <w:rsid w:val="006D0AA3"/>
    <w:rPr>
      <w:i/>
      <w:iCs/>
      <w:color w:val="404040" w:themeColor="text1" w:themeTint="BF"/>
    </w:rPr>
  </w:style>
  <w:style w:type="character" w:styleId="IntenseEmphasis">
    <w:name w:val="Intense Emphasis"/>
    <w:basedOn w:val="DefaultParagraphFont"/>
    <w:uiPriority w:val="21"/>
    <w:qFormat/>
    <w:rsid w:val="006D0AA3"/>
    <w:rPr>
      <w:b/>
      <w:bCs/>
      <w:i/>
      <w:iCs/>
      <w:caps/>
    </w:rPr>
  </w:style>
  <w:style w:type="character" w:styleId="SubtleReference">
    <w:name w:val="Subtle Reference"/>
    <w:basedOn w:val="DefaultParagraphFont"/>
    <w:uiPriority w:val="31"/>
    <w:qFormat/>
    <w:rsid w:val="006D0A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0AA3"/>
    <w:rPr>
      <w:b/>
      <w:bCs/>
      <w:smallCaps/>
      <w:u w:val="single"/>
    </w:rPr>
  </w:style>
  <w:style w:type="character" w:styleId="BookTitle">
    <w:name w:val="Book Title"/>
    <w:basedOn w:val="DefaultParagraphFont"/>
    <w:uiPriority w:val="33"/>
    <w:qFormat/>
    <w:rsid w:val="006D0AA3"/>
    <w:rPr>
      <w:b w:val="0"/>
      <w:bCs w:val="0"/>
      <w:smallCaps/>
      <w:spacing w:val="5"/>
    </w:rPr>
  </w:style>
  <w:style w:type="paragraph" w:styleId="TOCHeading">
    <w:name w:val="TOC Heading"/>
    <w:basedOn w:val="Heading1"/>
    <w:next w:val="Normal"/>
    <w:uiPriority w:val="39"/>
    <w:semiHidden/>
    <w:unhideWhenUsed/>
    <w:qFormat/>
    <w:rsid w:val="006D0AA3"/>
    <w:pPr>
      <w:numPr>
        <w:numId w:val="13"/>
      </w:numPr>
      <w:pBdr>
        <w:bottom w:val="single" w:sz="4" w:space="1" w:color="595959" w:themeColor="text1" w:themeTint="A6"/>
      </w:pBdr>
      <w:spacing w:before="360" w:after="160"/>
      <w:outlineLvl w:val="9"/>
    </w:pPr>
    <w:rPr>
      <w:b/>
      <w:bCs/>
      <w:smallCaps/>
      <w:color w:val="000000" w:themeColor="text1"/>
      <w:sz w:val="36"/>
      <w:szCs w:val="36"/>
    </w:rPr>
  </w:style>
  <w:style w:type="paragraph" w:customStyle="1" w:styleId="CiteItBibliographyTitle">
    <w:name w:val="CiteIt Bibliography Title"/>
    <w:basedOn w:val="Normal"/>
    <w:link w:val="CiteItBibliographyTitleChar"/>
    <w:autoRedefine/>
    <w:qFormat/>
    <w:rsid w:val="002D26AA"/>
    <w:pPr>
      <w:jc w:val="center"/>
    </w:pPr>
    <w:rPr>
      <w:rFonts w:eastAsiaTheme="minorHAnsi"/>
      <w:kern w:val="2"/>
      <w:sz w:val="32"/>
      <w14:ligatures w14:val="standardContextual"/>
    </w:rPr>
  </w:style>
  <w:style w:type="character" w:customStyle="1" w:styleId="CiteItBibliographyTitleChar">
    <w:name w:val="CiteIt Bibliography Title Char"/>
    <w:basedOn w:val="DefaultParagraphFont"/>
    <w:link w:val="CiteItBibliographyTitle"/>
    <w:rsid w:val="002D26AA"/>
    <w:rPr>
      <w:rFonts w:eastAsiaTheme="minorHAnsi"/>
      <w:kern w:val="2"/>
      <w:sz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1176">
      <w:bodyDiv w:val="1"/>
      <w:marLeft w:val="0"/>
      <w:marRight w:val="0"/>
      <w:marTop w:val="0"/>
      <w:marBottom w:val="0"/>
      <w:divBdr>
        <w:top w:val="none" w:sz="0" w:space="0" w:color="auto"/>
        <w:left w:val="none" w:sz="0" w:space="0" w:color="auto"/>
        <w:bottom w:val="none" w:sz="0" w:space="0" w:color="auto"/>
        <w:right w:val="none" w:sz="0" w:space="0" w:color="auto"/>
      </w:divBdr>
    </w:div>
    <w:div w:id="327639964">
      <w:bodyDiv w:val="1"/>
      <w:marLeft w:val="0"/>
      <w:marRight w:val="0"/>
      <w:marTop w:val="0"/>
      <w:marBottom w:val="0"/>
      <w:divBdr>
        <w:top w:val="none" w:sz="0" w:space="0" w:color="auto"/>
        <w:left w:val="none" w:sz="0" w:space="0" w:color="auto"/>
        <w:bottom w:val="none" w:sz="0" w:space="0" w:color="auto"/>
        <w:right w:val="none" w:sz="0" w:space="0" w:color="auto"/>
      </w:divBdr>
    </w:div>
    <w:div w:id="743919988">
      <w:bodyDiv w:val="1"/>
      <w:marLeft w:val="0"/>
      <w:marRight w:val="0"/>
      <w:marTop w:val="0"/>
      <w:marBottom w:val="0"/>
      <w:divBdr>
        <w:top w:val="none" w:sz="0" w:space="0" w:color="auto"/>
        <w:left w:val="none" w:sz="0" w:space="0" w:color="auto"/>
        <w:bottom w:val="none" w:sz="0" w:space="0" w:color="auto"/>
        <w:right w:val="none" w:sz="0" w:space="0" w:color="auto"/>
      </w:divBdr>
    </w:div>
    <w:div w:id="1644388762">
      <w:bodyDiv w:val="1"/>
      <w:marLeft w:val="0"/>
      <w:marRight w:val="0"/>
      <w:marTop w:val="0"/>
      <w:marBottom w:val="0"/>
      <w:divBdr>
        <w:top w:val="none" w:sz="0" w:space="0" w:color="auto"/>
        <w:left w:val="none" w:sz="0" w:space="0" w:color="auto"/>
        <w:bottom w:val="none" w:sz="0" w:space="0" w:color="auto"/>
        <w:right w:val="none" w:sz="0" w:space="0" w:color="auto"/>
      </w:divBdr>
    </w:div>
    <w:div w:id="17270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ithub.com/ohdsi-studies/PediatricCharacterization" TargetMode="External"/><Relationship Id="rId26" Type="http://schemas.openxmlformats.org/officeDocument/2006/relationships/hyperlink" Target="https://www.aap.org/en/research/pediatric-research-in-office-settings-pros/comparative-effectiveness-research-through-collaborative-electronic-reporting/" TargetMode="External"/><Relationship Id="rId21" Type="http://schemas.openxmlformats.org/officeDocument/2006/relationships/hyperlink" Target="https://www.ncbi.nlm.nih.gov/pmc/articles/PMC4078288/pdf/amiajnl-2014-002743.pdf" TargetMode="External"/><Relationship Id="rId34"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OHDSI/CohortIncidenceModule" TargetMode="External"/><Relationship Id="rId25" Type="http://schemas.openxmlformats.org/officeDocument/2006/relationships/hyperlink" Target="https://www.aap.org/en/research/pediatric-research-in-office-settings-pros/about-pediatric-research-in-office-settings-pros/" TargetMode="External"/><Relationship Id="rId33" Type="http://schemas.openxmlformats.org/officeDocument/2006/relationships/hyperlink" Target="https://www.fontanoutcomesnetwork.org/care-centers-overview"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HDSI/ShinyDeploy" TargetMode="External"/><Relationship Id="rId20" Type="http://schemas.openxmlformats.org/officeDocument/2006/relationships/hyperlink" Target="https://www.ncbi.nlm.nih.gov/pmc/articles/PMC9053132/" TargetMode="External"/><Relationship Id="rId29" Type="http://schemas.openxmlformats.org/officeDocument/2006/relationships/hyperlink" Target="https://pedspittnet.pit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ncbi.nlm.nih.gov/pmc/articles/PMC8293037/" TargetMode="External"/><Relationship Id="rId32" Type="http://schemas.openxmlformats.org/officeDocument/2006/relationships/hyperlink" Target="https://www.pediatricheartnetwork.org/"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OHDSI/CohortDiagnostics" TargetMode="External"/><Relationship Id="rId23" Type="http://schemas.openxmlformats.org/officeDocument/2006/relationships/hyperlink" Target="https://www.ncbi.nlm.nih.gov/pmc/articles/PMC9284925/pdf/LRH2-6-e10305.pdf" TargetMode="External"/><Relationship Id="rId28" Type="http://schemas.openxmlformats.org/officeDocument/2006/relationships/hyperlink" Target="https://www.luriechildrens.org/en/research/research-areas/health-services-policy-research/pprg/" TargetMode="External"/><Relationship Id="rId36" Type="http://schemas.openxmlformats.org/officeDocument/2006/relationships/fontTable" Target="fontTable.xml"/><Relationship Id="rId10" Type="http://schemas.openxmlformats.org/officeDocument/2006/relationships/hyperlink" Target="https://ohdsi.github.io/FeatureExtraction/articles/CreatingCustomCovariateBuilders.html" TargetMode="External"/><Relationship Id="rId19" Type="http://schemas.openxmlformats.org/officeDocument/2006/relationships/hyperlink" Target="https://github.com/OHDSI/CommonDataModel" TargetMode="External"/><Relationship Id="rId31" Type="http://schemas.openxmlformats.org/officeDocument/2006/relationships/hyperlink" Target="https://www.academicpeds.org/groups-networks/research-networks/cornet/" TargetMode="External"/><Relationship Id="rId4" Type="http://schemas.openxmlformats.org/officeDocument/2006/relationships/settings" Target="settings.xml"/><Relationship Id="rId9" Type="http://schemas.openxmlformats.org/officeDocument/2006/relationships/hyperlink" Target="https://atlas.ohdsi.org/" TargetMode="External"/><Relationship Id="rId14" Type="http://schemas.microsoft.com/office/2018/08/relationships/commentsExtensible" Target="commentsExtensible.xml"/><Relationship Id="rId22" Type="http://schemas.openxmlformats.org/officeDocument/2006/relationships/hyperlink" Target="https://academic.oup.com/jamia/article/24/6/1072/3238563" TargetMode="External"/><Relationship Id="rId27" Type="http://schemas.openxmlformats.org/officeDocument/2006/relationships/hyperlink" Target="https://www.research.chop.edu/pediatric-research-consortium/publications" TargetMode="External"/><Relationship Id="rId30" Type="http://schemas.openxmlformats.org/officeDocument/2006/relationships/hyperlink" Target="https://octsi.ouhsc.edu/ochrn" TargetMode="External"/><Relationship Id="rId35" Type="http://schemas.openxmlformats.org/officeDocument/2006/relationships/footer" Target="footer1.xml"/><Relationship Id="rId8" Type="http://schemas.openxmlformats.org/officeDocument/2006/relationships/hyperlink" Target="https://github.com/OHDSI/CohortIncidenc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6B047-E05E-47F7-9F86-827091AA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3612</Words>
  <Characters>20593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Hardin, Jill [JRDUS]</cp:lastModifiedBy>
  <cp:revision>2</cp:revision>
  <cp:lastPrinted>2022-08-24T22:58:00Z</cp:lastPrinted>
  <dcterms:created xsi:type="dcterms:W3CDTF">2023-11-28T13:59:00Z</dcterms:created>
  <dcterms:modified xsi:type="dcterms:W3CDTF">2023-11-28T13:59:00Z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Title">
    <vt:lpwstr>References</vt:lpwstr>
  </property>
  <property fmtid="{D5CDD505-2E9C-101B-9397-08002B2CF9AE}" pid="3" name="SelectedBibliographyStyleName">
    <vt:lpwstr>American Medical Association</vt:lpwstr>
  </property>
</Properties>
</file>