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28F4A" w14:textId="77777777" w:rsidR="00FB157B" w:rsidRPr="009D3150" w:rsidRDefault="00FB157B" w:rsidP="00364FC8">
      <w:pPr>
        <w:pStyle w:val="Basic11"/>
        <w:rPr>
          <w:sz w:val="24"/>
          <w:szCs w:val="24"/>
        </w:rPr>
      </w:pPr>
    </w:p>
    <w:tbl>
      <w:tblPr>
        <w:tblW w:w="9558" w:type="dxa"/>
        <w:tblLook w:val="0000" w:firstRow="0" w:lastRow="0" w:firstColumn="0" w:lastColumn="0" w:noHBand="0" w:noVBand="0"/>
      </w:tblPr>
      <w:tblGrid>
        <w:gridCol w:w="9558"/>
      </w:tblGrid>
      <w:tr w:rsidR="00FB157B" w:rsidRPr="009D3150" w14:paraId="0CED00E7" w14:textId="77777777" w:rsidTr="5D4A84C7">
        <w:tc>
          <w:tcPr>
            <w:tcW w:w="9558" w:type="dxa"/>
          </w:tcPr>
          <w:p w14:paraId="0C3FF6D5" w14:textId="77777777" w:rsidR="00FB157B" w:rsidRPr="009D3150" w:rsidRDefault="00FB157B" w:rsidP="00BE7D2F">
            <w:pPr>
              <w:pStyle w:val="Basic12"/>
              <w:jc w:val="center"/>
              <w:rPr>
                <w:b/>
                <w:szCs w:val="24"/>
              </w:rPr>
            </w:pPr>
          </w:p>
        </w:tc>
      </w:tr>
      <w:tr w:rsidR="00FB157B" w:rsidRPr="009D3150" w14:paraId="23D419EC" w14:textId="77777777" w:rsidTr="5D4A84C7">
        <w:tc>
          <w:tcPr>
            <w:tcW w:w="9558" w:type="dxa"/>
          </w:tcPr>
          <w:p w14:paraId="7B48683E" w14:textId="77777777" w:rsidR="00FB157B" w:rsidRPr="009D3150" w:rsidRDefault="00965634" w:rsidP="00E870D1">
            <w:pPr>
              <w:pStyle w:val="Basic12"/>
              <w:jc w:val="center"/>
              <w:rPr>
                <w:b/>
                <w:bCs/>
                <w:szCs w:val="24"/>
              </w:rPr>
            </w:pPr>
            <w:r w:rsidRPr="009D3150">
              <w:rPr>
                <w:b/>
                <w:bCs/>
                <w:szCs w:val="24"/>
              </w:rPr>
              <w:t>Janssen Research &amp; Development</w:t>
            </w:r>
            <w:r w:rsidR="00E870D1" w:rsidRPr="009D3150">
              <w:rPr>
                <w:b/>
                <w:bCs/>
                <w:szCs w:val="24"/>
              </w:rPr>
              <w:t>*</w:t>
            </w:r>
          </w:p>
        </w:tc>
      </w:tr>
      <w:tr w:rsidR="00FB157B" w:rsidRPr="009D3150" w14:paraId="7E5B2849" w14:textId="77777777" w:rsidTr="5D4A84C7">
        <w:tc>
          <w:tcPr>
            <w:tcW w:w="9558" w:type="dxa"/>
          </w:tcPr>
          <w:p w14:paraId="1AF32EE8" w14:textId="77777777" w:rsidR="00FB157B" w:rsidRPr="009D3150" w:rsidRDefault="00FB157B" w:rsidP="00BE7D2F">
            <w:pPr>
              <w:pStyle w:val="Basic12"/>
              <w:jc w:val="center"/>
              <w:rPr>
                <w:b/>
                <w:bCs/>
                <w:szCs w:val="24"/>
              </w:rPr>
            </w:pPr>
          </w:p>
        </w:tc>
      </w:tr>
      <w:tr w:rsidR="00FB157B" w:rsidRPr="009D3150" w14:paraId="57DD8240" w14:textId="77777777" w:rsidTr="5D4A84C7">
        <w:tc>
          <w:tcPr>
            <w:tcW w:w="9558" w:type="dxa"/>
          </w:tcPr>
          <w:p w14:paraId="0A256698" w14:textId="77777777" w:rsidR="00FB157B" w:rsidRPr="009D3150" w:rsidRDefault="00E870D1" w:rsidP="001D57FB">
            <w:pPr>
              <w:pStyle w:val="Basic12"/>
              <w:jc w:val="center"/>
              <w:rPr>
                <w:b/>
                <w:bCs/>
                <w:szCs w:val="24"/>
              </w:rPr>
            </w:pPr>
            <w:r w:rsidRPr="009D3150">
              <w:rPr>
                <w:b/>
                <w:bCs/>
                <w:szCs w:val="24"/>
              </w:rPr>
              <w:t xml:space="preserve">Study Protocol for </w:t>
            </w:r>
            <w:r w:rsidR="008A19E7" w:rsidRPr="009D3150">
              <w:rPr>
                <w:b/>
                <w:bCs/>
                <w:szCs w:val="24"/>
              </w:rPr>
              <w:t>Retr</w:t>
            </w:r>
            <w:r w:rsidRPr="009D3150">
              <w:rPr>
                <w:b/>
                <w:bCs/>
                <w:szCs w:val="24"/>
              </w:rPr>
              <w:t xml:space="preserve">ospective Observational Studies </w:t>
            </w:r>
            <w:r w:rsidR="001D57FB" w:rsidRPr="009D3150">
              <w:rPr>
                <w:b/>
                <w:bCs/>
                <w:szCs w:val="24"/>
              </w:rPr>
              <w:t>Using</w:t>
            </w:r>
            <w:r w:rsidR="008A19E7" w:rsidRPr="009D3150">
              <w:rPr>
                <w:b/>
                <w:bCs/>
                <w:szCs w:val="24"/>
              </w:rPr>
              <w:t xml:space="preserve"> Secondary Data</w:t>
            </w:r>
          </w:p>
        </w:tc>
      </w:tr>
      <w:tr w:rsidR="00FB157B" w:rsidRPr="009D3150" w14:paraId="4BD6B809" w14:textId="77777777" w:rsidTr="5D4A84C7">
        <w:tc>
          <w:tcPr>
            <w:tcW w:w="9558" w:type="dxa"/>
            <w:tcBorders>
              <w:bottom w:val="single" w:sz="4" w:space="0" w:color="auto"/>
            </w:tcBorders>
          </w:tcPr>
          <w:p w14:paraId="67DAB175" w14:textId="77777777" w:rsidR="00FB157B" w:rsidRPr="009D3150" w:rsidRDefault="00FB157B" w:rsidP="00BE7D2F">
            <w:pPr>
              <w:pStyle w:val="Basic12"/>
              <w:jc w:val="center"/>
              <w:rPr>
                <w:b/>
                <w:bCs/>
                <w:szCs w:val="24"/>
              </w:rPr>
            </w:pPr>
          </w:p>
        </w:tc>
      </w:tr>
      <w:tr w:rsidR="00FB157B" w:rsidRPr="009D3150" w14:paraId="63682C48" w14:textId="77777777" w:rsidTr="5D4A84C7">
        <w:tc>
          <w:tcPr>
            <w:tcW w:w="9558" w:type="dxa"/>
            <w:tcBorders>
              <w:top w:val="single" w:sz="4" w:space="0" w:color="auto"/>
              <w:bottom w:val="single" w:sz="4" w:space="0" w:color="auto"/>
            </w:tcBorders>
          </w:tcPr>
          <w:p w14:paraId="075F05A4" w14:textId="2CABACDE" w:rsidR="00FB157B" w:rsidRPr="009D3150" w:rsidRDefault="00C7580A" w:rsidP="00661A42">
            <w:pPr>
              <w:pStyle w:val="Basic12"/>
              <w:jc w:val="center"/>
              <w:rPr>
                <w:b/>
                <w:bCs/>
                <w:szCs w:val="24"/>
              </w:rPr>
            </w:pPr>
            <w:r w:rsidRPr="5D4A84C7">
              <w:rPr>
                <w:b/>
                <w:bCs/>
              </w:rPr>
              <w:t xml:space="preserve">RWE Safety Pilot: </w:t>
            </w:r>
            <w:r>
              <w:rPr>
                <w:b/>
                <w:bCs/>
                <w:szCs w:val="24"/>
              </w:rPr>
              <w:t>Characterizing the risks of cardiovascular disease</w:t>
            </w:r>
            <w:r w:rsidR="00922AF2">
              <w:rPr>
                <w:b/>
                <w:bCs/>
                <w:szCs w:val="24"/>
              </w:rPr>
              <w:t xml:space="preserve"> a</w:t>
            </w:r>
            <w:r w:rsidR="00F56312">
              <w:rPr>
                <w:b/>
                <w:bCs/>
                <w:szCs w:val="24"/>
              </w:rPr>
              <w:t xml:space="preserve">mong patients </w:t>
            </w:r>
            <w:r w:rsidR="00C17786">
              <w:rPr>
                <w:b/>
                <w:bCs/>
                <w:szCs w:val="24"/>
              </w:rPr>
              <w:t>being treated</w:t>
            </w:r>
            <w:r w:rsidR="00F56312">
              <w:rPr>
                <w:b/>
                <w:bCs/>
                <w:szCs w:val="24"/>
              </w:rPr>
              <w:t xml:space="preserve"> for </w:t>
            </w:r>
            <w:r w:rsidR="00C17786">
              <w:rPr>
                <w:b/>
                <w:bCs/>
                <w:szCs w:val="24"/>
              </w:rPr>
              <w:t>castration-resistant prostate cancer</w:t>
            </w:r>
          </w:p>
        </w:tc>
      </w:tr>
      <w:tr w:rsidR="00506FE5" w:rsidRPr="009D3150" w14:paraId="43077458" w14:textId="77777777" w:rsidTr="5D4A84C7">
        <w:tc>
          <w:tcPr>
            <w:tcW w:w="9558" w:type="dxa"/>
            <w:tcBorders>
              <w:top w:val="single" w:sz="4" w:space="0" w:color="auto"/>
            </w:tcBorders>
          </w:tcPr>
          <w:p w14:paraId="2E77BFD7" w14:textId="77777777" w:rsidR="00506FE5" w:rsidRPr="009D3150" w:rsidRDefault="00506FE5" w:rsidP="00BE7D2F">
            <w:pPr>
              <w:pStyle w:val="Basic12"/>
              <w:jc w:val="center"/>
              <w:rPr>
                <w:b/>
                <w:bCs/>
                <w:szCs w:val="24"/>
              </w:rPr>
            </w:pPr>
          </w:p>
        </w:tc>
      </w:tr>
      <w:tr w:rsidR="00FB157B" w:rsidRPr="009D3150" w14:paraId="0060B9C3" w14:textId="77777777" w:rsidTr="5D4A84C7">
        <w:tc>
          <w:tcPr>
            <w:tcW w:w="9558" w:type="dxa"/>
          </w:tcPr>
          <w:p w14:paraId="10073AA0" w14:textId="77777777" w:rsidR="00FB157B" w:rsidRPr="009D3150" w:rsidRDefault="00506FE5" w:rsidP="00BE7D2F">
            <w:pPr>
              <w:pStyle w:val="Basic12"/>
              <w:jc w:val="center"/>
              <w:rPr>
                <w:b/>
                <w:bCs/>
                <w:szCs w:val="24"/>
              </w:rPr>
            </w:pPr>
            <w:r w:rsidRPr="009D3150">
              <w:rPr>
                <w:b/>
                <w:bCs/>
                <w:szCs w:val="24"/>
              </w:rPr>
              <w:t xml:space="preserve">Protocol </w:t>
            </w:r>
            <w:r w:rsidRPr="009D3150">
              <w:rPr>
                <w:b/>
                <w:bCs/>
                <w:szCs w:val="24"/>
                <w:highlight w:val="green"/>
              </w:rPr>
              <w:t>[insert protocol number]</w:t>
            </w:r>
          </w:p>
        </w:tc>
      </w:tr>
    </w:tbl>
    <w:p w14:paraId="19C312B5" w14:textId="77777777" w:rsidR="00661A42" w:rsidRPr="009D3150" w:rsidRDefault="00661A42" w:rsidP="00661A42">
      <w:pPr>
        <w:pStyle w:val="Basic11"/>
        <w:rPr>
          <w:sz w:val="24"/>
          <w:szCs w:val="24"/>
        </w:rPr>
      </w:pPr>
    </w:p>
    <w:p w14:paraId="6BB16B51" w14:textId="77777777" w:rsidR="00E870D1" w:rsidRPr="009D3150" w:rsidRDefault="00E870D1" w:rsidP="00661A42">
      <w:pPr>
        <w:pStyle w:val="Basic11"/>
        <w:rPr>
          <w:sz w:val="24"/>
          <w:szCs w:val="24"/>
        </w:rPr>
      </w:pPr>
      <w:r w:rsidRPr="009D3150">
        <w:rPr>
          <w:sz w:val="24"/>
          <w:szCs w:val="24"/>
        </w:rPr>
        <w:t>* Janssen Research &amp; Development (Janssen R&amp;D) is a global organization that operates through different legal entities in various countries. Therefore, the legal entity acting as the sponsor for studies of Janssen R&amp;D may vary. The term "sponsor" is used throughout the protocol to represent these various legal entities.</w:t>
      </w:r>
    </w:p>
    <w:p w14:paraId="106EE82A" w14:textId="4E4BA4FD" w:rsidR="00766811" w:rsidRPr="009D3150" w:rsidRDefault="001E05A0" w:rsidP="00BC0EA4">
      <w:pPr>
        <w:pStyle w:val="TableText"/>
        <w:rPr>
          <w:sz w:val="24"/>
          <w:szCs w:val="24"/>
        </w:rPr>
      </w:pPr>
      <w:r>
        <w:rPr>
          <w:noProof/>
          <w:sz w:val="24"/>
          <w:szCs w:val="24"/>
        </w:rPr>
        <mc:AlternateContent>
          <mc:Choice Requires="wps">
            <w:drawing>
              <wp:anchor distT="0" distB="0" distL="114300" distR="114300" simplePos="0" relativeHeight="251658240" behindDoc="0" locked="1" layoutInCell="1" allowOverlap="1" wp14:anchorId="61BB4190" wp14:editId="70E2A6BE">
                <wp:simplePos x="0" y="0"/>
                <wp:positionH relativeFrom="column">
                  <wp:posOffset>0</wp:posOffset>
                </wp:positionH>
                <wp:positionV relativeFrom="page">
                  <wp:posOffset>6858000</wp:posOffset>
                </wp:positionV>
                <wp:extent cx="5943600" cy="2336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3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7A779" w14:textId="77777777" w:rsidR="003E725B" w:rsidRDefault="003E725B" w:rsidP="00096EA4">
                            <w:pPr>
                              <w:pStyle w:val="Basic11"/>
                              <w:tabs>
                                <w:tab w:val="left" w:pos="1440"/>
                              </w:tabs>
                              <w:spacing w:after="60"/>
                              <w:ind w:left="1440" w:hanging="1440"/>
                            </w:pPr>
                            <w:r w:rsidRPr="00302E3A">
                              <w:rPr>
                                <w:b/>
                              </w:rPr>
                              <w:t>Status:</w:t>
                            </w:r>
                            <w:r w:rsidRPr="00096EA4">
                              <w:tab/>
                            </w:r>
                            <w:r w:rsidRPr="00506FE5">
                              <w:rPr>
                                <w:highlight w:val="cyan"/>
                              </w:rPr>
                              <w:t>[Draft</w:t>
                            </w:r>
                            <w:r>
                              <w:rPr>
                                <w:highlight w:val="cyan"/>
                              </w:rPr>
                              <w:t>][</w:t>
                            </w:r>
                            <w:r w:rsidRPr="00506FE5">
                              <w:rPr>
                                <w:highlight w:val="cyan"/>
                              </w:rPr>
                              <w:t>Pending Review</w:t>
                            </w:r>
                            <w:r>
                              <w:rPr>
                                <w:highlight w:val="cyan"/>
                              </w:rPr>
                              <w:t>][</w:t>
                            </w:r>
                            <w:r w:rsidRPr="00506FE5">
                              <w:rPr>
                                <w:highlight w:val="cyan"/>
                              </w:rPr>
                              <w:t>Approved]</w:t>
                            </w:r>
                            <w:r w:rsidRPr="00F26512">
                              <w:t xml:space="preserve">  </w:t>
                            </w:r>
                            <w:r>
                              <w:br/>
                            </w:r>
                            <w:r w:rsidRPr="00F26512">
                              <w:rPr>
                                <w:shd w:val="clear" w:color="auto" w:fill="FFFF99"/>
                              </w:rPr>
                              <w:t>[Make sure to update the Date field when changing the Status!]</w:t>
                            </w:r>
                          </w:p>
                          <w:p w14:paraId="58609736" w14:textId="77777777" w:rsidR="003E725B" w:rsidRDefault="003E725B" w:rsidP="00096EA4">
                            <w:pPr>
                              <w:pStyle w:val="Basic11"/>
                              <w:tabs>
                                <w:tab w:val="left" w:pos="1440"/>
                              </w:tabs>
                              <w:spacing w:after="60"/>
                              <w:ind w:left="1440" w:hanging="1440"/>
                            </w:pPr>
                            <w:r w:rsidRPr="00302E3A">
                              <w:rPr>
                                <w:b/>
                              </w:rPr>
                              <w:t>Date:</w:t>
                            </w:r>
                            <w:r w:rsidRPr="00096EA4">
                              <w:tab/>
                            </w:r>
                            <w:r w:rsidRPr="00506FE5">
                              <w:rPr>
                                <w:highlight w:val="green"/>
                              </w:rPr>
                              <w:t>[Day Month Year]</w:t>
                            </w:r>
                          </w:p>
                          <w:p w14:paraId="0C95CCAF" w14:textId="77777777" w:rsidR="003E725B" w:rsidRPr="00096EA4" w:rsidRDefault="003E725B" w:rsidP="00096EA4">
                            <w:pPr>
                              <w:pStyle w:val="Basic11"/>
                              <w:tabs>
                                <w:tab w:val="left" w:pos="1440"/>
                              </w:tabs>
                              <w:spacing w:after="60"/>
                              <w:ind w:left="1440" w:hanging="1440"/>
                            </w:pPr>
                            <w:r w:rsidRPr="00302E3A">
                              <w:rPr>
                                <w:b/>
                              </w:rPr>
                              <w:t xml:space="preserve">Prepared </w:t>
                            </w:r>
                            <w:r>
                              <w:rPr>
                                <w:b/>
                              </w:rPr>
                              <w:t>b</w:t>
                            </w:r>
                            <w:r w:rsidRPr="00302E3A">
                              <w:rPr>
                                <w:b/>
                              </w:rPr>
                              <w:t>y:</w:t>
                            </w:r>
                            <w:r w:rsidRPr="00096EA4">
                              <w:tab/>
                            </w:r>
                            <w:r w:rsidRPr="006C20FD">
                              <w:rPr>
                                <w:highlight w:val="green"/>
                              </w:rPr>
                              <w:t>[Insert the legal entity name of the company preparing this document (eg, Janssen Research &amp; Development, LLC;</w:t>
                            </w:r>
                            <w:r>
                              <w:rPr>
                                <w:highlight w:val="green"/>
                              </w:rPr>
                              <w:t xml:space="preserve"> </w:t>
                            </w:r>
                            <w:r w:rsidRPr="006C20FD">
                              <w:rPr>
                                <w:highlight w:val="green"/>
                              </w:rPr>
                              <w:t xml:space="preserve">Janssen </w:t>
                            </w:r>
                            <w:r>
                              <w:rPr>
                                <w:highlight w:val="green"/>
                              </w:rPr>
                              <w:t>Research &amp; Development, a division of Janssen Pharmaceutica NV</w:t>
                            </w:r>
                            <w:r w:rsidRPr="006C20FD">
                              <w:rPr>
                                <w:highlight w:val="green"/>
                              </w:rPr>
                              <w:t>]</w:t>
                            </w:r>
                            <w:r>
                              <w:t xml:space="preserve">  </w:t>
                            </w:r>
                          </w:p>
                          <w:p w14:paraId="69DA15C9" w14:textId="77777777" w:rsidR="003E725B" w:rsidRDefault="003E725B" w:rsidP="00E870D1">
                            <w:pPr>
                              <w:pStyle w:val="Basic11"/>
                              <w:tabs>
                                <w:tab w:val="left" w:pos="1800"/>
                              </w:tabs>
                              <w:spacing w:after="60"/>
                              <w:ind w:left="1800" w:hanging="1800"/>
                            </w:pPr>
                            <w:r>
                              <w:rPr>
                                <w:b/>
                              </w:rPr>
                              <w:t>EDMS</w:t>
                            </w:r>
                            <w:r w:rsidRPr="009E4321">
                              <w:rPr>
                                <w:b/>
                              </w:rPr>
                              <w:t xml:space="preserve"> </w:t>
                            </w:r>
                            <w:r>
                              <w:rPr>
                                <w:b/>
                              </w:rPr>
                              <w:t>number</w:t>
                            </w:r>
                            <w:r w:rsidRPr="009E4321">
                              <w:rPr>
                                <w:b/>
                              </w:rPr>
                              <w:t>:</w:t>
                            </w:r>
                            <w:r w:rsidRPr="00506FE5">
                              <w:tab/>
                            </w:r>
                            <w:r w:rsidRPr="00506FE5">
                              <w:rPr>
                                <w:highlight w:val="green"/>
                              </w:rPr>
                              <w:t>[insert EDMS no, and version]</w:t>
                            </w:r>
                            <w:r w:rsidRPr="00506FE5">
                              <w:t xml:space="preserve"> </w:t>
                            </w:r>
                            <w:r w:rsidRPr="00242A9B">
                              <w:rPr>
                                <w:shd w:val="clear" w:color="auto" w:fill="FFFF99"/>
                              </w:rPr>
                              <w:t>[eg EDMS-ERI-1234567, 1.0]</w:t>
                            </w:r>
                          </w:p>
                          <w:p w14:paraId="6E82B368" w14:textId="77777777" w:rsidR="003E725B" w:rsidRDefault="003E725B" w:rsidP="00BC0EA4">
                            <w:pPr>
                              <w:pStyle w:val="Basic11"/>
                              <w:tabs>
                                <w:tab w:val="left" w:pos="2160"/>
                              </w:tabs>
                              <w:ind w:left="2160" w:hanging="2160"/>
                            </w:pPr>
                          </w:p>
                          <w:p w14:paraId="2729927F" w14:textId="77777777" w:rsidR="003E725B" w:rsidRPr="00EF6221" w:rsidRDefault="003E725B" w:rsidP="00BC0EA4">
                            <w:pPr>
                              <w:pStyle w:val="TableText"/>
                              <w:pBdr>
                                <w:top w:val="single" w:sz="4" w:space="1" w:color="auto"/>
                              </w:pBdr>
                              <w:jc w:val="center"/>
                              <w:rPr>
                                <w:b/>
                                <w:sz w:val="18"/>
                                <w:szCs w:val="18"/>
                              </w:rPr>
                            </w:pPr>
                            <w:r w:rsidRPr="00EF6221">
                              <w:rPr>
                                <w:b/>
                                <w:sz w:val="18"/>
                                <w:szCs w:val="18"/>
                              </w:rPr>
                              <w:t>Confidentiality Statement</w:t>
                            </w:r>
                          </w:p>
                          <w:p w14:paraId="00E5D367" w14:textId="77777777" w:rsidR="003E725B" w:rsidRPr="00B00455" w:rsidRDefault="003E725B" w:rsidP="001D57FB">
                            <w:pPr>
                              <w:pStyle w:val="TableText"/>
                              <w:rPr>
                                <w:sz w:val="18"/>
                                <w:szCs w:val="18"/>
                              </w:rPr>
                            </w:pPr>
                            <w:r w:rsidRPr="00EF6221">
                              <w:rPr>
                                <w:sz w:val="18"/>
                                <w:szCs w:val="18"/>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EF6221">
                              <w:rPr>
                                <w:i/>
                                <w:sz w:val="18"/>
                                <w:szCs w:val="18"/>
                              </w:rPr>
                              <w:t>privileged</w:t>
                            </w:r>
                            <w:r w:rsidRPr="00EF6221">
                              <w:rPr>
                                <w:sz w:val="18"/>
                                <w:szCs w:val="18"/>
                              </w:rPr>
                              <w:t xml:space="preserve"> or </w:t>
                            </w:r>
                            <w:r w:rsidRPr="00EF6221">
                              <w:rPr>
                                <w:i/>
                                <w:sz w:val="18"/>
                                <w:szCs w:val="18"/>
                              </w:rPr>
                              <w:t>confidential</w:t>
                            </w:r>
                            <w:r w:rsidRPr="00EF6221">
                              <w:rPr>
                                <w:sz w:val="18"/>
                                <w:szCs w:val="18"/>
                              </w:rPr>
                              <w:t xml:space="preserve"> and may not be further disclosed by them. These restrictions on disclosure will apply equally to </w:t>
                            </w:r>
                            <w:r w:rsidRPr="00EF6221">
                              <w:rPr>
                                <w:i/>
                                <w:sz w:val="18"/>
                                <w:szCs w:val="18"/>
                              </w:rPr>
                              <w:t>all</w:t>
                            </w:r>
                            <w:r w:rsidRPr="00EF6221">
                              <w:rPr>
                                <w:sz w:val="18"/>
                                <w:szCs w:val="18"/>
                              </w:rPr>
                              <w:t xml:space="preserve"> future information supplied to you that is indicated as </w:t>
                            </w:r>
                            <w:r w:rsidRPr="00EF6221">
                              <w:rPr>
                                <w:i/>
                                <w:sz w:val="18"/>
                                <w:szCs w:val="18"/>
                              </w:rPr>
                              <w:t>privileged or confidential</w:t>
                            </w:r>
                            <w:r w:rsidRPr="00EF6221">
                              <w:rPr>
                                <w:sz w:val="18"/>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BB4190" id="_x0000_t202" coordsize="21600,21600" o:spt="202" path="m,l,21600r21600,l21600,xe">
                <v:stroke joinstyle="miter"/>
                <v:path gradientshapeok="t" o:connecttype="rect"/>
              </v:shapetype>
              <v:shape id="Text Box 2" o:spid="_x0000_s1026" type="#_x0000_t202" style="position:absolute;margin-left:0;margin-top:540pt;width:468pt;height:18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" stroked="f">
                <v:textbox style="mso-fit-shape-to-text:t">
                  <w:txbxContent>
                    <w:p w14:paraId="1B77A779" w14:textId="77777777" w:rsidR="003E725B" w:rsidRDefault="003E725B" w:rsidP="00096EA4">
                      <w:pPr>
                        <w:pStyle w:val="Basic11"/>
                        <w:tabs>
                          <w:tab w:val="left" w:pos="1440"/>
                        </w:tabs>
                        <w:spacing w:after="60"/>
                        <w:ind w:left="1440" w:hanging="1440"/>
                      </w:pPr>
                      <w:r w:rsidRPr="00302E3A">
                        <w:rPr>
                          <w:b/>
                        </w:rPr>
                        <w:t>Status:</w:t>
                      </w:r>
                      <w:r w:rsidRPr="00096EA4">
                        <w:tab/>
                      </w:r>
                      <w:r w:rsidRPr="00506FE5">
                        <w:rPr>
                          <w:highlight w:val="cyan"/>
                        </w:rPr>
                        <w:t>[Draft</w:t>
                      </w:r>
                      <w:proofErr w:type="gramStart"/>
                      <w:r>
                        <w:rPr>
                          <w:highlight w:val="cyan"/>
                        </w:rPr>
                        <w:t>][</w:t>
                      </w:r>
                      <w:proofErr w:type="gramEnd"/>
                      <w:r w:rsidRPr="00506FE5">
                        <w:rPr>
                          <w:highlight w:val="cyan"/>
                        </w:rPr>
                        <w:t>Pending Review</w:t>
                      </w:r>
                      <w:r>
                        <w:rPr>
                          <w:highlight w:val="cyan"/>
                        </w:rPr>
                        <w:t>][</w:t>
                      </w:r>
                      <w:r w:rsidRPr="00506FE5">
                        <w:rPr>
                          <w:highlight w:val="cyan"/>
                        </w:rPr>
                        <w:t>Approved]</w:t>
                      </w:r>
                      <w:r w:rsidRPr="00F26512">
                        <w:t xml:space="preserve">  </w:t>
                      </w:r>
                      <w:r>
                        <w:br/>
                      </w:r>
                      <w:r w:rsidRPr="00F26512">
                        <w:rPr>
                          <w:shd w:val="clear" w:color="auto" w:fill="FFFF99"/>
                        </w:rPr>
                        <w:t>[Make sure to update the Date field when changing the Status!]</w:t>
                      </w:r>
                    </w:p>
                    <w:p w14:paraId="58609736" w14:textId="77777777" w:rsidR="003E725B" w:rsidRDefault="003E725B" w:rsidP="00096EA4">
                      <w:pPr>
                        <w:pStyle w:val="Basic11"/>
                        <w:tabs>
                          <w:tab w:val="left" w:pos="1440"/>
                        </w:tabs>
                        <w:spacing w:after="60"/>
                        <w:ind w:left="1440" w:hanging="1440"/>
                      </w:pPr>
                      <w:r w:rsidRPr="00302E3A">
                        <w:rPr>
                          <w:b/>
                        </w:rPr>
                        <w:t>Date:</w:t>
                      </w:r>
                      <w:r w:rsidRPr="00096EA4">
                        <w:tab/>
                      </w:r>
                      <w:r w:rsidRPr="00506FE5">
                        <w:rPr>
                          <w:highlight w:val="green"/>
                        </w:rPr>
                        <w:t>[Day Month Year]</w:t>
                      </w:r>
                    </w:p>
                    <w:p w14:paraId="0C95CCAF" w14:textId="77777777" w:rsidR="003E725B" w:rsidRPr="00096EA4" w:rsidRDefault="003E725B" w:rsidP="00096EA4">
                      <w:pPr>
                        <w:pStyle w:val="Basic11"/>
                        <w:tabs>
                          <w:tab w:val="left" w:pos="1440"/>
                        </w:tabs>
                        <w:spacing w:after="60"/>
                        <w:ind w:left="1440" w:hanging="1440"/>
                      </w:pPr>
                      <w:r w:rsidRPr="00302E3A">
                        <w:rPr>
                          <w:b/>
                        </w:rPr>
                        <w:t xml:space="preserve">Prepared </w:t>
                      </w:r>
                      <w:r>
                        <w:rPr>
                          <w:b/>
                        </w:rPr>
                        <w:t>b</w:t>
                      </w:r>
                      <w:r w:rsidRPr="00302E3A">
                        <w:rPr>
                          <w:b/>
                        </w:rPr>
                        <w:t>y:</w:t>
                      </w:r>
                      <w:r w:rsidRPr="00096EA4">
                        <w:tab/>
                      </w:r>
                      <w:r w:rsidRPr="006C20FD">
                        <w:rPr>
                          <w:highlight w:val="green"/>
                        </w:rPr>
                        <w:t>[Insert the legal entity name of the company preparing this document (</w:t>
                      </w:r>
                      <w:proofErr w:type="spellStart"/>
                      <w:r w:rsidRPr="006C20FD">
                        <w:rPr>
                          <w:highlight w:val="green"/>
                        </w:rPr>
                        <w:t>eg</w:t>
                      </w:r>
                      <w:proofErr w:type="spellEnd"/>
                      <w:r w:rsidRPr="006C20FD">
                        <w:rPr>
                          <w:highlight w:val="green"/>
                        </w:rPr>
                        <w:t>, Janssen Research &amp; Development, LLC;</w:t>
                      </w:r>
                      <w:r>
                        <w:rPr>
                          <w:highlight w:val="green"/>
                        </w:rPr>
                        <w:t xml:space="preserve"> </w:t>
                      </w:r>
                      <w:r w:rsidRPr="006C20FD">
                        <w:rPr>
                          <w:highlight w:val="green"/>
                        </w:rPr>
                        <w:t xml:space="preserve">Janssen </w:t>
                      </w:r>
                      <w:r>
                        <w:rPr>
                          <w:highlight w:val="green"/>
                        </w:rPr>
                        <w:t xml:space="preserve">Research &amp; Development, a division of Janssen </w:t>
                      </w:r>
                      <w:proofErr w:type="spellStart"/>
                      <w:r>
                        <w:rPr>
                          <w:highlight w:val="green"/>
                        </w:rPr>
                        <w:t>Pharmaceutica</w:t>
                      </w:r>
                      <w:proofErr w:type="spellEnd"/>
                      <w:r>
                        <w:rPr>
                          <w:highlight w:val="green"/>
                        </w:rPr>
                        <w:t xml:space="preserve"> NV</w:t>
                      </w:r>
                      <w:r w:rsidRPr="006C20FD">
                        <w:rPr>
                          <w:highlight w:val="green"/>
                        </w:rPr>
                        <w:t>]</w:t>
                      </w:r>
                      <w:r>
                        <w:t xml:space="preserve">  </w:t>
                      </w:r>
                    </w:p>
                    <w:p w14:paraId="69DA15C9" w14:textId="77777777" w:rsidR="003E725B" w:rsidRDefault="003E725B" w:rsidP="00E870D1">
                      <w:pPr>
                        <w:pStyle w:val="Basic11"/>
                        <w:tabs>
                          <w:tab w:val="left" w:pos="1800"/>
                        </w:tabs>
                        <w:spacing w:after="60"/>
                        <w:ind w:left="1800" w:hanging="1800"/>
                      </w:pPr>
                      <w:r>
                        <w:rPr>
                          <w:b/>
                        </w:rPr>
                        <w:t>EDMS</w:t>
                      </w:r>
                      <w:r w:rsidRPr="009E4321">
                        <w:rPr>
                          <w:b/>
                        </w:rPr>
                        <w:t xml:space="preserve"> </w:t>
                      </w:r>
                      <w:r>
                        <w:rPr>
                          <w:b/>
                        </w:rPr>
                        <w:t>number</w:t>
                      </w:r>
                      <w:r w:rsidRPr="009E4321">
                        <w:rPr>
                          <w:b/>
                        </w:rPr>
                        <w:t>:</w:t>
                      </w:r>
                      <w:r w:rsidRPr="00506FE5">
                        <w:tab/>
                      </w:r>
                      <w:r w:rsidRPr="00506FE5">
                        <w:rPr>
                          <w:highlight w:val="green"/>
                        </w:rPr>
                        <w:t>[insert EDMS no, and version]</w:t>
                      </w:r>
                      <w:r w:rsidRPr="00506FE5">
                        <w:t xml:space="preserve"> </w:t>
                      </w:r>
                      <w:r w:rsidRPr="00242A9B">
                        <w:rPr>
                          <w:shd w:val="clear" w:color="auto" w:fill="FFFF99"/>
                        </w:rPr>
                        <w:t>[</w:t>
                      </w:r>
                      <w:proofErr w:type="spellStart"/>
                      <w:r w:rsidRPr="00242A9B">
                        <w:rPr>
                          <w:shd w:val="clear" w:color="auto" w:fill="FFFF99"/>
                        </w:rPr>
                        <w:t>eg</w:t>
                      </w:r>
                      <w:proofErr w:type="spellEnd"/>
                      <w:r w:rsidRPr="00242A9B">
                        <w:rPr>
                          <w:shd w:val="clear" w:color="auto" w:fill="FFFF99"/>
                        </w:rPr>
                        <w:t xml:space="preserve"> EDMS-ERI-1234567, 1.0]</w:t>
                      </w:r>
                    </w:p>
                    <w:p w14:paraId="6E82B368" w14:textId="77777777" w:rsidR="003E725B" w:rsidRDefault="003E725B" w:rsidP="00BC0EA4">
                      <w:pPr>
                        <w:pStyle w:val="Basic11"/>
                        <w:tabs>
                          <w:tab w:val="left" w:pos="2160"/>
                        </w:tabs>
                        <w:ind w:left="2160" w:hanging="2160"/>
                      </w:pPr>
                    </w:p>
                    <w:p w14:paraId="2729927F" w14:textId="77777777" w:rsidR="003E725B" w:rsidRPr="00EF6221" w:rsidRDefault="003E725B" w:rsidP="00BC0EA4">
                      <w:pPr>
                        <w:pStyle w:val="TableText"/>
                        <w:pBdr>
                          <w:top w:val="single" w:sz="4" w:space="1" w:color="auto"/>
                        </w:pBdr>
                        <w:jc w:val="center"/>
                        <w:rPr>
                          <w:b/>
                          <w:sz w:val="18"/>
                          <w:szCs w:val="18"/>
                        </w:rPr>
                      </w:pPr>
                      <w:r w:rsidRPr="00EF6221">
                        <w:rPr>
                          <w:b/>
                          <w:sz w:val="18"/>
                          <w:szCs w:val="18"/>
                        </w:rPr>
                        <w:t>Confidentiality Statement</w:t>
                      </w:r>
                    </w:p>
                    <w:p w14:paraId="00E5D367" w14:textId="77777777" w:rsidR="003E725B" w:rsidRPr="00B00455" w:rsidRDefault="003E725B" w:rsidP="001D57FB">
                      <w:pPr>
                        <w:pStyle w:val="TableText"/>
                        <w:rPr>
                          <w:sz w:val="18"/>
                          <w:szCs w:val="18"/>
                        </w:rPr>
                      </w:pPr>
                      <w:r w:rsidRPr="00EF6221">
                        <w:rPr>
                          <w:sz w:val="18"/>
                          <w:szCs w:val="18"/>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EF6221">
                        <w:rPr>
                          <w:i/>
                          <w:sz w:val="18"/>
                          <w:szCs w:val="18"/>
                        </w:rPr>
                        <w:t>privileged</w:t>
                      </w:r>
                      <w:r w:rsidRPr="00EF6221">
                        <w:rPr>
                          <w:sz w:val="18"/>
                          <w:szCs w:val="18"/>
                        </w:rPr>
                        <w:t xml:space="preserve"> or </w:t>
                      </w:r>
                      <w:r w:rsidRPr="00EF6221">
                        <w:rPr>
                          <w:i/>
                          <w:sz w:val="18"/>
                          <w:szCs w:val="18"/>
                        </w:rPr>
                        <w:t>confidential</w:t>
                      </w:r>
                      <w:r w:rsidRPr="00EF6221">
                        <w:rPr>
                          <w:sz w:val="18"/>
                          <w:szCs w:val="18"/>
                        </w:rPr>
                        <w:t xml:space="preserve"> and may not be further disclosed by them. These restrictions on disclosure will apply equally to </w:t>
                      </w:r>
                      <w:r w:rsidRPr="00EF6221">
                        <w:rPr>
                          <w:i/>
                          <w:sz w:val="18"/>
                          <w:szCs w:val="18"/>
                        </w:rPr>
                        <w:t>all</w:t>
                      </w:r>
                      <w:r w:rsidRPr="00EF6221">
                        <w:rPr>
                          <w:sz w:val="18"/>
                          <w:szCs w:val="18"/>
                        </w:rPr>
                        <w:t xml:space="preserve"> future information supplied to you that is indicated as </w:t>
                      </w:r>
                      <w:r w:rsidRPr="00EF6221">
                        <w:rPr>
                          <w:i/>
                          <w:sz w:val="18"/>
                          <w:szCs w:val="18"/>
                        </w:rPr>
                        <w:t>privileged or confidential</w:t>
                      </w:r>
                      <w:r w:rsidRPr="00EF6221">
                        <w:rPr>
                          <w:sz w:val="18"/>
                          <w:szCs w:val="18"/>
                        </w:rPr>
                        <w:t>.</w:t>
                      </w:r>
                    </w:p>
                  </w:txbxContent>
                </v:textbox>
                <w10:wrap type="square" anchory="page"/>
                <w10:anchorlock/>
              </v:shape>
            </w:pict>
          </mc:Fallback>
        </mc:AlternateContent>
      </w:r>
    </w:p>
    <w:p w14:paraId="668FC70A" w14:textId="665BEB65" w:rsidR="00B9592C" w:rsidRPr="009D3150" w:rsidRDefault="00B9592C">
      <w:pPr>
        <w:rPr>
          <w:szCs w:val="24"/>
        </w:rPr>
      </w:pPr>
      <w:r w:rsidRPr="009D3150">
        <w:rPr>
          <w:szCs w:val="24"/>
        </w:rPr>
        <w:br w:type="page"/>
      </w:r>
    </w:p>
    <w:p w14:paraId="6F627B5F" w14:textId="77777777" w:rsidR="00B7104C" w:rsidRPr="009D3150" w:rsidRDefault="00B7104C" w:rsidP="00B7104C">
      <w:pPr>
        <w:pStyle w:val="Basic11"/>
        <w:rPr>
          <w:sz w:val="24"/>
          <w:szCs w:val="24"/>
        </w:rPr>
      </w:pPr>
    </w:p>
    <w:p w14:paraId="34D3A6B8" w14:textId="77777777" w:rsidR="00BC0EA4" w:rsidRPr="009D3150" w:rsidRDefault="00BC0EA4" w:rsidP="00687AB5">
      <w:pPr>
        <w:pStyle w:val="SubheadingBold12"/>
        <w:rPr>
          <w:szCs w:val="24"/>
        </w:rPr>
      </w:pPr>
      <w:r w:rsidRPr="009D3150">
        <w:rPr>
          <w:szCs w:val="24"/>
        </w:rPr>
        <w:t>TABLE OF CONTENTS</w:t>
      </w:r>
    </w:p>
    <w:p w14:paraId="39E31D1D" w14:textId="07E77418" w:rsidR="00E936B3" w:rsidRDefault="004805F7">
      <w:pPr>
        <w:pStyle w:val="TOC1"/>
        <w:rPr>
          <w:rFonts w:asciiTheme="minorHAnsi" w:eastAsiaTheme="minorEastAsia" w:hAnsiTheme="minorHAnsi" w:cstheme="minorBidi"/>
          <w:b w:val="0"/>
          <w:caps w:val="0"/>
          <w:noProof/>
          <w:sz w:val="22"/>
          <w:szCs w:val="22"/>
        </w:rPr>
      </w:pPr>
      <w:r w:rsidRPr="009D3150">
        <w:rPr>
          <w:rFonts w:ascii="Times New Roman" w:hAnsi="Times New Roman"/>
          <w:sz w:val="24"/>
          <w:szCs w:val="24"/>
        </w:rPr>
        <w:fldChar w:fldCharType="begin"/>
      </w:r>
      <w:r w:rsidR="00BC0EA4" w:rsidRPr="009D3150">
        <w:rPr>
          <w:rFonts w:ascii="Times New Roman" w:hAnsi="Times New Roman"/>
          <w:sz w:val="24"/>
          <w:szCs w:val="24"/>
        </w:rPr>
        <w:instrText xml:space="preserve"> TOC \o "1-8" \t "Mark for TOC,8" </w:instrText>
      </w:r>
      <w:r w:rsidRPr="009D3150">
        <w:rPr>
          <w:rFonts w:ascii="Times New Roman" w:hAnsi="Times New Roman"/>
          <w:sz w:val="24"/>
          <w:szCs w:val="24"/>
        </w:rPr>
        <w:fldChar w:fldCharType="separate"/>
      </w:r>
      <w:r w:rsidR="00E936B3" w:rsidRPr="00805D85">
        <w:rPr>
          <w:rFonts w:ascii="Times New Roman" w:hAnsi="Times New Roman"/>
          <w:noProof/>
        </w:rPr>
        <w:t>1.</w:t>
      </w:r>
      <w:r w:rsidR="00E936B3">
        <w:rPr>
          <w:rFonts w:asciiTheme="minorHAnsi" w:eastAsiaTheme="minorEastAsia" w:hAnsiTheme="minorHAnsi" w:cstheme="minorBidi"/>
          <w:b w:val="0"/>
          <w:caps w:val="0"/>
          <w:noProof/>
          <w:sz w:val="22"/>
          <w:szCs w:val="22"/>
        </w:rPr>
        <w:tab/>
      </w:r>
      <w:r w:rsidR="00E936B3" w:rsidRPr="00805D85">
        <w:rPr>
          <w:rFonts w:ascii="Times New Roman" w:hAnsi="Times New Roman"/>
          <w:noProof/>
        </w:rPr>
        <w:t>LIST OF ABBREVIATIONS</w:t>
      </w:r>
      <w:r w:rsidR="00E936B3">
        <w:rPr>
          <w:noProof/>
        </w:rPr>
        <w:tab/>
      </w:r>
      <w:r w:rsidR="00E936B3">
        <w:rPr>
          <w:noProof/>
        </w:rPr>
        <w:fldChar w:fldCharType="begin"/>
      </w:r>
      <w:r w:rsidR="00E936B3">
        <w:rPr>
          <w:noProof/>
        </w:rPr>
        <w:instrText xml:space="preserve"> PAGEREF _Toc35611411 \h </w:instrText>
      </w:r>
      <w:r w:rsidR="00E936B3">
        <w:rPr>
          <w:noProof/>
        </w:rPr>
      </w:r>
      <w:r w:rsidR="00E936B3">
        <w:rPr>
          <w:noProof/>
        </w:rPr>
        <w:fldChar w:fldCharType="separate"/>
      </w:r>
      <w:r w:rsidR="000C7E92">
        <w:rPr>
          <w:noProof/>
        </w:rPr>
        <w:t>3</w:t>
      </w:r>
      <w:r w:rsidR="00E936B3">
        <w:rPr>
          <w:noProof/>
        </w:rPr>
        <w:fldChar w:fldCharType="end"/>
      </w:r>
    </w:p>
    <w:p w14:paraId="58E0BB5F" w14:textId="7B24D12A"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2.</w:t>
      </w:r>
      <w:r>
        <w:rPr>
          <w:rFonts w:asciiTheme="minorHAnsi" w:eastAsiaTheme="minorEastAsia" w:hAnsiTheme="minorHAnsi" w:cstheme="minorBidi"/>
          <w:b w:val="0"/>
          <w:caps w:val="0"/>
          <w:noProof/>
          <w:sz w:val="22"/>
          <w:szCs w:val="22"/>
        </w:rPr>
        <w:tab/>
      </w:r>
      <w:r w:rsidRPr="00805D85">
        <w:rPr>
          <w:rFonts w:ascii="Times New Roman" w:hAnsi="Times New Roman"/>
          <w:noProof/>
        </w:rPr>
        <w:t>RESPONSIBLE PARTIES</w:t>
      </w:r>
      <w:r>
        <w:rPr>
          <w:noProof/>
        </w:rPr>
        <w:tab/>
      </w:r>
      <w:r>
        <w:rPr>
          <w:noProof/>
        </w:rPr>
        <w:fldChar w:fldCharType="begin"/>
      </w:r>
      <w:r>
        <w:rPr>
          <w:noProof/>
        </w:rPr>
        <w:instrText xml:space="preserve"> PAGEREF _Toc35611412 \h </w:instrText>
      </w:r>
      <w:r>
        <w:rPr>
          <w:noProof/>
        </w:rPr>
      </w:r>
      <w:r>
        <w:rPr>
          <w:noProof/>
        </w:rPr>
        <w:fldChar w:fldCharType="separate"/>
      </w:r>
      <w:r w:rsidR="000C7E92">
        <w:rPr>
          <w:noProof/>
        </w:rPr>
        <w:t>4</w:t>
      </w:r>
      <w:r>
        <w:rPr>
          <w:noProof/>
        </w:rPr>
        <w:fldChar w:fldCharType="end"/>
      </w:r>
    </w:p>
    <w:p w14:paraId="4081238C" w14:textId="17EB817C"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2.1.</w:t>
      </w:r>
      <w:r>
        <w:rPr>
          <w:rFonts w:asciiTheme="minorHAnsi" w:eastAsiaTheme="minorEastAsia" w:hAnsiTheme="minorHAnsi" w:cstheme="minorBidi"/>
          <w:noProof/>
          <w:sz w:val="22"/>
          <w:szCs w:val="22"/>
        </w:rPr>
        <w:tab/>
      </w:r>
      <w:r w:rsidRPr="00805D85">
        <w:rPr>
          <w:rFonts w:ascii="Times New Roman" w:hAnsi="Times New Roman"/>
          <w:noProof/>
        </w:rPr>
        <w:t>Investigator(s) and Authors</w:t>
      </w:r>
      <w:r>
        <w:rPr>
          <w:noProof/>
        </w:rPr>
        <w:tab/>
      </w:r>
      <w:r>
        <w:rPr>
          <w:noProof/>
        </w:rPr>
        <w:fldChar w:fldCharType="begin"/>
      </w:r>
      <w:r>
        <w:rPr>
          <w:noProof/>
        </w:rPr>
        <w:instrText xml:space="preserve"> PAGEREF _Toc35611413 \h </w:instrText>
      </w:r>
      <w:r>
        <w:rPr>
          <w:noProof/>
        </w:rPr>
      </w:r>
      <w:r>
        <w:rPr>
          <w:noProof/>
        </w:rPr>
        <w:fldChar w:fldCharType="separate"/>
      </w:r>
      <w:r w:rsidR="000C7E92">
        <w:rPr>
          <w:noProof/>
        </w:rPr>
        <w:t>4</w:t>
      </w:r>
      <w:r>
        <w:rPr>
          <w:noProof/>
        </w:rPr>
        <w:fldChar w:fldCharType="end"/>
      </w:r>
    </w:p>
    <w:p w14:paraId="353D8B40" w14:textId="7FFCEFB8"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2.2.</w:t>
      </w:r>
      <w:r>
        <w:rPr>
          <w:rFonts w:asciiTheme="minorHAnsi" w:eastAsiaTheme="minorEastAsia" w:hAnsiTheme="minorHAnsi" w:cstheme="minorBidi"/>
          <w:noProof/>
          <w:sz w:val="22"/>
          <w:szCs w:val="22"/>
        </w:rPr>
        <w:tab/>
      </w:r>
      <w:r w:rsidRPr="00805D85">
        <w:rPr>
          <w:rFonts w:ascii="Times New Roman" w:hAnsi="Times New Roman"/>
          <w:noProof/>
        </w:rPr>
        <w:t>Sponsor</w:t>
      </w:r>
      <w:r>
        <w:rPr>
          <w:noProof/>
        </w:rPr>
        <w:tab/>
      </w:r>
      <w:r>
        <w:rPr>
          <w:noProof/>
        </w:rPr>
        <w:fldChar w:fldCharType="begin"/>
      </w:r>
      <w:r>
        <w:rPr>
          <w:noProof/>
        </w:rPr>
        <w:instrText xml:space="preserve"> PAGEREF _Toc35611414 \h </w:instrText>
      </w:r>
      <w:r>
        <w:rPr>
          <w:noProof/>
        </w:rPr>
      </w:r>
      <w:r>
        <w:rPr>
          <w:noProof/>
        </w:rPr>
        <w:fldChar w:fldCharType="separate"/>
      </w:r>
      <w:r w:rsidR="000C7E92">
        <w:rPr>
          <w:noProof/>
        </w:rPr>
        <w:t>5</w:t>
      </w:r>
      <w:r>
        <w:rPr>
          <w:noProof/>
        </w:rPr>
        <w:fldChar w:fldCharType="end"/>
      </w:r>
    </w:p>
    <w:p w14:paraId="1513E47A" w14:textId="07A6232F" w:rsidR="00E936B3" w:rsidRDefault="00E936B3">
      <w:pPr>
        <w:pStyle w:val="TOC1"/>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sidRPr="00805D85">
        <w:rPr>
          <w:rFonts w:ascii="Times New Roman" w:hAnsi="Times New Roman"/>
          <w:noProof/>
        </w:rPr>
        <w:t>AMENDMENTS AND UPDATES</w:t>
      </w:r>
      <w:r>
        <w:rPr>
          <w:noProof/>
        </w:rPr>
        <w:tab/>
      </w:r>
      <w:r>
        <w:rPr>
          <w:noProof/>
        </w:rPr>
        <w:fldChar w:fldCharType="begin"/>
      </w:r>
      <w:r>
        <w:rPr>
          <w:noProof/>
        </w:rPr>
        <w:instrText xml:space="preserve"> PAGEREF _Toc35611415 \h </w:instrText>
      </w:r>
      <w:r>
        <w:rPr>
          <w:noProof/>
        </w:rPr>
      </w:r>
      <w:r>
        <w:rPr>
          <w:noProof/>
        </w:rPr>
        <w:fldChar w:fldCharType="separate"/>
      </w:r>
      <w:r w:rsidR="000C7E92">
        <w:rPr>
          <w:noProof/>
        </w:rPr>
        <w:t>5</w:t>
      </w:r>
      <w:r>
        <w:rPr>
          <w:noProof/>
        </w:rPr>
        <w:fldChar w:fldCharType="end"/>
      </w:r>
    </w:p>
    <w:p w14:paraId="3730E813" w14:textId="2709858B"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4.</w:t>
      </w:r>
      <w:r>
        <w:rPr>
          <w:rFonts w:asciiTheme="minorHAnsi" w:eastAsiaTheme="minorEastAsia" w:hAnsiTheme="minorHAnsi" w:cstheme="minorBidi"/>
          <w:b w:val="0"/>
          <w:caps w:val="0"/>
          <w:noProof/>
          <w:sz w:val="22"/>
          <w:szCs w:val="22"/>
        </w:rPr>
        <w:tab/>
      </w:r>
      <w:r w:rsidRPr="00805D85">
        <w:rPr>
          <w:rFonts w:ascii="Times New Roman" w:hAnsi="Times New Roman"/>
          <w:noProof/>
        </w:rPr>
        <w:t>RATIONALE AND BACKGROUND</w:t>
      </w:r>
      <w:r>
        <w:rPr>
          <w:noProof/>
        </w:rPr>
        <w:tab/>
      </w:r>
      <w:r>
        <w:rPr>
          <w:noProof/>
        </w:rPr>
        <w:fldChar w:fldCharType="begin"/>
      </w:r>
      <w:r>
        <w:rPr>
          <w:noProof/>
        </w:rPr>
        <w:instrText xml:space="preserve"> PAGEREF _Toc35611416 \h </w:instrText>
      </w:r>
      <w:r>
        <w:rPr>
          <w:noProof/>
        </w:rPr>
      </w:r>
      <w:r>
        <w:rPr>
          <w:noProof/>
        </w:rPr>
        <w:fldChar w:fldCharType="separate"/>
      </w:r>
      <w:r w:rsidR="000C7E92">
        <w:rPr>
          <w:noProof/>
        </w:rPr>
        <w:t>5</w:t>
      </w:r>
      <w:r>
        <w:rPr>
          <w:noProof/>
        </w:rPr>
        <w:fldChar w:fldCharType="end"/>
      </w:r>
    </w:p>
    <w:p w14:paraId="6A43ECE1" w14:textId="597375DC"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5.</w:t>
      </w:r>
      <w:r>
        <w:rPr>
          <w:rFonts w:asciiTheme="minorHAnsi" w:eastAsiaTheme="minorEastAsia" w:hAnsiTheme="minorHAnsi" w:cstheme="minorBidi"/>
          <w:b w:val="0"/>
          <w:caps w:val="0"/>
          <w:noProof/>
          <w:sz w:val="22"/>
          <w:szCs w:val="22"/>
        </w:rPr>
        <w:tab/>
      </w:r>
      <w:r w:rsidRPr="00805D85">
        <w:rPr>
          <w:rFonts w:ascii="Times New Roman" w:hAnsi="Times New Roman"/>
          <w:noProof/>
        </w:rPr>
        <w:t>STUDY Objectives</w:t>
      </w:r>
      <w:r>
        <w:rPr>
          <w:noProof/>
        </w:rPr>
        <w:tab/>
      </w:r>
      <w:r>
        <w:rPr>
          <w:noProof/>
        </w:rPr>
        <w:fldChar w:fldCharType="begin"/>
      </w:r>
      <w:r>
        <w:rPr>
          <w:noProof/>
        </w:rPr>
        <w:instrText xml:space="preserve"> PAGEREF _Toc35611417 \h </w:instrText>
      </w:r>
      <w:r>
        <w:rPr>
          <w:noProof/>
        </w:rPr>
      </w:r>
      <w:r>
        <w:rPr>
          <w:noProof/>
        </w:rPr>
        <w:fldChar w:fldCharType="separate"/>
      </w:r>
      <w:r w:rsidR="000C7E92">
        <w:rPr>
          <w:noProof/>
        </w:rPr>
        <w:t>7</w:t>
      </w:r>
      <w:r>
        <w:rPr>
          <w:noProof/>
        </w:rPr>
        <w:fldChar w:fldCharType="end"/>
      </w:r>
    </w:p>
    <w:p w14:paraId="4AE3549F" w14:textId="0E695728"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5.1.</w:t>
      </w:r>
      <w:r>
        <w:rPr>
          <w:rFonts w:asciiTheme="minorHAnsi" w:eastAsiaTheme="minorEastAsia" w:hAnsiTheme="minorHAnsi" w:cstheme="minorBidi"/>
          <w:noProof/>
          <w:sz w:val="22"/>
          <w:szCs w:val="22"/>
        </w:rPr>
        <w:tab/>
      </w:r>
      <w:r w:rsidRPr="00805D85">
        <w:rPr>
          <w:rFonts w:ascii="Times New Roman" w:hAnsi="Times New Roman"/>
          <w:noProof/>
        </w:rPr>
        <w:t>Primary Objectives</w:t>
      </w:r>
      <w:r>
        <w:rPr>
          <w:noProof/>
        </w:rPr>
        <w:tab/>
      </w:r>
      <w:r>
        <w:rPr>
          <w:noProof/>
        </w:rPr>
        <w:fldChar w:fldCharType="begin"/>
      </w:r>
      <w:r>
        <w:rPr>
          <w:noProof/>
        </w:rPr>
        <w:instrText xml:space="preserve"> PAGEREF _Toc35611418 \h </w:instrText>
      </w:r>
      <w:r>
        <w:rPr>
          <w:noProof/>
        </w:rPr>
      </w:r>
      <w:r>
        <w:rPr>
          <w:noProof/>
        </w:rPr>
        <w:fldChar w:fldCharType="separate"/>
      </w:r>
      <w:r w:rsidR="000C7E92">
        <w:rPr>
          <w:noProof/>
        </w:rPr>
        <w:t>7</w:t>
      </w:r>
      <w:r>
        <w:rPr>
          <w:noProof/>
        </w:rPr>
        <w:fldChar w:fldCharType="end"/>
      </w:r>
    </w:p>
    <w:p w14:paraId="0E322C49" w14:textId="51139983"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5.2.</w:t>
      </w:r>
      <w:r>
        <w:rPr>
          <w:rFonts w:asciiTheme="minorHAnsi" w:eastAsiaTheme="minorEastAsia" w:hAnsiTheme="minorHAnsi" w:cstheme="minorBidi"/>
          <w:noProof/>
          <w:sz w:val="22"/>
          <w:szCs w:val="22"/>
        </w:rPr>
        <w:tab/>
      </w:r>
      <w:r w:rsidRPr="00805D85">
        <w:rPr>
          <w:rFonts w:ascii="Times New Roman" w:hAnsi="Times New Roman"/>
          <w:noProof/>
        </w:rPr>
        <w:t>Secondary Objectives</w:t>
      </w:r>
      <w:r>
        <w:rPr>
          <w:noProof/>
        </w:rPr>
        <w:tab/>
      </w:r>
      <w:r>
        <w:rPr>
          <w:noProof/>
        </w:rPr>
        <w:fldChar w:fldCharType="begin"/>
      </w:r>
      <w:r>
        <w:rPr>
          <w:noProof/>
        </w:rPr>
        <w:instrText xml:space="preserve"> PAGEREF _Toc35611419 \h </w:instrText>
      </w:r>
      <w:r>
        <w:rPr>
          <w:noProof/>
        </w:rPr>
      </w:r>
      <w:r>
        <w:rPr>
          <w:noProof/>
        </w:rPr>
        <w:fldChar w:fldCharType="separate"/>
      </w:r>
      <w:r w:rsidR="000C7E92">
        <w:rPr>
          <w:noProof/>
        </w:rPr>
        <w:t>8</w:t>
      </w:r>
      <w:r>
        <w:rPr>
          <w:noProof/>
        </w:rPr>
        <w:fldChar w:fldCharType="end"/>
      </w:r>
    </w:p>
    <w:p w14:paraId="35D99BCD" w14:textId="22704DBC"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6.</w:t>
      </w:r>
      <w:r>
        <w:rPr>
          <w:rFonts w:asciiTheme="minorHAnsi" w:eastAsiaTheme="minorEastAsia" w:hAnsiTheme="minorHAnsi" w:cstheme="minorBidi"/>
          <w:b w:val="0"/>
          <w:caps w:val="0"/>
          <w:noProof/>
          <w:sz w:val="22"/>
          <w:szCs w:val="22"/>
        </w:rPr>
        <w:tab/>
      </w:r>
      <w:r w:rsidRPr="00805D85">
        <w:rPr>
          <w:rFonts w:ascii="Times New Roman" w:hAnsi="Times New Roman"/>
          <w:noProof/>
        </w:rPr>
        <w:t>Research METHODs</w:t>
      </w:r>
      <w:r>
        <w:rPr>
          <w:noProof/>
        </w:rPr>
        <w:tab/>
      </w:r>
      <w:r>
        <w:rPr>
          <w:noProof/>
        </w:rPr>
        <w:fldChar w:fldCharType="begin"/>
      </w:r>
      <w:r>
        <w:rPr>
          <w:noProof/>
        </w:rPr>
        <w:instrText xml:space="preserve"> PAGEREF _Toc35611420 \h </w:instrText>
      </w:r>
      <w:r>
        <w:rPr>
          <w:noProof/>
        </w:rPr>
      </w:r>
      <w:r>
        <w:rPr>
          <w:noProof/>
        </w:rPr>
        <w:fldChar w:fldCharType="separate"/>
      </w:r>
      <w:r w:rsidR="000C7E92">
        <w:rPr>
          <w:noProof/>
        </w:rPr>
        <w:t>8</w:t>
      </w:r>
      <w:r>
        <w:rPr>
          <w:noProof/>
        </w:rPr>
        <w:fldChar w:fldCharType="end"/>
      </w:r>
    </w:p>
    <w:p w14:paraId="783AD28C" w14:textId="754A5A3D"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6.1.</w:t>
      </w:r>
      <w:r>
        <w:rPr>
          <w:rFonts w:asciiTheme="minorHAnsi" w:eastAsiaTheme="minorEastAsia" w:hAnsiTheme="minorHAnsi" w:cstheme="minorBidi"/>
          <w:noProof/>
          <w:sz w:val="22"/>
          <w:szCs w:val="22"/>
        </w:rPr>
        <w:tab/>
      </w:r>
      <w:r w:rsidRPr="00805D85">
        <w:rPr>
          <w:rFonts w:ascii="Times New Roman" w:hAnsi="Times New Roman"/>
          <w:noProof/>
        </w:rPr>
        <w:t>Overview</w:t>
      </w:r>
      <w:r>
        <w:rPr>
          <w:noProof/>
        </w:rPr>
        <w:tab/>
      </w:r>
      <w:r>
        <w:rPr>
          <w:noProof/>
        </w:rPr>
        <w:fldChar w:fldCharType="begin"/>
      </w:r>
      <w:r>
        <w:rPr>
          <w:noProof/>
        </w:rPr>
        <w:instrText xml:space="preserve"> PAGEREF _Toc35611421 \h </w:instrText>
      </w:r>
      <w:r>
        <w:rPr>
          <w:noProof/>
        </w:rPr>
      </w:r>
      <w:r>
        <w:rPr>
          <w:noProof/>
        </w:rPr>
        <w:fldChar w:fldCharType="separate"/>
      </w:r>
      <w:r w:rsidR="000C7E92">
        <w:rPr>
          <w:noProof/>
        </w:rPr>
        <w:t>8</w:t>
      </w:r>
      <w:r>
        <w:rPr>
          <w:noProof/>
        </w:rPr>
        <w:fldChar w:fldCharType="end"/>
      </w:r>
    </w:p>
    <w:p w14:paraId="03AC4537" w14:textId="5B7BF489"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6.2.</w:t>
      </w:r>
      <w:r>
        <w:rPr>
          <w:rFonts w:asciiTheme="minorHAnsi" w:eastAsiaTheme="minorEastAsia" w:hAnsiTheme="minorHAnsi" w:cstheme="minorBidi"/>
          <w:noProof/>
          <w:sz w:val="22"/>
          <w:szCs w:val="22"/>
        </w:rPr>
        <w:tab/>
      </w:r>
      <w:r w:rsidRPr="00805D85">
        <w:rPr>
          <w:rFonts w:ascii="Times New Roman" w:hAnsi="Times New Roman"/>
          <w:noProof/>
        </w:rPr>
        <w:t>Study Design and Setting</w:t>
      </w:r>
      <w:r>
        <w:rPr>
          <w:noProof/>
        </w:rPr>
        <w:tab/>
      </w:r>
      <w:r>
        <w:rPr>
          <w:noProof/>
        </w:rPr>
        <w:fldChar w:fldCharType="begin"/>
      </w:r>
      <w:r>
        <w:rPr>
          <w:noProof/>
        </w:rPr>
        <w:instrText xml:space="preserve"> PAGEREF _Toc35611422 \h </w:instrText>
      </w:r>
      <w:r>
        <w:rPr>
          <w:noProof/>
        </w:rPr>
      </w:r>
      <w:r>
        <w:rPr>
          <w:noProof/>
        </w:rPr>
        <w:fldChar w:fldCharType="separate"/>
      </w:r>
      <w:r w:rsidR="000C7E92">
        <w:rPr>
          <w:noProof/>
        </w:rPr>
        <w:t>8</w:t>
      </w:r>
      <w:r>
        <w:rPr>
          <w:noProof/>
        </w:rPr>
        <w:fldChar w:fldCharType="end"/>
      </w:r>
    </w:p>
    <w:p w14:paraId="02E8084E" w14:textId="50FE025D" w:rsidR="00E936B3" w:rsidRDefault="00E936B3">
      <w:pPr>
        <w:pStyle w:val="TOC3"/>
        <w:rPr>
          <w:rFonts w:asciiTheme="minorHAnsi" w:eastAsiaTheme="minorEastAsia" w:hAnsiTheme="minorHAnsi" w:cstheme="minorBidi"/>
          <w:noProof/>
          <w:sz w:val="22"/>
          <w:szCs w:val="22"/>
        </w:rPr>
      </w:pPr>
      <w:r w:rsidRPr="00805D85">
        <w:rPr>
          <w:rFonts w:ascii="Times New Roman" w:hAnsi="Times New Roman"/>
          <w:noProof/>
        </w:rPr>
        <w:t>6.2.1.</w:t>
      </w:r>
      <w:r>
        <w:rPr>
          <w:rFonts w:asciiTheme="minorHAnsi" w:eastAsiaTheme="minorEastAsia" w:hAnsiTheme="minorHAnsi" w:cstheme="minorBidi"/>
          <w:noProof/>
          <w:sz w:val="22"/>
          <w:szCs w:val="22"/>
        </w:rPr>
        <w:tab/>
      </w:r>
      <w:r w:rsidRPr="00805D85">
        <w:rPr>
          <w:rFonts w:ascii="Times New Roman" w:hAnsi="Times New Roman"/>
          <w:noProof/>
        </w:rPr>
        <w:t>IBM MarketScan® Commercial Claims and Encounters Database (CCAE) v1061</w:t>
      </w:r>
      <w:r>
        <w:rPr>
          <w:noProof/>
        </w:rPr>
        <w:tab/>
      </w:r>
      <w:r>
        <w:rPr>
          <w:noProof/>
        </w:rPr>
        <w:fldChar w:fldCharType="begin"/>
      </w:r>
      <w:r>
        <w:rPr>
          <w:noProof/>
        </w:rPr>
        <w:instrText xml:space="preserve"> PAGEREF _Toc35611423 \h </w:instrText>
      </w:r>
      <w:r>
        <w:rPr>
          <w:noProof/>
        </w:rPr>
      </w:r>
      <w:r>
        <w:rPr>
          <w:noProof/>
        </w:rPr>
        <w:fldChar w:fldCharType="separate"/>
      </w:r>
      <w:r w:rsidR="000C7E92">
        <w:rPr>
          <w:noProof/>
        </w:rPr>
        <w:t>9</w:t>
      </w:r>
      <w:r>
        <w:rPr>
          <w:noProof/>
        </w:rPr>
        <w:fldChar w:fldCharType="end"/>
      </w:r>
    </w:p>
    <w:p w14:paraId="1A934A17" w14:textId="0E0C1B5B" w:rsidR="00E936B3" w:rsidRDefault="00E936B3">
      <w:pPr>
        <w:pStyle w:val="TOC3"/>
        <w:rPr>
          <w:rFonts w:asciiTheme="minorHAnsi" w:eastAsiaTheme="minorEastAsia" w:hAnsiTheme="minorHAnsi" w:cstheme="minorBidi"/>
          <w:noProof/>
          <w:sz w:val="22"/>
          <w:szCs w:val="22"/>
        </w:rPr>
      </w:pPr>
      <w:r w:rsidRPr="00805D85">
        <w:rPr>
          <w:rFonts w:ascii="Times New Roman" w:hAnsi="Times New Roman"/>
          <w:noProof/>
        </w:rPr>
        <w:t>6.2.2.</w:t>
      </w:r>
      <w:r>
        <w:rPr>
          <w:rFonts w:asciiTheme="minorHAnsi" w:eastAsiaTheme="minorEastAsia" w:hAnsiTheme="minorHAnsi" w:cstheme="minorBidi"/>
          <w:noProof/>
          <w:sz w:val="22"/>
          <w:szCs w:val="22"/>
        </w:rPr>
        <w:tab/>
      </w:r>
      <w:r w:rsidRPr="00805D85">
        <w:rPr>
          <w:rFonts w:ascii="Times New Roman" w:hAnsi="Times New Roman"/>
          <w:noProof/>
        </w:rPr>
        <w:t>IBM MarketScan® Medicare Supplemental Database (MDCR) v1062</w:t>
      </w:r>
      <w:r>
        <w:rPr>
          <w:noProof/>
        </w:rPr>
        <w:tab/>
      </w:r>
      <w:r>
        <w:rPr>
          <w:noProof/>
        </w:rPr>
        <w:fldChar w:fldCharType="begin"/>
      </w:r>
      <w:r>
        <w:rPr>
          <w:noProof/>
        </w:rPr>
        <w:instrText xml:space="preserve"> PAGEREF _Toc35611424 \h </w:instrText>
      </w:r>
      <w:r>
        <w:rPr>
          <w:noProof/>
        </w:rPr>
      </w:r>
      <w:r>
        <w:rPr>
          <w:noProof/>
        </w:rPr>
        <w:fldChar w:fldCharType="separate"/>
      </w:r>
      <w:r w:rsidR="000C7E92">
        <w:rPr>
          <w:noProof/>
        </w:rPr>
        <w:t>9</w:t>
      </w:r>
      <w:r>
        <w:rPr>
          <w:noProof/>
        </w:rPr>
        <w:fldChar w:fldCharType="end"/>
      </w:r>
    </w:p>
    <w:p w14:paraId="1F8E1F37" w14:textId="77F520C3" w:rsidR="00E936B3" w:rsidRDefault="00E936B3">
      <w:pPr>
        <w:pStyle w:val="TOC3"/>
        <w:rPr>
          <w:rFonts w:asciiTheme="minorHAnsi" w:eastAsiaTheme="minorEastAsia" w:hAnsiTheme="minorHAnsi" w:cstheme="minorBidi"/>
          <w:noProof/>
          <w:sz w:val="22"/>
          <w:szCs w:val="22"/>
        </w:rPr>
      </w:pPr>
      <w:r w:rsidRPr="00805D85">
        <w:rPr>
          <w:rFonts w:ascii="Times New Roman" w:hAnsi="Times New Roman"/>
          <w:noProof/>
        </w:rPr>
        <w:t>6.2.3.</w:t>
      </w:r>
      <w:r>
        <w:rPr>
          <w:rFonts w:asciiTheme="minorHAnsi" w:eastAsiaTheme="minorEastAsia" w:hAnsiTheme="minorHAnsi" w:cstheme="minorBidi"/>
          <w:noProof/>
          <w:sz w:val="22"/>
          <w:szCs w:val="22"/>
        </w:rPr>
        <w:tab/>
      </w:r>
      <w:r w:rsidRPr="00805D85">
        <w:rPr>
          <w:rFonts w:ascii="Times New Roman" w:hAnsi="Times New Roman"/>
          <w:noProof/>
        </w:rPr>
        <w:t>Optum® De-Identified Clinformatics® Data Mart Database - Date of Death (DOD) v1064</w:t>
      </w:r>
      <w:r>
        <w:rPr>
          <w:noProof/>
        </w:rPr>
        <w:tab/>
      </w:r>
      <w:r>
        <w:rPr>
          <w:noProof/>
        </w:rPr>
        <w:fldChar w:fldCharType="begin"/>
      </w:r>
      <w:r>
        <w:rPr>
          <w:noProof/>
        </w:rPr>
        <w:instrText xml:space="preserve"> PAGEREF _Toc35611425 \h </w:instrText>
      </w:r>
      <w:r>
        <w:rPr>
          <w:noProof/>
        </w:rPr>
      </w:r>
      <w:r>
        <w:rPr>
          <w:noProof/>
        </w:rPr>
        <w:fldChar w:fldCharType="separate"/>
      </w:r>
      <w:r w:rsidR="000C7E92">
        <w:rPr>
          <w:noProof/>
        </w:rPr>
        <w:t>10</w:t>
      </w:r>
      <w:r>
        <w:rPr>
          <w:noProof/>
        </w:rPr>
        <w:fldChar w:fldCharType="end"/>
      </w:r>
    </w:p>
    <w:p w14:paraId="2A5036B5" w14:textId="5292BBDE"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6.3.</w:t>
      </w:r>
      <w:r>
        <w:rPr>
          <w:rFonts w:asciiTheme="minorHAnsi" w:eastAsiaTheme="minorEastAsia" w:hAnsiTheme="minorHAnsi" w:cstheme="minorBidi"/>
          <w:noProof/>
          <w:sz w:val="22"/>
          <w:szCs w:val="22"/>
        </w:rPr>
        <w:tab/>
      </w:r>
      <w:r w:rsidRPr="00805D85">
        <w:rPr>
          <w:rFonts w:ascii="Times New Roman" w:hAnsi="Times New Roman"/>
          <w:noProof/>
        </w:rPr>
        <w:t>Study Population(s)</w:t>
      </w:r>
      <w:r>
        <w:rPr>
          <w:noProof/>
        </w:rPr>
        <w:tab/>
      </w:r>
      <w:r>
        <w:rPr>
          <w:noProof/>
        </w:rPr>
        <w:fldChar w:fldCharType="begin"/>
      </w:r>
      <w:r>
        <w:rPr>
          <w:noProof/>
        </w:rPr>
        <w:instrText xml:space="preserve"> PAGEREF _Toc35611426 \h </w:instrText>
      </w:r>
      <w:r>
        <w:rPr>
          <w:noProof/>
        </w:rPr>
      </w:r>
      <w:r>
        <w:rPr>
          <w:noProof/>
        </w:rPr>
        <w:fldChar w:fldCharType="separate"/>
      </w:r>
      <w:r w:rsidR="000C7E92">
        <w:rPr>
          <w:noProof/>
        </w:rPr>
        <w:t>10</w:t>
      </w:r>
      <w:r>
        <w:rPr>
          <w:noProof/>
        </w:rPr>
        <w:fldChar w:fldCharType="end"/>
      </w:r>
    </w:p>
    <w:p w14:paraId="624F7A4B" w14:textId="11F6C171"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6.4.</w:t>
      </w:r>
      <w:r>
        <w:rPr>
          <w:rFonts w:asciiTheme="minorHAnsi" w:eastAsiaTheme="minorEastAsia" w:hAnsiTheme="minorHAnsi" w:cstheme="minorBidi"/>
          <w:noProof/>
          <w:sz w:val="22"/>
          <w:szCs w:val="22"/>
        </w:rPr>
        <w:tab/>
      </w:r>
      <w:r w:rsidRPr="00805D85">
        <w:rPr>
          <w:rFonts w:ascii="Times New Roman" w:hAnsi="Times New Roman"/>
          <w:noProof/>
        </w:rPr>
        <w:t>Outcomes, Follow-Up, and Time-at-Risk</w:t>
      </w:r>
      <w:r>
        <w:rPr>
          <w:noProof/>
        </w:rPr>
        <w:tab/>
      </w:r>
      <w:r>
        <w:rPr>
          <w:noProof/>
        </w:rPr>
        <w:fldChar w:fldCharType="begin"/>
      </w:r>
      <w:r>
        <w:rPr>
          <w:noProof/>
        </w:rPr>
        <w:instrText xml:space="preserve"> PAGEREF _Toc35611427 \h </w:instrText>
      </w:r>
      <w:r>
        <w:rPr>
          <w:noProof/>
        </w:rPr>
      </w:r>
      <w:r>
        <w:rPr>
          <w:noProof/>
        </w:rPr>
        <w:fldChar w:fldCharType="separate"/>
      </w:r>
      <w:r w:rsidR="000C7E92">
        <w:rPr>
          <w:noProof/>
        </w:rPr>
        <w:t>14</w:t>
      </w:r>
      <w:r>
        <w:rPr>
          <w:noProof/>
        </w:rPr>
        <w:fldChar w:fldCharType="end"/>
      </w:r>
    </w:p>
    <w:p w14:paraId="1E138676" w14:textId="4267D568"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7.</w:t>
      </w:r>
      <w:r>
        <w:rPr>
          <w:rFonts w:asciiTheme="minorHAnsi" w:eastAsiaTheme="minorEastAsia" w:hAnsiTheme="minorHAnsi" w:cstheme="minorBidi"/>
          <w:noProof/>
          <w:sz w:val="22"/>
          <w:szCs w:val="22"/>
        </w:rPr>
        <w:tab/>
      </w:r>
      <w:r w:rsidRPr="00805D85">
        <w:rPr>
          <w:rFonts w:ascii="Times New Roman" w:hAnsi="Times New Roman"/>
          <w:noProof/>
        </w:rPr>
        <w:t>Negative and Positive Control Outcomes</w:t>
      </w:r>
      <w:r>
        <w:rPr>
          <w:noProof/>
        </w:rPr>
        <w:tab/>
      </w:r>
      <w:r>
        <w:rPr>
          <w:noProof/>
        </w:rPr>
        <w:fldChar w:fldCharType="begin"/>
      </w:r>
      <w:r>
        <w:rPr>
          <w:noProof/>
        </w:rPr>
        <w:instrText xml:space="preserve"> PAGEREF _Toc35611428 \h </w:instrText>
      </w:r>
      <w:r>
        <w:rPr>
          <w:noProof/>
        </w:rPr>
      </w:r>
      <w:r>
        <w:rPr>
          <w:noProof/>
        </w:rPr>
        <w:fldChar w:fldCharType="separate"/>
      </w:r>
      <w:r w:rsidR="000C7E92">
        <w:rPr>
          <w:noProof/>
        </w:rPr>
        <w:t>15</w:t>
      </w:r>
      <w:r>
        <w:rPr>
          <w:noProof/>
        </w:rPr>
        <w:fldChar w:fldCharType="end"/>
      </w:r>
    </w:p>
    <w:p w14:paraId="6E1A0FF7" w14:textId="2472C9F4"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8.</w:t>
      </w:r>
      <w:r>
        <w:rPr>
          <w:rFonts w:asciiTheme="minorHAnsi" w:eastAsiaTheme="minorEastAsia" w:hAnsiTheme="minorHAnsi" w:cstheme="minorBidi"/>
          <w:b w:val="0"/>
          <w:caps w:val="0"/>
          <w:noProof/>
          <w:sz w:val="22"/>
          <w:szCs w:val="22"/>
        </w:rPr>
        <w:tab/>
      </w:r>
      <w:r w:rsidRPr="00805D85">
        <w:rPr>
          <w:rFonts w:ascii="Times New Roman" w:hAnsi="Times New Roman"/>
          <w:caps w:val="0"/>
          <w:noProof/>
        </w:rPr>
        <w:t>SAMPLE SIZE AND STUDY POWER</w:t>
      </w:r>
      <w:r>
        <w:rPr>
          <w:noProof/>
        </w:rPr>
        <w:tab/>
      </w:r>
      <w:r>
        <w:rPr>
          <w:noProof/>
        </w:rPr>
        <w:fldChar w:fldCharType="begin"/>
      </w:r>
      <w:r>
        <w:rPr>
          <w:noProof/>
        </w:rPr>
        <w:instrText xml:space="preserve"> PAGEREF _Toc35611429 \h </w:instrText>
      </w:r>
      <w:r>
        <w:rPr>
          <w:noProof/>
        </w:rPr>
      </w:r>
      <w:r>
        <w:rPr>
          <w:noProof/>
        </w:rPr>
        <w:fldChar w:fldCharType="separate"/>
      </w:r>
      <w:r w:rsidR="000C7E92">
        <w:rPr>
          <w:noProof/>
        </w:rPr>
        <w:t>17</w:t>
      </w:r>
      <w:r>
        <w:rPr>
          <w:noProof/>
        </w:rPr>
        <w:fldChar w:fldCharType="end"/>
      </w:r>
    </w:p>
    <w:p w14:paraId="78E37249" w14:textId="62BA60F1"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9.</w:t>
      </w:r>
      <w:r>
        <w:rPr>
          <w:rFonts w:asciiTheme="minorHAnsi" w:eastAsiaTheme="minorEastAsia" w:hAnsiTheme="minorHAnsi" w:cstheme="minorBidi"/>
          <w:b w:val="0"/>
          <w:caps w:val="0"/>
          <w:noProof/>
          <w:sz w:val="22"/>
          <w:szCs w:val="22"/>
        </w:rPr>
        <w:tab/>
      </w:r>
      <w:r w:rsidRPr="00805D85">
        <w:rPr>
          <w:rFonts w:ascii="Times New Roman" w:hAnsi="Times New Roman"/>
          <w:caps w:val="0"/>
          <w:noProof/>
        </w:rPr>
        <w:t>DATA ANALYSIS PLAN</w:t>
      </w:r>
      <w:r>
        <w:rPr>
          <w:noProof/>
        </w:rPr>
        <w:tab/>
      </w:r>
      <w:r>
        <w:rPr>
          <w:noProof/>
        </w:rPr>
        <w:fldChar w:fldCharType="begin"/>
      </w:r>
      <w:r>
        <w:rPr>
          <w:noProof/>
        </w:rPr>
        <w:instrText xml:space="preserve"> PAGEREF _Toc35611430 \h </w:instrText>
      </w:r>
      <w:r>
        <w:rPr>
          <w:noProof/>
        </w:rPr>
      </w:r>
      <w:r>
        <w:rPr>
          <w:noProof/>
        </w:rPr>
        <w:fldChar w:fldCharType="separate"/>
      </w:r>
      <w:r w:rsidR="000C7E92">
        <w:rPr>
          <w:noProof/>
        </w:rPr>
        <w:t>18</w:t>
      </w:r>
      <w:r>
        <w:rPr>
          <w:noProof/>
        </w:rPr>
        <w:fldChar w:fldCharType="end"/>
      </w:r>
    </w:p>
    <w:p w14:paraId="48A44897" w14:textId="2325EC72"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9.1.</w:t>
      </w:r>
      <w:r>
        <w:rPr>
          <w:rFonts w:asciiTheme="minorHAnsi" w:eastAsiaTheme="minorEastAsia" w:hAnsiTheme="minorHAnsi" w:cstheme="minorBidi"/>
          <w:noProof/>
          <w:sz w:val="22"/>
          <w:szCs w:val="22"/>
        </w:rPr>
        <w:tab/>
      </w:r>
      <w:r w:rsidRPr="00805D85">
        <w:rPr>
          <w:rFonts w:ascii="Times New Roman" w:hAnsi="Times New Roman"/>
          <w:noProof/>
        </w:rPr>
        <w:t>Patient Characteristics Summary</w:t>
      </w:r>
      <w:r>
        <w:rPr>
          <w:noProof/>
        </w:rPr>
        <w:tab/>
      </w:r>
      <w:r>
        <w:rPr>
          <w:noProof/>
        </w:rPr>
        <w:fldChar w:fldCharType="begin"/>
      </w:r>
      <w:r>
        <w:rPr>
          <w:noProof/>
        </w:rPr>
        <w:instrText xml:space="preserve"> PAGEREF _Toc35611431 \h </w:instrText>
      </w:r>
      <w:r>
        <w:rPr>
          <w:noProof/>
        </w:rPr>
      </w:r>
      <w:r>
        <w:rPr>
          <w:noProof/>
        </w:rPr>
        <w:fldChar w:fldCharType="separate"/>
      </w:r>
      <w:r w:rsidR="000C7E92">
        <w:rPr>
          <w:noProof/>
        </w:rPr>
        <w:t>18</w:t>
      </w:r>
      <w:r>
        <w:rPr>
          <w:noProof/>
        </w:rPr>
        <w:fldChar w:fldCharType="end"/>
      </w:r>
    </w:p>
    <w:p w14:paraId="61819C40" w14:textId="00ECA4AA"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9.2.</w:t>
      </w:r>
      <w:r>
        <w:rPr>
          <w:rFonts w:asciiTheme="minorHAnsi" w:eastAsiaTheme="minorEastAsia" w:hAnsiTheme="minorHAnsi" w:cstheme="minorBidi"/>
          <w:noProof/>
          <w:sz w:val="22"/>
          <w:szCs w:val="22"/>
        </w:rPr>
        <w:tab/>
      </w:r>
      <w:r w:rsidRPr="00805D85">
        <w:rPr>
          <w:rFonts w:ascii="Times New Roman" w:hAnsi="Times New Roman"/>
          <w:noProof/>
        </w:rPr>
        <w:t>Model Specification</w:t>
      </w:r>
      <w:r>
        <w:rPr>
          <w:noProof/>
        </w:rPr>
        <w:tab/>
      </w:r>
      <w:r>
        <w:rPr>
          <w:noProof/>
        </w:rPr>
        <w:fldChar w:fldCharType="begin"/>
      </w:r>
      <w:r>
        <w:rPr>
          <w:noProof/>
        </w:rPr>
        <w:instrText xml:space="preserve"> PAGEREF _Toc35611432 \h </w:instrText>
      </w:r>
      <w:r>
        <w:rPr>
          <w:noProof/>
        </w:rPr>
      </w:r>
      <w:r>
        <w:rPr>
          <w:noProof/>
        </w:rPr>
        <w:fldChar w:fldCharType="separate"/>
      </w:r>
      <w:r w:rsidR="000C7E92">
        <w:rPr>
          <w:noProof/>
        </w:rPr>
        <w:t>19</w:t>
      </w:r>
      <w:r>
        <w:rPr>
          <w:noProof/>
        </w:rPr>
        <w:fldChar w:fldCharType="end"/>
      </w:r>
    </w:p>
    <w:p w14:paraId="44542375" w14:textId="1175B9AB"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9.3.</w:t>
      </w:r>
      <w:r>
        <w:rPr>
          <w:rFonts w:asciiTheme="minorHAnsi" w:eastAsiaTheme="minorEastAsia" w:hAnsiTheme="minorHAnsi" w:cstheme="minorBidi"/>
          <w:noProof/>
          <w:sz w:val="22"/>
          <w:szCs w:val="22"/>
        </w:rPr>
        <w:tab/>
      </w:r>
      <w:r w:rsidRPr="00805D85">
        <w:rPr>
          <w:rFonts w:ascii="Times New Roman" w:hAnsi="Times New Roman"/>
          <w:noProof/>
        </w:rPr>
        <w:t>Evidence Evaluation</w:t>
      </w:r>
      <w:r>
        <w:rPr>
          <w:noProof/>
        </w:rPr>
        <w:tab/>
      </w:r>
      <w:r>
        <w:rPr>
          <w:noProof/>
        </w:rPr>
        <w:fldChar w:fldCharType="begin"/>
      </w:r>
      <w:r>
        <w:rPr>
          <w:noProof/>
        </w:rPr>
        <w:instrText xml:space="preserve"> PAGEREF _Toc35611433 \h </w:instrText>
      </w:r>
      <w:r>
        <w:rPr>
          <w:noProof/>
        </w:rPr>
      </w:r>
      <w:r>
        <w:rPr>
          <w:noProof/>
        </w:rPr>
        <w:fldChar w:fldCharType="separate"/>
      </w:r>
      <w:r w:rsidR="000C7E92">
        <w:rPr>
          <w:noProof/>
        </w:rPr>
        <w:t>20</w:t>
      </w:r>
      <w:r>
        <w:rPr>
          <w:noProof/>
        </w:rPr>
        <w:fldChar w:fldCharType="end"/>
      </w:r>
    </w:p>
    <w:p w14:paraId="6AE12208" w14:textId="6C609988" w:rsidR="00E936B3" w:rsidRDefault="00E936B3">
      <w:pPr>
        <w:pStyle w:val="TOC1"/>
        <w:rPr>
          <w:rFonts w:asciiTheme="minorHAnsi" w:eastAsiaTheme="minorEastAsia" w:hAnsiTheme="minorHAnsi" w:cstheme="minorBidi"/>
          <w:b w:val="0"/>
          <w:caps w:val="0"/>
          <w:noProof/>
          <w:sz w:val="22"/>
          <w:szCs w:val="22"/>
        </w:rPr>
      </w:pPr>
      <w:r>
        <w:rPr>
          <w:noProof/>
        </w:rPr>
        <w:t>10.</w:t>
      </w:r>
      <w:r>
        <w:rPr>
          <w:rFonts w:asciiTheme="minorHAnsi" w:eastAsiaTheme="minorEastAsia" w:hAnsiTheme="minorHAnsi" w:cstheme="minorBidi"/>
          <w:b w:val="0"/>
          <w:caps w:val="0"/>
          <w:noProof/>
          <w:sz w:val="22"/>
          <w:szCs w:val="22"/>
        </w:rPr>
        <w:tab/>
      </w:r>
      <w:r w:rsidRPr="00805D85">
        <w:rPr>
          <w:rFonts w:ascii="Times New Roman" w:hAnsi="Times New Roman"/>
          <w:noProof/>
        </w:rPr>
        <w:t>STRengths and limitations of the research methods</w:t>
      </w:r>
      <w:r>
        <w:rPr>
          <w:noProof/>
        </w:rPr>
        <w:tab/>
      </w:r>
      <w:r>
        <w:rPr>
          <w:noProof/>
        </w:rPr>
        <w:fldChar w:fldCharType="begin"/>
      </w:r>
      <w:r>
        <w:rPr>
          <w:noProof/>
        </w:rPr>
        <w:instrText xml:space="preserve"> PAGEREF _Toc35611434 \h </w:instrText>
      </w:r>
      <w:r>
        <w:rPr>
          <w:noProof/>
        </w:rPr>
      </w:r>
      <w:r>
        <w:rPr>
          <w:noProof/>
        </w:rPr>
        <w:fldChar w:fldCharType="separate"/>
      </w:r>
      <w:r w:rsidR="000C7E92">
        <w:rPr>
          <w:noProof/>
        </w:rPr>
        <w:t>22</w:t>
      </w:r>
      <w:r>
        <w:rPr>
          <w:noProof/>
        </w:rPr>
        <w:fldChar w:fldCharType="end"/>
      </w:r>
    </w:p>
    <w:p w14:paraId="59E387A3" w14:textId="50EED587"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10.1.</w:t>
      </w:r>
      <w:r>
        <w:rPr>
          <w:rFonts w:asciiTheme="minorHAnsi" w:eastAsiaTheme="minorEastAsia" w:hAnsiTheme="minorHAnsi" w:cstheme="minorBidi"/>
          <w:noProof/>
          <w:sz w:val="22"/>
          <w:szCs w:val="22"/>
        </w:rPr>
        <w:tab/>
      </w:r>
      <w:r w:rsidRPr="00805D85">
        <w:rPr>
          <w:rFonts w:ascii="Times New Roman" w:hAnsi="Times New Roman"/>
          <w:noProof/>
        </w:rPr>
        <w:t>Strengths</w:t>
      </w:r>
      <w:r>
        <w:rPr>
          <w:noProof/>
        </w:rPr>
        <w:tab/>
      </w:r>
      <w:r>
        <w:rPr>
          <w:noProof/>
        </w:rPr>
        <w:fldChar w:fldCharType="begin"/>
      </w:r>
      <w:r>
        <w:rPr>
          <w:noProof/>
        </w:rPr>
        <w:instrText xml:space="preserve"> PAGEREF _Toc35611435 \h </w:instrText>
      </w:r>
      <w:r>
        <w:rPr>
          <w:noProof/>
        </w:rPr>
      </w:r>
      <w:r>
        <w:rPr>
          <w:noProof/>
        </w:rPr>
        <w:fldChar w:fldCharType="separate"/>
      </w:r>
      <w:r w:rsidR="000C7E92">
        <w:rPr>
          <w:noProof/>
        </w:rPr>
        <w:t>22</w:t>
      </w:r>
      <w:r>
        <w:rPr>
          <w:noProof/>
        </w:rPr>
        <w:fldChar w:fldCharType="end"/>
      </w:r>
    </w:p>
    <w:p w14:paraId="08D76670" w14:textId="7582797A" w:rsidR="00E936B3" w:rsidRDefault="00E936B3">
      <w:pPr>
        <w:pStyle w:val="TOC2"/>
        <w:rPr>
          <w:rFonts w:asciiTheme="minorHAnsi" w:eastAsiaTheme="minorEastAsia" w:hAnsiTheme="minorHAnsi" w:cstheme="minorBidi"/>
          <w:noProof/>
          <w:sz w:val="22"/>
          <w:szCs w:val="22"/>
        </w:rPr>
      </w:pPr>
      <w:r w:rsidRPr="00805D85">
        <w:rPr>
          <w:rFonts w:ascii="Times New Roman" w:hAnsi="Times New Roman"/>
          <w:noProof/>
        </w:rPr>
        <w:t>10.2.</w:t>
      </w:r>
      <w:r>
        <w:rPr>
          <w:rFonts w:asciiTheme="minorHAnsi" w:eastAsiaTheme="minorEastAsia" w:hAnsiTheme="minorHAnsi" w:cstheme="minorBidi"/>
          <w:noProof/>
          <w:sz w:val="22"/>
          <w:szCs w:val="22"/>
        </w:rPr>
        <w:tab/>
      </w:r>
      <w:r w:rsidRPr="00805D85">
        <w:rPr>
          <w:rFonts w:ascii="Times New Roman" w:hAnsi="Times New Roman"/>
          <w:noProof/>
        </w:rPr>
        <w:t>Limitations</w:t>
      </w:r>
      <w:r>
        <w:rPr>
          <w:noProof/>
        </w:rPr>
        <w:tab/>
      </w:r>
      <w:r>
        <w:rPr>
          <w:noProof/>
        </w:rPr>
        <w:fldChar w:fldCharType="begin"/>
      </w:r>
      <w:r>
        <w:rPr>
          <w:noProof/>
        </w:rPr>
        <w:instrText xml:space="preserve"> PAGEREF _Toc35611436 \h </w:instrText>
      </w:r>
      <w:r>
        <w:rPr>
          <w:noProof/>
        </w:rPr>
      </w:r>
      <w:r>
        <w:rPr>
          <w:noProof/>
        </w:rPr>
        <w:fldChar w:fldCharType="separate"/>
      </w:r>
      <w:r w:rsidR="000C7E92">
        <w:rPr>
          <w:noProof/>
        </w:rPr>
        <w:t>23</w:t>
      </w:r>
      <w:r>
        <w:rPr>
          <w:noProof/>
        </w:rPr>
        <w:fldChar w:fldCharType="end"/>
      </w:r>
    </w:p>
    <w:p w14:paraId="4A819195" w14:textId="297B2A91"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11.</w:t>
      </w:r>
      <w:r>
        <w:rPr>
          <w:rFonts w:asciiTheme="minorHAnsi" w:eastAsiaTheme="minorEastAsia" w:hAnsiTheme="minorHAnsi" w:cstheme="minorBidi"/>
          <w:b w:val="0"/>
          <w:caps w:val="0"/>
          <w:noProof/>
          <w:sz w:val="22"/>
          <w:szCs w:val="22"/>
        </w:rPr>
        <w:tab/>
      </w:r>
      <w:r w:rsidRPr="00805D85">
        <w:rPr>
          <w:rFonts w:ascii="Times New Roman" w:hAnsi="Times New Roman"/>
          <w:noProof/>
        </w:rPr>
        <w:t>PROTECTION OF HUMAN SUBJECTS</w:t>
      </w:r>
      <w:r>
        <w:rPr>
          <w:noProof/>
        </w:rPr>
        <w:tab/>
      </w:r>
      <w:r>
        <w:rPr>
          <w:noProof/>
        </w:rPr>
        <w:fldChar w:fldCharType="begin"/>
      </w:r>
      <w:r>
        <w:rPr>
          <w:noProof/>
        </w:rPr>
        <w:instrText xml:space="preserve"> PAGEREF _Toc35611437 \h </w:instrText>
      </w:r>
      <w:r>
        <w:rPr>
          <w:noProof/>
        </w:rPr>
      </w:r>
      <w:r>
        <w:rPr>
          <w:noProof/>
        </w:rPr>
        <w:fldChar w:fldCharType="separate"/>
      </w:r>
      <w:r w:rsidR="000C7E92">
        <w:rPr>
          <w:noProof/>
        </w:rPr>
        <w:t>25</w:t>
      </w:r>
      <w:r>
        <w:rPr>
          <w:noProof/>
        </w:rPr>
        <w:fldChar w:fldCharType="end"/>
      </w:r>
    </w:p>
    <w:p w14:paraId="67BAD220" w14:textId="751CD038"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12.</w:t>
      </w:r>
      <w:r>
        <w:rPr>
          <w:rFonts w:asciiTheme="minorHAnsi" w:eastAsiaTheme="minorEastAsia" w:hAnsiTheme="minorHAnsi" w:cstheme="minorBidi"/>
          <w:b w:val="0"/>
          <w:caps w:val="0"/>
          <w:noProof/>
          <w:sz w:val="22"/>
          <w:szCs w:val="22"/>
        </w:rPr>
        <w:tab/>
      </w:r>
      <w:r w:rsidRPr="00805D85">
        <w:rPr>
          <w:rFonts w:ascii="Times New Roman" w:hAnsi="Times New Roman"/>
          <w:caps w:val="0"/>
          <w:noProof/>
        </w:rPr>
        <w:t>SAFETY DATA COLLECTION AND REPORTING</w:t>
      </w:r>
      <w:r>
        <w:rPr>
          <w:noProof/>
        </w:rPr>
        <w:tab/>
      </w:r>
      <w:r>
        <w:rPr>
          <w:noProof/>
        </w:rPr>
        <w:fldChar w:fldCharType="begin"/>
      </w:r>
      <w:r>
        <w:rPr>
          <w:noProof/>
        </w:rPr>
        <w:instrText xml:space="preserve"> PAGEREF _Toc35611438 \h </w:instrText>
      </w:r>
      <w:r>
        <w:rPr>
          <w:noProof/>
        </w:rPr>
      </w:r>
      <w:r>
        <w:rPr>
          <w:noProof/>
        </w:rPr>
        <w:fldChar w:fldCharType="separate"/>
      </w:r>
      <w:r w:rsidR="000C7E92">
        <w:rPr>
          <w:noProof/>
        </w:rPr>
        <w:t>25</w:t>
      </w:r>
      <w:r>
        <w:rPr>
          <w:noProof/>
        </w:rPr>
        <w:fldChar w:fldCharType="end"/>
      </w:r>
    </w:p>
    <w:p w14:paraId="051BFD08" w14:textId="6D6CE27C"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13.</w:t>
      </w:r>
      <w:r>
        <w:rPr>
          <w:rFonts w:asciiTheme="minorHAnsi" w:eastAsiaTheme="minorEastAsia" w:hAnsiTheme="minorHAnsi" w:cstheme="minorBidi"/>
          <w:b w:val="0"/>
          <w:caps w:val="0"/>
          <w:noProof/>
          <w:sz w:val="22"/>
          <w:szCs w:val="22"/>
        </w:rPr>
        <w:tab/>
      </w:r>
      <w:r w:rsidRPr="00805D85">
        <w:rPr>
          <w:rFonts w:ascii="Times New Roman" w:hAnsi="Times New Roman"/>
          <w:noProof/>
        </w:rPr>
        <w:t>PLANS FOR DISSEMINATING AND COMMUNICATING STUDY RESULTS</w:t>
      </w:r>
      <w:r>
        <w:rPr>
          <w:noProof/>
        </w:rPr>
        <w:tab/>
      </w:r>
      <w:r>
        <w:rPr>
          <w:noProof/>
        </w:rPr>
        <w:fldChar w:fldCharType="begin"/>
      </w:r>
      <w:r>
        <w:rPr>
          <w:noProof/>
        </w:rPr>
        <w:instrText xml:space="preserve"> PAGEREF _Toc35611439 \h </w:instrText>
      </w:r>
      <w:r>
        <w:rPr>
          <w:noProof/>
        </w:rPr>
      </w:r>
      <w:r>
        <w:rPr>
          <w:noProof/>
        </w:rPr>
        <w:fldChar w:fldCharType="separate"/>
      </w:r>
      <w:r w:rsidR="000C7E92">
        <w:rPr>
          <w:noProof/>
        </w:rPr>
        <w:t>26</w:t>
      </w:r>
      <w:r>
        <w:rPr>
          <w:noProof/>
        </w:rPr>
        <w:fldChar w:fldCharType="end"/>
      </w:r>
    </w:p>
    <w:p w14:paraId="1DC6C27F" w14:textId="0539AFDA"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14.</w:t>
      </w:r>
      <w:r>
        <w:rPr>
          <w:rFonts w:asciiTheme="minorHAnsi" w:eastAsiaTheme="minorEastAsia" w:hAnsiTheme="minorHAnsi" w:cstheme="minorBidi"/>
          <w:b w:val="0"/>
          <w:caps w:val="0"/>
          <w:noProof/>
          <w:sz w:val="22"/>
          <w:szCs w:val="22"/>
        </w:rPr>
        <w:tab/>
      </w:r>
      <w:r w:rsidRPr="00805D85">
        <w:rPr>
          <w:rFonts w:ascii="Times New Roman" w:hAnsi="Times New Roman"/>
          <w:noProof/>
        </w:rPr>
        <w:t>list of tables &amp; figures</w:t>
      </w:r>
      <w:r>
        <w:rPr>
          <w:noProof/>
        </w:rPr>
        <w:tab/>
      </w:r>
      <w:r>
        <w:rPr>
          <w:noProof/>
        </w:rPr>
        <w:fldChar w:fldCharType="begin"/>
      </w:r>
      <w:r>
        <w:rPr>
          <w:noProof/>
        </w:rPr>
        <w:instrText xml:space="preserve"> PAGEREF _Toc35611440 \h </w:instrText>
      </w:r>
      <w:r>
        <w:rPr>
          <w:noProof/>
        </w:rPr>
      </w:r>
      <w:r>
        <w:rPr>
          <w:noProof/>
        </w:rPr>
        <w:fldChar w:fldCharType="separate"/>
      </w:r>
      <w:r w:rsidR="000C7E92">
        <w:rPr>
          <w:noProof/>
        </w:rPr>
        <w:t>26</w:t>
      </w:r>
      <w:r>
        <w:rPr>
          <w:noProof/>
        </w:rPr>
        <w:fldChar w:fldCharType="end"/>
      </w:r>
    </w:p>
    <w:p w14:paraId="6D204A84" w14:textId="111BFAF7"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15.</w:t>
      </w:r>
      <w:r>
        <w:rPr>
          <w:rFonts w:asciiTheme="minorHAnsi" w:eastAsiaTheme="minorEastAsia" w:hAnsiTheme="minorHAnsi" w:cstheme="minorBidi"/>
          <w:b w:val="0"/>
          <w:caps w:val="0"/>
          <w:noProof/>
          <w:sz w:val="22"/>
          <w:szCs w:val="22"/>
        </w:rPr>
        <w:tab/>
      </w:r>
      <w:r w:rsidRPr="00805D85">
        <w:rPr>
          <w:rFonts w:ascii="Times New Roman" w:hAnsi="Times New Roman"/>
          <w:noProof/>
        </w:rPr>
        <w:t>ANNEX (LIST OF STAND-ALONE DOCUMENTS)</w:t>
      </w:r>
      <w:r>
        <w:rPr>
          <w:noProof/>
        </w:rPr>
        <w:tab/>
      </w:r>
      <w:r>
        <w:rPr>
          <w:noProof/>
        </w:rPr>
        <w:fldChar w:fldCharType="begin"/>
      </w:r>
      <w:r>
        <w:rPr>
          <w:noProof/>
        </w:rPr>
        <w:instrText xml:space="preserve"> PAGEREF _Toc35611441 \h </w:instrText>
      </w:r>
      <w:r>
        <w:rPr>
          <w:noProof/>
        </w:rPr>
      </w:r>
      <w:r>
        <w:rPr>
          <w:noProof/>
        </w:rPr>
        <w:fldChar w:fldCharType="separate"/>
      </w:r>
      <w:r w:rsidR="000C7E92">
        <w:rPr>
          <w:noProof/>
        </w:rPr>
        <w:t>26</w:t>
      </w:r>
      <w:r>
        <w:rPr>
          <w:noProof/>
        </w:rPr>
        <w:fldChar w:fldCharType="end"/>
      </w:r>
    </w:p>
    <w:p w14:paraId="0AD795A1" w14:textId="7977951E" w:rsidR="00E936B3" w:rsidRDefault="00E936B3">
      <w:pPr>
        <w:pStyle w:val="TOC1"/>
        <w:rPr>
          <w:rFonts w:asciiTheme="minorHAnsi" w:eastAsiaTheme="minorEastAsia" w:hAnsiTheme="minorHAnsi" w:cstheme="minorBidi"/>
          <w:b w:val="0"/>
          <w:caps w:val="0"/>
          <w:noProof/>
          <w:sz w:val="22"/>
          <w:szCs w:val="22"/>
        </w:rPr>
      </w:pPr>
      <w:r w:rsidRPr="00805D85">
        <w:rPr>
          <w:rFonts w:ascii="Times New Roman" w:hAnsi="Times New Roman"/>
          <w:noProof/>
        </w:rPr>
        <w:t>16.</w:t>
      </w:r>
      <w:r>
        <w:rPr>
          <w:rFonts w:asciiTheme="minorHAnsi" w:eastAsiaTheme="minorEastAsia" w:hAnsiTheme="minorHAnsi" w:cstheme="minorBidi"/>
          <w:b w:val="0"/>
          <w:caps w:val="0"/>
          <w:noProof/>
          <w:sz w:val="22"/>
          <w:szCs w:val="22"/>
        </w:rPr>
        <w:tab/>
      </w:r>
      <w:r w:rsidRPr="00805D85">
        <w:rPr>
          <w:rFonts w:ascii="Times New Roman" w:hAnsi="Times New Roman"/>
          <w:noProof/>
        </w:rPr>
        <w:t>references</w:t>
      </w:r>
      <w:r>
        <w:rPr>
          <w:noProof/>
        </w:rPr>
        <w:tab/>
      </w:r>
      <w:r>
        <w:rPr>
          <w:noProof/>
        </w:rPr>
        <w:fldChar w:fldCharType="begin"/>
      </w:r>
      <w:r>
        <w:rPr>
          <w:noProof/>
        </w:rPr>
        <w:instrText xml:space="preserve"> PAGEREF _Toc35611442 \h </w:instrText>
      </w:r>
      <w:r>
        <w:rPr>
          <w:noProof/>
        </w:rPr>
      </w:r>
      <w:r>
        <w:rPr>
          <w:noProof/>
        </w:rPr>
        <w:fldChar w:fldCharType="separate"/>
      </w:r>
      <w:r w:rsidR="000C7E92">
        <w:rPr>
          <w:noProof/>
        </w:rPr>
        <w:t>27</w:t>
      </w:r>
      <w:r>
        <w:rPr>
          <w:noProof/>
        </w:rPr>
        <w:fldChar w:fldCharType="end"/>
      </w:r>
    </w:p>
    <w:p w14:paraId="3011A7EC" w14:textId="468365BF" w:rsidR="00BC0EA4" w:rsidRPr="009D3150" w:rsidRDefault="004805F7" w:rsidP="00BC0EA4">
      <w:pPr>
        <w:pStyle w:val="TOC1"/>
        <w:rPr>
          <w:rFonts w:ascii="Times New Roman" w:hAnsi="Times New Roman"/>
          <w:sz w:val="24"/>
          <w:szCs w:val="24"/>
        </w:rPr>
      </w:pPr>
      <w:r w:rsidRPr="009D3150">
        <w:rPr>
          <w:rFonts w:ascii="Times New Roman" w:hAnsi="Times New Roman"/>
          <w:sz w:val="24"/>
          <w:szCs w:val="24"/>
        </w:rPr>
        <w:fldChar w:fldCharType="end"/>
      </w:r>
    </w:p>
    <w:p w14:paraId="3063DD7B" w14:textId="77777777" w:rsidR="00BC0EA4" w:rsidRPr="009D3150" w:rsidRDefault="00BC0EA4" w:rsidP="00BC0EA4">
      <w:pPr>
        <w:pStyle w:val="Basic11"/>
        <w:rPr>
          <w:sz w:val="24"/>
          <w:szCs w:val="24"/>
        </w:rPr>
      </w:pPr>
      <w:r w:rsidRPr="009D3150">
        <w:rPr>
          <w:sz w:val="24"/>
          <w:szCs w:val="24"/>
        </w:rPr>
        <w:br w:type="page"/>
      </w:r>
    </w:p>
    <w:p w14:paraId="02347BDF" w14:textId="10F84833" w:rsidR="00BC0EA4" w:rsidRPr="00565B45" w:rsidRDefault="00BC0EA4" w:rsidP="00506FE5">
      <w:pPr>
        <w:pStyle w:val="Heading1"/>
        <w:rPr>
          <w:rFonts w:ascii="Times New Roman" w:hAnsi="Times New Roman"/>
          <w:sz w:val="28"/>
          <w:szCs w:val="28"/>
        </w:rPr>
      </w:pPr>
      <w:bookmarkStart w:id="0" w:name="_Toc35611411"/>
      <w:r w:rsidRPr="00565B45">
        <w:rPr>
          <w:rFonts w:ascii="Times New Roman" w:hAnsi="Times New Roman"/>
          <w:sz w:val="28"/>
          <w:szCs w:val="28"/>
        </w:rPr>
        <w:lastRenderedPageBreak/>
        <w:t>LIST OF ABBREVIATIONS</w:t>
      </w:r>
      <w:bookmarkEnd w:id="0"/>
    </w:p>
    <w:p w14:paraId="7B976B10" w14:textId="0B85D7B2" w:rsidR="00071DC5" w:rsidRPr="00071DC5" w:rsidRDefault="00071DC5" w:rsidP="00BB5556">
      <w:pPr>
        <w:spacing w:line="480" w:lineRule="auto"/>
        <w:rPr>
          <w:szCs w:val="24"/>
        </w:rPr>
      </w:pPr>
      <w:r w:rsidRPr="007F34D9">
        <w:rPr>
          <w:szCs w:val="24"/>
        </w:rPr>
        <w:t xml:space="preserve">ADT </w:t>
      </w:r>
      <w:r w:rsidRPr="00071DC5">
        <w:rPr>
          <w:szCs w:val="24"/>
        </w:rPr>
        <w:t>– Androgen deprivation therapy</w:t>
      </w:r>
    </w:p>
    <w:p w14:paraId="15517F2E" w14:textId="5A8024D8" w:rsidR="00071DC5" w:rsidRPr="00071DC5" w:rsidRDefault="00071DC5" w:rsidP="00BB5556">
      <w:pPr>
        <w:spacing w:line="480" w:lineRule="auto"/>
        <w:rPr>
          <w:szCs w:val="24"/>
        </w:rPr>
      </w:pPr>
      <w:r w:rsidRPr="00071DC5">
        <w:rPr>
          <w:szCs w:val="24"/>
        </w:rPr>
        <w:t>AMI – Acute myocardial infarction</w:t>
      </w:r>
    </w:p>
    <w:p w14:paraId="4AFBC9A5" w14:textId="419ED47C" w:rsidR="00FC5C77" w:rsidRDefault="00FC5C77" w:rsidP="00BB5556">
      <w:pPr>
        <w:spacing w:line="480" w:lineRule="auto"/>
        <w:rPr>
          <w:szCs w:val="24"/>
        </w:rPr>
      </w:pPr>
      <w:r>
        <w:rPr>
          <w:szCs w:val="24"/>
        </w:rPr>
        <w:t>ASO – Administrative services only</w:t>
      </w:r>
    </w:p>
    <w:p w14:paraId="0780A892" w14:textId="7D369685" w:rsidR="00FC5C77" w:rsidRDefault="00FC5C77" w:rsidP="00BB5556">
      <w:pPr>
        <w:spacing w:line="480" w:lineRule="auto"/>
        <w:rPr>
          <w:szCs w:val="24"/>
        </w:rPr>
      </w:pPr>
      <w:r>
        <w:rPr>
          <w:szCs w:val="24"/>
        </w:rPr>
        <w:t>AUC – Area under the (receiver operating) curve</w:t>
      </w:r>
    </w:p>
    <w:p w14:paraId="57D10F5E" w14:textId="0CB7F00C" w:rsidR="00BB5556" w:rsidRPr="007F34D9" w:rsidRDefault="00BB5556" w:rsidP="00BB5556">
      <w:pPr>
        <w:spacing w:line="480" w:lineRule="auto"/>
        <w:rPr>
          <w:szCs w:val="24"/>
        </w:rPr>
      </w:pPr>
      <w:r w:rsidRPr="007F34D9">
        <w:rPr>
          <w:szCs w:val="24"/>
        </w:rPr>
        <w:t xml:space="preserve">CCAE – </w:t>
      </w:r>
      <w:r w:rsidR="009914F8">
        <w:rPr>
          <w:szCs w:val="24"/>
        </w:rPr>
        <w:t xml:space="preserve">IBM </w:t>
      </w:r>
      <w:r w:rsidRPr="007F34D9">
        <w:rPr>
          <w:szCs w:val="24"/>
        </w:rPr>
        <w:t>Commercial Claims and Encounters</w:t>
      </w:r>
      <w:r w:rsidR="009914F8">
        <w:rPr>
          <w:szCs w:val="24"/>
        </w:rPr>
        <w:t xml:space="preserve"> database</w:t>
      </w:r>
    </w:p>
    <w:p w14:paraId="0A47719A" w14:textId="1DEB2569" w:rsidR="00BB5556" w:rsidRDefault="00BB5556" w:rsidP="00BB5556">
      <w:pPr>
        <w:spacing w:line="480" w:lineRule="auto"/>
        <w:rPr>
          <w:szCs w:val="24"/>
        </w:rPr>
      </w:pPr>
      <w:r w:rsidRPr="00071DC5">
        <w:rPr>
          <w:szCs w:val="24"/>
        </w:rPr>
        <w:t>CDM – Common Data Model</w:t>
      </w:r>
    </w:p>
    <w:p w14:paraId="6106F7D9" w14:textId="7902E84C" w:rsidR="009914F8" w:rsidRPr="007F34D9" w:rsidRDefault="009914F8" w:rsidP="00BB5556">
      <w:pPr>
        <w:spacing w:line="480" w:lineRule="auto"/>
        <w:rPr>
          <w:szCs w:val="24"/>
        </w:rPr>
      </w:pPr>
      <w:r>
        <w:rPr>
          <w:szCs w:val="24"/>
        </w:rPr>
        <w:t xml:space="preserve">CPT – Current Procedural </w:t>
      </w:r>
      <w:proofErr w:type="spellStart"/>
      <w:r>
        <w:rPr>
          <w:szCs w:val="24"/>
        </w:rPr>
        <w:t>Terminalogy</w:t>
      </w:r>
      <w:proofErr w:type="spellEnd"/>
    </w:p>
    <w:p w14:paraId="5D117293" w14:textId="6B521CE8" w:rsidR="00071DC5" w:rsidRDefault="00071DC5" w:rsidP="00BB5556">
      <w:pPr>
        <w:spacing w:line="480" w:lineRule="auto"/>
        <w:rPr>
          <w:szCs w:val="24"/>
        </w:rPr>
      </w:pPr>
      <w:r w:rsidRPr="00071DC5">
        <w:rPr>
          <w:szCs w:val="24"/>
        </w:rPr>
        <w:t>CRPC - Castration-resistant prostate cancer</w:t>
      </w:r>
    </w:p>
    <w:p w14:paraId="482BD9DB" w14:textId="686E91FA" w:rsidR="00071DC5" w:rsidRDefault="00071DC5" w:rsidP="00BB5556">
      <w:pPr>
        <w:spacing w:line="480" w:lineRule="auto"/>
        <w:rPr>
          <w:szCs w:val="24"/>
        </w:rPr>
      </w:pPr>
      <w:r>
        <w:rPr>
          <w:szCs w:val="24"/>
        </w:rPr>
        <w:t>CVD – Cardiovascular disease</w:t>
      </w:r>
    </w:p>
    <w:p w14:paraId="74E3048D" w14:textId="4B8F0148" w:rsidR="0083524C" w:rsidRDefault="0083524C" w:rsidP="00BB5556">
      <w:pPr>
        <w:spacing w:line="480" w:lineRule="auto"/>
        <w:rPr>
          <w:szCs w:val="24"/>
        </w:rPr>
      </w:pPr>
      <w:r>
        <w:rPr>
          <w:szCs w:val="24"/>
        </w:rPr>
        <w:t>DMF – Death master file</w:t>
      </w:r>
    </w:p>
    <w:p w14:paraId="5458B0E1" w14:textId="34D59B71" w:rsidR="0083524C" w:rsidRDefault="0083524C" w:rsidP="00BB5556">
      <w:pPr>
        <w:spacing w:line="480" w:lineRule="auto"/>
        <w:rPr>
          <w:szCs w:val="24"/>
        </w:rPr>
      </w:pPr>
      <w:r>
        <w:rPr>
          <w:szCs w:val="24"/>
        </w:rPr>
        <w:t>DOD – Date of death</w:t>
      </w:r>
      <w:r w:rsidR="00FC5C77">
        <w:rPr>
          <w:szCs w:val="24"/>
        </w:rPr>
        <w:br/>
        <w:t>ESRD – End-stage renal disease</w:t>
      </w:r>
    </w:p>
    <w:p w14:paraId="01B91EA3" w14:textId="3CDDA526" w:rsidR="00FC5C77" w:rsidRDefault="00FC5C77" w:rsidP="00BB5556">
      <w:pPr>
        <w:spacing w:line="480" w:lineRule="auto"/>
        <w:rPr>
          <w:szCs w:val="24"/>
        </w:rPr>
      </w:pPr>
      <w:r>
        <w:rPr>
          <w:szCs w:val="24"/>
        </w:rPr>
        <w:t>ETL - E</w:t>
      </w:r>
      <w:r w:rsidRPr="00FC5C77">
        <w:rPr>
          <w:szCs w:val="24"/>
        </w:rPr>
        <w:t>xtract, transform, and load</w:t>
      </w:r>
    </w:p>
    <w:p w14:paraId="171B5503" w14:textId="2F303B67" w:rsidR="0083524C" w:rsidRDefault="0083524C" w:rsidP="00BB5556">
      <w:pPr>
        <w:spacing w:line="480" w:lineRule="auto"/>
        <w:rPr>
          <w:szCs w:val="24"/>
        </w:rPr>
      </w:pPr>
      <w:r w:rsidRPr="00013AE8">
        <w:t>FAERS</w:t>
      </w:r>
      <w:r>
        <w:t xml:space="preserve"> - </w:t>
      </w:r>
      <w:r w:rsidRPr="0083524C">
        <w:t>FDA Adverse Event Reporting System</w:t>
      </w:r>
    </w:p>
    <w:p w14:paraId="4FEFE17B" w14:textId="65D7BF56" w:rsidR="00071DC5" w:rsidRDefault="00071DC5" w:rsidP="00BB5556">
      <w:pPr>
        <w:spacing w:line="480" w:lineRule="auto"/>
        <w:rPr>
          <w:szCs w:val="24"/>
        </w:rPr>
      </w:pPr>
      <w:r w:rsidRPr="00E43021">
        <w:rPr>
          <w:szCs w:val="24"/>
        </w:rPr>
        <w:t>GnRH</w:t>
      </w:r>
      <w:r>
        <w:rPr>
          <w:szCs w:val="24"/>
        </w:rPr>
        <w:t xml:space="preserve"> – Gonadotropin-releasing hormones</w:t>
      </w:r>
    </w:p>
    <w:p w14:paraId="20D4440D" w14:textId="17A57550" w:rsidR="009914F8" w:rsidRPr="007F34D9" w:rsidRDefault="009914F8" w:rsidP="00BB5556">
      <w:pPr>
        <w:spacing w:line="480" w:lineRule="auto"/>
        <w:rPr>
          <w:szCs w:val="24"/>
        </w:rPr>
      </w:pPr>
      <w:r>
        <w:rPr>
          <w:szCs w:val="24"/>
        </w:rPr>
        <w:t xml:space="preserve">HCPCS - </w:t>
      </w:r>
      <w:r w:rsidRPr="009914F8">
        <w:rPr>
          <w:szCs w:val="24"/>
        </w:rPr>
        <w:t>Healthcare Common Procedure Coding System</w:t>
      </w:r>
    </w:p>
    <w:p w14:paraId="395BFDF6" w14:textId="41922E04" w:rsidR="00071DC5" w:rsidRDefault="00071DC5" w:rsidP="00BB5556">
      <w:pPr>
        <w:spacing w:line="480" w:lineRule="auto"/>
        <w:rPr>
          <w:szCs w:val="24"/>
        </w:rPr>
      </w:pPr>
      <w:r w:rsidRPr="00071DC5">
        <w:rPr>
          <w:szCs w:val="24"/>
        </w:rPr>
        <w:t>HF – Heart failure</w:t>
      </w:r>
    </w:p>
    <w:p w14:paraId="1FFC32E3" w14:textId="1921F0A6" w:rsidR="009914F8" w:rsidRDefault="009914F8" w:rsidP="00BB5556">
      <w:pPr>
        <w:spacing w:line="480" w:lineRule="auto"/>
        <w:rPr>
          <w:szCs w:val="24"/>
        </w:rPr>
      </w:pPr>
      <w:r>
        <w:rPr>
          <w:szCs w:val="24"/>
        </w:rPr>
        <w:t>ICD – International Classification of Diseases</w:t>
      </w:r>
    </w:p>
    <w:p w14:paraId="4619C9D9" w14:textId="3668FCFF" w:rsidR="0083524C" w:rsidRDefault="0083524C" w:rsidP="00BB5556">
      <w:pPr>
        <w:spacing w:line="480" w:lineRule="auto"/>
        <w:rPr>
          <w:szCs w:val="24"/>
        </w:rPr>
      </w:pPr>
      <w:r>
        <w:rPr>
          <w:szCs w:val="24"/>
        </w:rPr>
        <w:t>IQR – Interquartile range</w:t>
      </w:r>
    </w:p>
    <w:p w14:paraId="74BEA072" w14:textId="71AB586B" w:rsidR="00D3106A" w:rsidRPr="007F34D9" w:rsidRDefault="00D3106A" w:rsidP="00BB5556">
      <w:pPr>
        <w:spacing w:line="480" w:lineRule="auto"/>
        <w:rPr>
          <w:szCs w:val="24"/>
        </w:rPr>
      </w:pPr>
      <w:r>
        <w:rPr>
          <w:szCs w:val="24"/>
        </w:rPr>
        <w:t>IRB – Institutional Review Board</w:t>
      </w:r>
    </w:p>
    <w:p w14:paraId="3C2D8831" w14:textId="77777777" w:rsidR="00BB5556" w:rsidRPr="00071DC5" w:rsidRDefault="00BB5556" w:rsidP="00BB5556">
      <w:pPr>
        <w:spacing w:line="480" w:lineRule="auto"/>
        <w:rPr>
          <w:szCs w:val="24"/>
        </w:rPr>
      </w:pPr>
      <w:r w:rsidRPr="00071DC5">
        <w:rPr>
          <w:szCs w:val="24"/>
        </w:rPr>
        <w:t>ITT – Intent-to-treat</w:t>
      </w:r>
    </w:p>
    <w:p w14:paraId="427C41B2" w14:textId="00BA4A91" w:rsidR="00BB5556" w:rsidRPr="007F34D9" w:rsidRDefault="00BB5556" w:rsidP="00BB5556">
      <w:pPr>
        <w:spacing w:line="480" w:lineRule="auto"/>
        <w:rPr>
          <w:szCs w:val="24"/>
        </w:rPr>
      </w:pPr>
      <w:r w:rsidRPr="00071DC5">
        <w:rPr>
          <w:szCs w:val="24"/>
        </w:rPr>
        <w:t xml:space="preserve">MDCR – </w:t>
      </w:r>
      <w:r w:rsidR="009914F8">
        <w:rPr>
          <w:szCs w:val="24"/>
        </w:rPr>
        <w:t xml:space="preserve">IBM </w:t>
      </w:r>
      <w:r w:rsidRPr="007F34D9">
        <w:rPr>
          <w:szCs w:val="24"/>
        </w:rPr>
        <w:t>Medicar</w:t>
      </w:r>
      <w:r w:rsidRPr="00071DC5">
        <w:rPr>
          <w:szCs w:val="24"/>
        </w:rPr>
        <w:t>e</w:t>
      </w:r>
      <w:r w:rsidR="009914F8">
        <w:rPr>
          <w:szCs w:val="24"/>
        </w:rPr>
        <w:t xml:space="preserve"> Supplemental database</w:t>
      </w:r>
    </w:p>
    <w:p w14:paraId="5FD75466" w14:textId="62CDC576" w:rsidR="00071DC5" w:rsidRPr="00071DC5" w:rsidRDefault="00071DC5" w:rsidP="00BB5556">
      <w:pPr>
        <w:spacing w:line="480" w:lineRule="auto"/>
        <w:rPr>
          <w:szCs w:val="24"/>
        </w:rPr>
      </w:pPr>
      <w:r w:rsidRPr="007F34D9">
        <w:rPr>
          <w:szCs w:val="24"/>
        </w:rPr>
        <w:t xml:space="preserve">MDRR </w:t>
      </w:r>
      <w:r w:rsidRPr="00071DC5">
        <w:rPr>
          <w:szCs w:val="24"/>
        </w:rPr>
        <w:t>– Minimally detectable relative risk</w:t>
      </w:r>
    </w:p>
    <w:p w14:paraId="33F119FD" w14:textId="77777777" w:rsidR="00BB5556" w:rsidRPr="00071DC5" w:rsidRDefault="00BB5556" w:rsidP="00BB5556">
      <w:pPr>
        <w:spacing w:line="480" w:lineRule="auto"/>
        <w:rPr>
          <w:szCs w:val="24"/>
        </w:rPr>
      </w:pPr>
      <w:r w:rsidRPr="00071DC5">
        <w:rPr>
          <w:szCs w:val="24"/>
        </w:rPr>
        <w:lastRenderedPageBreak/>
        <w:t>MedDRA – Medical Dictionary for Regulatory Activities</w:t>
      </w:r>
    </w:p>
    <w:p w14:paraId="437ECDF6" w14:textId="0F3BCB46" w:rsidR="00BB5556" w:rsidRPr="00071DC5" w:rsidRDefault="00BB5556" w:rsidP="00BB5556">
      <w:pPr>
        <w:spacing w:line="480" w:lineRule="auto"/>
        <w:rPr>
          <w:szCs w:val="24"/>
        </w:rPr>
      </w:pPr>
      <w:r w:rsidRPr="00071DC5">
        <w:rPr>
          <w:szCs w:val="24"/>
        </w:rPr>
        <w:t>OMOP – Observational Medical Outcomes Partnership</w:t>
      </w:r>
    </w:p>
    <w:p w14:paraId="03F1EC17" w14:textId="5C1D35A4" w:rsidR="00276712" w:rsidRPr="00071DC5" w:rsidRDefault="00276712" w:rsidP="00BB5556">
      <w:pPr>
        <w:spacing w:line="480" w:lineRule="auto"/>
        <w:rPr>
          <w:szCs w:val="24"/>
        </w:rPr>
      </w:pPr>
      <w:r w:rsidRPr="00071DC5">
        <w:rPr>
          <w:szCs w:val="24"/>
        </w:rPr>
        <w:t>OHDA – Observational Health Data Analytics (department</w:t>
      </w:r>
      <w:r w:rsidR="00762F22" w:rsidRPr="00071DC5">
        <w:rPr>
          <w:szCs w:val="24"/>
        </w:rPr>
        <w:t xml:space="preserve"> within Janssen Research &amp; </w:t>
      </w:r>
      <w:r w:rsidR="00071DC5" w:rsidRPr="00071DC5">
        <w:rPr>
          <w:szCs w:val="24"/>
        </w:rPr>
        <w:t>Development</w:t>
      </w:r>
      <w:r w:rsidRPr="00071DC5">
        <w:rPr>
          <w:szCs w:val="24"/>
        </w:rPr>
        <w:t>)</w:t>
      </w:r>
    </w:p>
    <w:p w14:paraId="71167CD3" w14:textId="31701827" w:rsidR="00071DC5" w:rsidRPr="00071DC5" w:rsidRDefault="00071DC5" w:rsidP="00BB5556">
      <w:pPr>
        <w:spacing w:line="480" w:lineRule="auto"/>
        <w:rPr>
          <w:szCs w:val="24"/>
        </w:rPr>
      </w:pPr>
      <w:r w:rsidRPr="00071DC5">
        <w:rPr>
          <w:szCs w:val="24"/>
        </w:rPr>
        <w:t>OR – Odds ratio</w:t>
      </w:r>
    </w:p>
    <w:p w14:paraId="03EF0C2B" w14:textId="73E89492" w:rsidR="00071DC5" w:rsidRDefault="00071DC5" w:rsidP="00BB5556">
      <w:pPr>
        <w:spacing w:line="480" w:lineRule="auto"/>
        <w:rPr>
          <w:szCs w:val="24"/>
        </w:rPr>
      </w:pPr>
      <w:proofErr w:type="spellStart"/>
      <w:r w:rsidRPr="00071DC5">
        <w:rPr>
          <w:szCs w:val="24"/>
        </w:rPr>
        <w:t>PCa</w:t>
      </w:r>
      <w:proofErr w:type="spellEnd"/>
      <w:r w:rsidRPr="00071DC5">
        <w:rPr>
          <w:szCs w:val="24"/>
        </w:rPr>
        <w:t xml:space="preserve"> – Prostate cancer</w:t>
      </w:r>
      <w:r w:rsidR="00D3106A">
        <w:rPr>
          <w:szCs w:val="24"/>
        </w:rPr>
        <w:br/>
        <w:t>PSADT – Prostate-specific antigen doubling time</w:t>
      </w:r>
    </w:p>
    <w:p w14:paraId="2EF13675" w14:textId="755F8F68" w:rsidR="00FC5C77" w:rsidRDefault="00FC5C77" w:rsidP="00BB5556">
      <w:pPr>
        <w:spacing w:line="480" w:lineRule="auto"/>
        <w:rPr>
          <w:szCs w:val="24"/>
        </w:rPr>
      </w:pPr>
      <w:r>
        <w:rPr>
          <w:szCs w:val="24"/>
        </w:rPr>
        <w:t>ROC – Receiver operating curve</w:t>
      </w:r>
    </w:p>
    <w:p w14:paraId="6E0D9139" w14:textId="1BCB8A7A" w:rsidR="00E30F01" w:rsidRDefault="00E30F01" w:rsidP="00BB5556">
      <w:pPr>
        <w:spacing w:line="480" w:lineRule="auto"/>
        <w:rPr>
          <w:szCs w:val="24"/>
        </w:rPr>
      </w:pPr>
      <w:r>
        <w:rPr>
          <w:szCs w:val="24"/>
        </w:rPr>
        <w:t>RWE – Real-world evidence</w:t>
      </w:r>
    </w:p>
    <w:p w14:paraId="6DA2BD94" w14:textId="4B22131B" w:rsidR="00E30F01" w:rsidRDefault="00E30F01" w:rsidP="00BB5556">
      <w:pPr>
        <w:spacing w:line="480" w:lineRule="auto"/>
        <w:rPr>
          <w:szCs w:val="24"/>
        </w:rPr>
      </w:pPr>
      <w:r>
        <w:rPr>
          <w:szCs w:val="24"/>
        </w:rPr>
        <w:t>RWD – Real-world data</w:t>
      </w:r>
    </w:p>
    <w:p w14:paraId="22BC2753" w14:textId="35F437AC" w:rsidR="0083524C" w:rsidRPr="007F34D9" w:rsidRDefault="0083524C" w:rsidP="00BB5556">
      <w:pPr>
        <w:spacing w:line="480" w:lineRule="auto"/>
        <w:rPr>
          <w:szCs w:val="24"/>
        </w:rPr>
      </w:pPr>
      <w:r>
        <w:rPr>
          <w:szCs w:val="24"/>
        </w:rPr>
        <w:t>SD – Standard deviation</w:t>
      </w:r>
    </w:p>
    <w:p w14:paraId="140732B0" w14:textId="05CB5ADF" w:rsidR="006922DB" w:rsidRDefault="00BB5556" w:rsidP="00BB5556">
      <w:pPr>
        <w:spacing w:line="480" w:lineRule="auto"/>
        <w:rPr>
          <w:szCs w:val="24"/>
        </w:rPr>
      </w:pPr>
      <w:r w:rsidRPr="00071DC5">
        <w:rPr>
          <w:szCs w:val="24"/>
        </w:rPr>
        <w:t>SNOMED – Systematized Nomenclature of Medicine</w:t>
      </w:r>
    </w:p>
    <w:p w14:paraId="4936BDE8" w14:textId="321F39E3" w:rsidR="009914F8" w:rsidRDefault="009914F8" w:rsidP="00BB5556">
      <w:pPr>
        <w:spacing w:line="480" w:lineRule="auto"/>
        <w:rPr>
          <w:szCs w:val="24"/>
        </w:rPr>
      </w:pPr>
      <w:r>
        <w:rPr>
          <w:szCs w:val="24"/>
        </w:rPr>
        <w:t>LOINC</w:t>
      </w:r>
      <w:r w:rsidR="0083524C">
        <w:rPr>
          <w:szCs w:val="24"/>
        </w:rPr>
        <w:t xml:space="preserve"> - </w:t>
      </w:r>
      <w:r w:rsidR="0083524C" w:rsidRPr="0083524C">
        <w:rPr>
          <w:szCs w:val="24"/>
        </w:rPr>
        <w:t>Logical Observation Identifiers Names and Codes</w:t>
      </w:r>
    </w:p>
    <w:p w14:paraId="7C950B7A" w14:textId="77777777" w:rsidR="00BC0EA4" w:rsidRPr="009D3150" w:rsidRDefault="00BC0EA4" w:rsidP="00BC0EA4">
      <w:pPr>
        <w:pStyle w:val="Basic11"/>
        <w:rPr>
          <w:sz w:val="24"/>
          <w:szCs w:val="24"/>
        </w:rPr>
      </w:pPr>
    </w:p>
    <w:p w14:paraId="7CE65202" w14:textId="326ACFFA" w:rsidR="00B7104C" w:rsidRPr="00565B45" w:rsidRDefault="00B7104C" w:rsidP="00506FE5">
      <w:pPr>
        <w:pStyle w:val="Heading1"/>
        <w:rPr>
          <w:rFonts w:ascii="Times New Roman" w:hAnsi="Times New Roman"/>
          <w:sz w:val="28"/>
          <w:szCs w:val="28"/>
        </w:rPr>
      </w:pPr>
      <w:bookmarkStart w:id="1" w:name="_Toc35611412"/>
      <w:r w:rsidRPr="00565B45">
        <w:rPr>
          <w:rFonts w:ascii="Times New Roman" w:hAnsi="Times New Roman"/>
          <w:sz w:val="28"/>
          <w:szCs w:val="28"/>
        </w:rPr>
        <w:t>RESPONSIBLE PARTIES</w:t>
      </w:r>
      <w:bookmarkEnd w:id="1"/>
    </w:p>
    <w:p w14:paraId="2AE51F53" w14:textId="092CB689" w:rsidR="002D4327" w:rsidRPr="009D3150" w:rsidRDefault="002D4327" w:rsidP="00356468">
      <w:pPr>
        <w:pStyle w:val="Heading2"/>
        <w:rPr>
          <w:rFonts w:ascii="Times New Roman" w:hAnsi="Times New Roman"/>
          <w:szCs w:val="24"/>
        </w:rPr>
      </w:pPr>
      <w:bookmarkStart w:id="2" w:name="_Toc35611413"/>
      <w:r w:rsidRPr="009D3150">
        <w:rPr>
          <w:rFonts w:ascii="Times New Roman" w:hAnsi="Times New Roman"/>
          <w:szCs w:val="24"/>
        </w:rPr>
        <w:t>Investigator(s) and Authors</w:t>
      </w:r>
      <w:bookmarkEnd w:id="2"/>
    </w:p>
    <w:p w14:paraId="32EF6BB9" w14:textId="62703393" w:rsidR="002D4327" w:rsidRDefault="00C7580A" w:rsidP="002D4327">
      <w:pPr>
        <w:pStyle w:val="BodyText11"/>
        <w:rPr>
          <w:sz w:val="24"/>
          <w:szCs w:val="24"/>
        </w:rPr>
      </w:pPr>
      <w:r>
        <w:rPr>
          <w:sz w:val="24"/>
          <w:szCs w:val="24"/>
        </w:rPr>
        <w:t xml:space="preserve">Dina Gifkins, PhD, MPH, </w:t>
      </w:r>
      <w:r w:rsidR="00C23AB2">
        <w:rPr>
          <w:sz w:val="24"/>
          <w:szCs w:val="24"/>
        </w:rPr>
        <w:t xml:space="preserve">Senior </w:t>
      </w:r>
      <w:r>
        <w:rPr>
          <w:sz w:val="24"/>
          <w:szCs w:val="24"/>
        </w:rPr>
        <w:t>Director, Epidemiology</w:t>
      </w:r>
    </w:p>
    <w:p w14:paraId="2CFDE22E" w14:textId="2B039E34" w:rsidR="00C7580A" w:rsidRDefault="00C7580A" w:rsidP="002D4327">
      <w:pPr>
        <w:pStyle w:val="BodyText11"/>
        <w:rPr>
          <w:sz w:val="24"/>
          <w:szCs w:val="24"/>
        </w:rPr>
      </w:pPr>
      <w:r>
        <w:rPr>
          <w:sz w:val="24"/>
          <w:szCs w:val="24"/>
        </w:rPr>
        <w:t xml:space="preserve">Bo Fan, MD, Medical Safety Officer, </w:t>
      </w:r>
      <w:r w:rsidR="00592116">
        <w:rPr>
          <w:sz w:val="24"/>
          <w:szCs w:val="24"/>
        </w:rPr>
        <w:t>Global Medical Safety</w:t>
      </w:r>
    </w:p>
    <w:p w14:paraId="3130A311" w14:textId="7D0FCC21" w:rsidR="00C7580A" w:rsidRDefault="00C7580A" w:rsidP="002D4327">
      <w:pPr>
        <w:pStyle w:val="BodyText11"/>
        <w:rPr>
          <w:sz w:val="24"/>
          <w:szCs w:val="24"/>
        </w:rPr>
      </w:pPr>
      <w:r w:rsidRPr="5D4A84C7">
        <w:rPr>
          <w:sz w:val="24"/>
          <w:szCs w:val="24"/>
        </w:rPr>
        <w:t>Chun</w:t>
      </w:r>
      <w:r w:rsidR="00592116" w:rsidRPr="5D4A84C7">
        <w:rPr>
          <w:sz w:val="24"/>
          <w:szCs w:val="24"/>
        </w:rPr>
        <w:t>-yuan Guo, MD, Medical Safety Officer, Global Medical Safety</w:t>
      </w:r>
    </w:p>
    <w:p w14:paraId="24E81632" w14:textId="62171562" w:rsidR="00592116" w:rsidRDefault="00592116" w:rsidP="002D4327">
      <w:pPr>
        <w:pStyle w:val="BodyText11"/>
        <w:rPr>
          <w:sz w:val="24"/>
          <w:szCs w:val="24"/>
        </w:rPr>
      </w:pPr>
      <w:r>
        <w:rPr>
          <w:sz w:val="24"/>
          <w:szCs w:val="24"/>
        </w:rPr>
        <w:t>Gowtham Rao, MD, PhD, Senior Director, Epidemiology Analytics</w:t>
      </w:r>
    </w:p>
    <w:p w14:paraId="2A9C3322" w14:textId="463EF6D7" w:rsidR="00592116" w:rsidRDefault="00592116" w:rsidP="002D4327">
      <w:pPr>
        <w:pStyle w:val="BodyText11"/>
        <w:rPr>
          <w:sz w:val="24"/>
          <w:szCs w:val="24"/>
        </w:rPr>
      </w:pPr>
      <w:r>
        <w:rPr>
          <w:sz w:val="24"/>
          <w:szCs w:val="24"/>
        </w:rPr>
        <w:t xml:space="preserve">Peter De </w:t>
      </w:r>
      <w:proofErr w:type="spellStart"/>
      <w:r>
        <w:rPr>
          <w:sz w:val="24"/>
          <w:szCs w:val="24"/>
        </w:rPr>
        <w:t>Porre</w:t>
      </w:r>
      <w:proofErr w:type="spellEnd"/>
      <w:r>
        <w:rPr>
          <w:sz w:val="24"/>
          <w:szCs w:val="24"/>
        </w:rPr>
        <w:t>, MD, Executive Medical Director, Clinical Oncology</w:t>
      </w:r>
    </w:p>
    <w:p w14:paraId="4BCF7E73" w14:textId="14DE3AB8" w:rsidR="00C7580A" w:rsidRDefault="00C7580A" w:rsidP="002D4327">
      <w:pPr>
        <w:pStyle w:val="BodyText11"/>
        <w:rPr>
          <w:sz w:val="24"/>
          <w:szCs w:val="24"/>
        </w:rPr>
      </w:pPr>
      <w:r>
        <w:rPr>
          <w:sz w:val="24"/>
          <w:szCs w:val="24"/>
        </w:rPr>
        <w:t xml:space="preserve">Gerhard </w:t>
      </w:r>
      <w:proofErr w:type="spellStart"/>
      <w:r>
        <w:rPr>
          <w:sz w:val="24"/>
          <w:szCs w:val="24"/>
        </w:rPr>
        <w:t>Leitz</w:t>
      </w:r>
      <w:proofErr w:type="spellEnd"/>
      <w:r>
        <w:rPr>
          <w:sz w:val="24"/>
          <w:szCs w:val="24"/>
        </w:rPr>
        <w:t>, MD, Director, Clinical Research</w:t>
      </w:r>
    </w:p>
    <w:p w14:paraId="2C7F6C54" w14:textId="569B8EF5" w:rsidR="00C7580A" w:rsidRDefault="00C7580A" w:rsidP="002D4327">
      <w:pPr>
        <w:pStyle w:val="BodyText11"/>
        <w:rPr>
          <w:sz w:val="24"/>
          <w:szCs w:val="24"/>
        </w:rPr>
      </w:pPr>
      <w:r>
        <w:rPr>
          <w:sz w:val="24"/>
          <w:szCs w:val="24"/>
        </w:rPr>
        <w:t xml:space="preserve">Suneel </w:t>
      </w:r>
      <w:proofErr w:type="spellStart"/>
      <w:r>
        <w:rPr>
          <w:sz w:val="24"/>
          <w:szCs w:val="24"/>
        </w:rPr>
        <w:t>Mundle</w:t>
      </w:r>
      <w:proofErr w:type="spellEnd"/>
      <w:r>
        <w:rPr>
          <w:sz w:val="24"/>
          <w:szCs w:val="24"/>
        </w:rPr>
        <w:t>, MD, Global Medical Affairs Leader</w:t>
      </w:r>
    </w:p>
    <w:p w14:paraId="28C824AC" w14:textId="16659F3B" w:rsidR="000D652B" w:rsidRDefault="000D652B" w:rsidP="002D4327">
      <w:pPr>
        <w:pStyle w:val="BodyText11"/>
        <w:rPr>
          <w:sz w:val="24"/>
          <w:szCs w:val="24"/>
        </w:rPr>
      </w:pPr>
      <w:r>
        <w:rPr>
          <w:sz w:val="24"/>
          <w:szCs w:val="24"/>
        </w:rPr>
        <w:t>Mitchell M. Conover, PhD, Manager, Observational Health Data Analytics</w:t>
      </w:r>
    </w:p>
    <w:p w14:paraId="539A57E0" w14:textId="4E605423" w:rsidR="000D652B" w:rsidRDefault="000D652B" w:rsidP="002D4327">
      <w:pPr>
        <w:pStyle w:val="BodyText11"/>
        <w:rPr>
          <w:sz w:val="24"/>
          <w:szCs w:val="24"/>
        </w:rPr>
      </w:pPr>
      <w:r>
        <w:rPr>
          <w:sz w:val="24"/>
          <w:szCs w:val="24"/>
        </w:rPr>
        <w:t xml:space="preserve">James Weaver, </w:t>
      </w:r>
      <w:r w:rsidRPr="000D652B">
        <w:rPr>
          <w:sz w:val="24"/>
          <w:szCs w:val="24"/>
        </w:rPr>
        <w:t>Associate Director, Observational Health Data Analytics</w:t>
      </w:r>
    </w:p>
    <w:p w14:paraId="546F45C3" w14:textId="5F512B1C" w:rsidR="00592116" w:rsidRPr="00592116" w:rsidRDefault="00592116" w:rsidP="002D4327">
      <w:pPr>
        <w:pStyle w:val="BodyText11"/>
        <w:rPr>
          <w:i/>
          <w:sz w:val="24"/>
          <w:szCs w:val="24"/>
        </w:rPr>
      </w:pPr>
      <w:r w:rsidRPr="00592116">
        <w:rPr>
          <w:i/>
          <w:sz w:val="24"/>
          <w:szCs w:val="24"/>
        </w:rPr>
        <w:t>(others please add)</w:t>
      </w:r>
    </w:p>
    <w:p w14:paraId="2604775E" w14:textId="53FD9590" w:rsidR="002D4327" w:rsidRPr="009D3150" w:rsidRDefault="002D4327" w:rsidP="00356468">
      <w:pPr>
        <w:pStyle w:val="Heading2"/>
        <w:rPr>
          <w:rFonts w:ascii="Times New Roman" w:hAnsi="Times New Roman"/>
          <w:szCs w:val="24"/>
        </w:rPr>
      </w:pPr>
      <w:bookmarkStart w:id="3" w:name="_Toc35611414"/>
      <w:r w:rsidRPr="009D3150">
        <w:rPr>
          <w:rFonts w:ascii="Times New Roman" w:hAnsi="Times New Roman"/>
          <w:szCs w:val="24"/>
        </w:rPr>
        <w:lastRenderedPageBreak/>
        <w:t>Sponsor</w:t>
      </w:r>
      <w:bookmarkEnd w:id="3"/>
    </w:p>
    <w:p w14:paraId="11007719" w14:textId="77777777" w:rsidR="003F3A2E" w:rsidRPr="009D3150" w:rsidRDefault="003F3A2E" w:rsidP="003F3A2E">
      <w:pPr>
        <w:pStyle w:val="TitlePage"/>
        <w:spacing w:line="480" w:lineRule="auto"/>
        <w:rPr>
          <w:iCs/>
          <w:szCs w:val="24"/>
        </w:rPr>
      </w:pPr>
      <w:r w:rsidRPr="009D3150">
        <w:rPr>
          <w:iCs/>
          <w:szCs w:val="24"/>
        </w:rPr>
        <w:t>Paul Chang, MD, Chief Safety Officer, Pharmaceuticals, Janssen Research and Development</w:t>
      </w:r>
    </w:p>
    <w:p w14:paraId="59E5B4E6" w14:textId="2E253DF5" w:rsidR="003F3A2E" w:rsidRDefault="003F3A2E" w:rsidP="003F3A2E">
      <w:pPr>
        <w:pStyle w:val="TitlePage"/>
        <w:spacing w:line="480" w:lineRule="auto"/>
        <w:rPr>
          <w:iCs/>
          <w:szCs w:val="24"/>
        </w:rPr>
      </w:pPr>
      <w:r w:rsidRPr="009D3150">
        <w:rPr>
          <w:iCs/>
          <w:szCs w:val="24"/>
        </w:rPr>
        <w:t>Paul Stang, PhD, Vice President, Global Epidemiology, Pharmaceuticals, Janssen Research and Development</w:t>
      </w:r>
    </w:p>
    <w:p w14:paraId="0343CC89" w14:textId="77777777" w:rsidR="00921B0F" w:rsidRPr="009D3150" w:rsidRDefault="00921B0F" w:rsidP="003F3A2E">
      <w:pPr>
        <w:pStyle w:val="TitlePage"/>
        <w:spacing w:line="480" w:lineRule="auto"/>
        <w:rPr>
          <w:iCs/>
          <w:szCs w:val="24"/>
        </w:rPr>
      </w:pPr>
    </w:p>
    <w:p w14:paraId="77BEE878" w14:textId="2B9F9BC7" w:rsidR="002D4327" w:rsidRPr="00922AF2" w:rsidRDefault="002D4327" w:rsidP="00922AF2">
      <w:pPr>
        <w:pStyle w:val="Heading1"/>
        <w:rPr>
          <w:sz w:val="28"/>
          <w:szCs w:val="28"/>
        </w:rPr>
      </w:pPr>
      <w:bookmarkStart w:id="4" w:name="_Toc35611415"/>
      <w:r w:rsidRPr="00922AF2">
        <w:rPr>
          <w:rFonts w:ascii="Times New Roman" w:hAnsi="Times New Roman"/>
          <w:sz w:val="28"/>
          <w:szCs w:val="28"/>
        </w:rPr>
        <w:t xml:space="preserve">AMENDMENTS AND </w:t>
      </w:r>
      <w:r w:rsidRPr="007F34D9">
        <w:rPr>
          <w:rFonts w:ascii="Times New Roman" w:hAnsi="Times New Roman"/>
          <w:sz w:val="28"/>
          <w:szCs w:val="28"/>
        </w:rPr>
        <w:t>UPDATES</w:t>
      </w:r>
      <w:bookmarkEnd w:id="4"/>
    </w:p>
    <w:tbl>
      <w:tblPr>
        <w:tblStyle w:val="TableGrid"/>
        <w:tblW w:w="9577" w:type="dxa"/>
        <w:tblLook w:val="04A0" w:firstRow="1" w:lastRow="0" w:firstColumn="1" w:lastColumn="0" w:noHBand="0" w:noVBand="1"/>
      </w:tblPr>
      <w:tblGrid>
        <w:gridCol w:w="1070"/>
        <w:gridCol w:w="1074"/>
        <w:gridCol w:w="2476"/>
        <w:gridCol w:w="2482"/>
        <w:gridCol w:w="2475"/>
      </w:tblGrid>
      <w:tr w:rsidR="005D2306" w:rsidRPr="009D3150" w14:paraId="6492D0A1" w14:textId="77777777" w:rsidTr="005D2306">
        <w:trPr>
          <w:tblHeader/>
        </w:trPr>
        <w:tc>
          <w:tcPr>
            <w:tcW w:w="1008" w:type="dxa"/>
            <w:shd w:val="clear" w:color="auto" w:fill="D9D9D9" w:themeFill="background1" w:themeFillShade="D9"/>
          </w:tcPr>
          <w:p w14:paraId="71E93662" w14:textId="77777777" w:rsidR="005D2306" w:rsidRPr="009D3150" w:rsidRDefault="005D2306" w:rsidP="005D2306">
            <w:pPr>
              <w:pStyle w:val="Basic11"/>
              <w:keepNext/>
              <w:rPr>
                <w:b/>
                <w:sz w:val="24"/>
                <w:szCs w:val="24"/>
              </w:rPr>
            </w:pPr>
            <w:r w:rsidRPr="009D3150">
              <w:rPr>
                <w:b/>
                <w:sz w:val="24"/>
                <w:szCs w:val="24"/>
              </w:rPr>
              <w:t>Number</w:t>
            </w:r>
          </w:p>
        </w:tc>
        <w:tc>
          <w:tcPr>
            <w:tcW w:w="1080" w:type="dxa"/>
            <w:shd w:val="clear" w:color="auto" w:fill="D9D9D9" w:themeFill="background1" w:themeFillShade="D9"/>
          </w:tcPr>
          <w:p w14:paraId="1AD831EF" w14:textId="77777777" w:rsidR="005D2306" w:rsidRPr="009D3150" w:rsidRDefault="005D2306" w:rsidP="005D2306">
            <w:pPr>
              <w:pStyle w:val="Basic11"/>
              <w:keepNext/>
              <w:rPr>
                <w:b/>
                <w:sz w:val="24"/>
                <w:szCs w:val="24"/>
              </w:rPr>
            </w:pPr>
            <w:r w:rsidRPr="009D3150">
              <w:rPr>
                <w:b/>
                <w:sz w:val="24"/>
                <w:szCs w:val="24"/>
              </w:rPr>
              <w:t>Date</w:t>
            </w:r>
          </w:p>
        </w:tc>
        <w:tc>
          <w:tcPr>
            <w:tcW w:w="2496" w:type="dxa"/>
            <w:shd w:val="clear" w:color="auto" w:fill="D9D9D9" w:themeFill="background1" w:themeFillShade="D9"/>
          </w:tcPr>
          <w:p w14:paraId="730059B0" w14:textId="77777777" w:rsidR="005D2306" w:rsidRPr="009D3150" w:rsidRDefault="005D2306" w:rsidP="005D2306">
            <w:pPr>
              <w:pStyle w:val="Basic11"/>
              <w:keepNext/>
              <w:rPr>
                <w:b/>
                <w:sz w:val="24"/>
                <w:szCs w:val="24"/>
              </w:rPr>
            </w:pPr>
            <w:r w:rsidRPr="009D3150">
              <w:rPr>
                <w:b/>
                <w:sz w:val="24"/>
                <w:szCs w:val="24"/>
              </w:rPr>
              <w:t xml:space="preserve">Section of </w:t>
            </w:r>
            <w:r w:rsidR="00687AB5" w:rsidRPr="009D3150">
              <w:rPr>
                <w:b/>
                <w:sz w:val="24"/>
                <w:szCs w:val="24"/>
              </w:rPr>
              <w:t>S</w:t>
            </w:r>
            <w:r w:rsidRPr="009D3150">
              <w:rPr>
                <w:b/>
                <w:sz w:val="24"/>
                <w:szCs w:val="24"/>
              </w:rPr>
              <w:t xml:space="preserve">tudy </w:t>
            </w:r>
            <w:r w:rsidR="00687AB5" w:rsidRPr="009D3150">
              <w:rPr>
                <w:b/>
                <w:sz w:val="24"/>
                <w:szCs w:val="24"/>
              </w:rPr>
              <w:t>P</w:t>
            </w:r>
            <w:r w:rsidRPr="009D3150">
              <w:rPr>
                <w:b/>
                <w:sz w:val="24"/>
                <w:szCs w:val="24"/>
              </w:rPr>
              <w:t>rotocol</w:t>
            </w:r>
          </w:p>
        </w:tc>
        <w:tc>
          <w:tcPr>
            <w:tcW w:w="2496" w:type="dxa"/>
            <w:shd w:val="clear" w:color="auto" w:fill="D9D9D9" w:themeFill="background1" w:themeFillShade="D9"/>
          </w:tcPr>
          <w:p w14:paraId="6F7DBA28" w14:textId="77777777" w:rsidR="005D2306" w:rsidRPr="009D3150" w:rsidRDefault="005D2306" w:rsidP="005D2306">
            <w:pPr>
              <w:pStyle w:val="Basic11"/>
              <w:keepNext/>
              <w:rPr>
                <w:b/>
                <w:sz w:val="24"/>
                <w:szCs w:val="24"/>
              </w:rPr>
            </w:pPr>
            <w:r w:rsidRPr="009D3150">
              <w:rPr>
                <w:b/>
                <w:sz w:val="24"/>
                <w:szCs w:val="24"/>
              </w:rPr>
              <w:t xml:space="preserve">Amendment or </w:t>
            </w:r>
            <w:r w:rsidR="00687AB5" w:rsidRPr="009D3150">
              <w:rPr>
                <w:b/>
                <w:sz w:val="24"/>
                <w:szCs w:val="24"/>
              </w:rPr>
              <w:t>U</w:t>
            </w:r>
            <w:r w:rsidRPr="009D3150">
              <w:rPr>
                <w:b/>
                <w:sz w:val="24"/>
                <w:szCs w:val="24"/>
              </w:rPr>
              <w:t>pdate</w:t>
            </w:r>
          </w:p>
        </w:tc>
        <w:tc>
          <w:tcPr>
            <w:tcW w:w="2497" w:type="dxa"/>
            <w:shd w:val="clear" w:color="auto" w:fill="D9D9D9" w:themeFill="background1" w:themeFillShade="D9"/>
          </w:tcPr>
          <w:p w14:paraId="455B8F3C" w14:textId="77777777" w:rsidR="005D2306" w:rsidRPr="009D3150" w:rsidRDefault="005D2306" w:rsidP="005D2306">
            <w:pPr>
              <w:pStyle w:val="Basic11"/>
              <w:keepNext/>
              <w:rPr>
                <w:b/>
                <w:sz w:val="24"/>
                <w:szCs w:val="24"/>
              </w:rPr>
            </w:pPr>
            <w:r w:rsidRPr="009D3150">
              <w:rPr>
                <w:b/>
                <w:sz w:val="24"/>
                <w:szCs w:val="24"/>
              </w:rPr>
              <w:t>Reason</w:t>
            </w:r>
          </w:p>
        </w:tc>
      </w:tr>
      <w:tr w:rsidR="005D2306" w:rsidRPr="009D3150" w14:paraId="68FDDAE8" w14:textId="77777777" w:rsidTr="005D2306">
        <w:tc>
          <w:tcPr>
            <w:tcW w:w="1008" w:type="dxa"/>
          </w:tcPr>
          <w:p w14:paraId="6F5A968A" w14:textId="77777777" w:rsidR="005D2306" w:rsidRPr="009D3150" w:rsidRDefault="004557AA" w:rsidP="005D2306">
            <w:pPr>
              <w:pStyle w:val="Basic11"/>
              <w:rPr>
                <w:sz w:val="24"/>
                <w:szCs w:val="24"/>
              </w:rPr>
            </w:pPr>
            <w:r w:rsidRPr="009D3150">
              <w:rPr>
                <w:sz w:val="24"/>
                <w:szCs w:val="24"/>
              </w:rPr>
              <w:t>1</w:t>
            </w:r>
          </w:p>
        </w:tc>
        <w:tc>
          <w:tcPr>
            <w:tcW w:w="1080" w:type="dxa"/>
          </w:tcPr>
          <w:p w14:paraId="014E151D" w14:textId="77777777" w:rsidR="005D2306" w:rsidRPr="009D3150" w:rsidRDefault="005D2306" w:rsidP="005D2306">
            <w:pPr>
              <w:pStyle w:val="Basic11"/>
              <w:rPr>
                <w:sz w:val="24"/>
                <w:szCs w:val="24"/>
              </w:rPr>
            </w:pPr>
          </w:p>
        </w:tc>
        <w:tc>
          <w:tcPr>
            <w:tcW w:w="2496" w:type="dxa"/>
          </w:tcPr>
          <w:p w14:paraId="2B8C9915" w14:textId="77777777" w:rsidR="005D2306" w:rsidRPr="009D3150" w:rsidRDefault="005D2306" w:rsidP="005D2306">
            <w:pPr>
              <w:pStyle w:val="Basic11"/>
              <w:rPr>
                <w:sz w:val="24"/>
                <w:szCs w:val="24"/>
              </w:rPr>
            </w:pPr>
          </w:p>
        </w:tc>
        <w:tc>
          <w:tcPr>
            <w:tcW w:w="2496" w:type="dxa"/>
          </w:tcPr>
          <w:p w14:paraId="4BD9802A" w14:textId="77777777" w:rsidR="005D2306" w:rsidRPr="009D3150" w:rsidRDefault="005D2306" w:rsidP="005D2306">
            <w:pPr>
              <w:pStyle w:val="Basic11"/>
              <w:rPr>
                <w:sz w:val="24"/>
                <w:szCs w:val="24"/>
              </w:rPr>
            </w:pPr>
          </w:p>
        </w:tc>
        <w:tc>
          <w:tcPr>
            <w:tcW w:w="2497" w:type="dxa"/>
          </w:tcPr>
          <w:p w14:paraId="72169FD0" w14:textId="77777777" w:rsidR="005D2306" w:rsidRPr="009D3150" w:rsidRDefault="005D2306" w:rsidP="005D2306">
            <w:pPr>
              <w:pStyle w:val="Basic11"/>
              <w:rPr>
                <w:sz w:val="24"/>
                <w:szCs w:val="24"/>
              </w:rPr>
            </w:pPr>
          </w:p>
        </w:tc>
      </w:tr>
      <w:tr w:rsidR="005D2306" w:rsidRPr="009D3150" w14:paraId="295CD6AD" w14:textId="77777777" w:rsidTr="005D2306">
        <w:tc>
          <w:tcPr>
            <w:tcW w:w="1008" w:type="dxa"/>
          </w:tcPr>
          <w:p w14:paraId="6DC3E94B" w14:textId="77777777" w:rsidR="005D2306" w:rsidRPr="009D3150" w:rsidRDefault="004557AA" w:rsidP="005D2306">
            <w:pPr>
              <w:pStyle w:val="Basic11"/>
              <w:rPr>
                <w:sz w:val="24"/>
                <w:szCs w:val="24"/>
              </w:rPr>
            </w:pPr>
            <w:r w:rsidRPr="009D3150">
              <w:rPr>
                <w:sz w:val="24"/>
                <w:szCs w:val="24"/>
              </w:rPr>
              <w:t>2</w:t>
            </w:r>
          </w:p>
        </w:tc>
        <w:tc>
          <w:tcPr>
            <w:tcW w:w="1080" w:type="dxa"/>
          </w:tcPr>
          <w:p w14:paraId="0FD9DB7C" w14:textId="77777777" w:rsidR="005D2306" w:rsidRPr="009D3150" w:rsidRDefault="005D2306" w:rsidP="005D2306">
            <w:pPr>
              <w:pStyle w:val="Basic11"/>
              <w:rPr>
                <w:sz w:val="24"/>
                <w:szCs w:val="24"/>
              </w:rPr>
            </w:pPr>
          </w:p>
        </w:tc>
        <w:tc>
          <w:tcPr>
            <w:tcW w:w="2496" w:type="dxa"/>
          </w:tcPr>
          <w:p w14:paraId="33C5D3A1" w14:textId="77777777" w:rsidR="005D2306" w:rsidRPr="009D3150" w:rsidRDefault="005D2306" w:rsidP="005D2306">
            <w:pPr>
              <w:pStyle w:val="Basic11"/>
              <w:rPr>
                <w:sz w:val="24"/>
                <w:szCs w:val="24"/>
              </w:rPr>
            </w:pPr>
          </w:p>
        </w:tc>
        <w:tc>
          <w:tcPr>
            <w:tcW w:w="2496" w:type="dxa"/>
          </w:tcPr>
          <w:p w14:paraId="47548814" w14:textId="77777777" w:rsidR="005D2306" w:rsidRPr="009D3150" w:rsidRDefault="005D2306" w:rsidP="005D2306">
            <w:pPr>
              <w:pStyle w:val="Basic11"/>
              <w:rPr>
                <w:sz w:val="24"/>
                <w:szCs w:val="24"/>
              </w:rPr>
            </w:pPr>
          </w:p>
        </w:tc>
        <w:tc>
          <w:tcPr>
            <w:tcW w:w="2497" w:type="dxa"/>
          </w:tcPr>
          <w:p w14:paraId="10F530C6" w14:textId="77777777" w:rsidR="005D2306" w:rsidRPr="009D3150" w:rsidRDefault="005D2306" w:rsidP="005D2306">
            <w:pPr>
              <w:pStyle w:val="Basic11"/>
              <w:rPr>
                <w:sz w:val="24"/>
                <w:szCs w:val="24"/>
              </w:rPr>
            </w:pPr>
          </w:p>
        </w:tc>
      </w:tr>
    </w:tbl>
    <w:p w14:paraId="69A46DE8" w14:textId="77777777" w:rsidR="002D4327" w:rsidRPr="009D3150" w:rsidRDefault="002D4327" w:rsidP="00922AF2">
      <w:pPr>
        <w:pStyle w:val="BodyText11"/>
        <w:spacing w:before="120" w:after="240"/>
        <w:rPr>
          <w:sz w:val="24"/>
          <w:szCs w:val="24"/>
        </w:rPr>
      </w:pPr>
    </w:p>
    <w:p w14:paraId="23FA6323" w14:textId="0E122F7D" w:rsidR="00D314F9" w:rsidRPr="00921B0F" w:rsidRDefault="005D2306" w:rsidP="007F34D9">
      <w:pPr>
        <w:pStyle w:val="Heading1"/>
        <w:rPr>
          <w:rFonts w:ascii="Times New Roman" w:hAnsi="Times New Roman"/>
          <w:sz w:val="28"/>
          <w:szCs w:val="28"/>
        </w:rPr>
      </w:pPr>
      <w:bookmarkStart w:id="5" w:name="_Toc35611416"/>
      <w:r w:rsidRPr="007F34D9">
        <w:rPr>
          <w:rFonts w:ascii="Times New Roman" w:hAnsi="Times New Roman"/>
          <w:sz w:val="28"/>
          <w:szCs w:val="28"/>
        </w:rPr>
        <w:t>RATIONALE AND BACKGROUND</w:t>
      </w:r>
      <w:bookmarkEnd w:id="5"/>
    </w:p>
    <w:p w14:paraId="2E615B82" w14:textId="648F7C59" w:rsidR="00D314F9" w:rsidRPr="00E43021" w:rsidRDefault="00D314F9" w:rsidP="00D314F9">
      <w:pPr>
        <w:pStyle w:val="BodyText12"/>
        <w:rPr>
          <w:rFonts w:eastAsia="Verdana"/>
          <w:szCs w:val="24"/>
          <w:lang w:val="en-GB"/>
        </w:rPr>
      </w:pPr>
      <w:r w:rsidRPr="00E43021">
        <w:rPr>
          <w:rFonts w:eastAsia="Verdana"/>
          <w:szCs w:val="24"/>
          <w:lang w:val="en-GB"/>
        </w:rPr>
        <w:t>Prostate cancer (</w:t>
      </w:r>
      <w:proofErr w:type="spellStart"/>
      <w:r w:rsidRPr="00E43021">
        <w:rPr>
          <w:rFonts w:eastAsia="Verdana"/>
          <w:szCs w:val="24"/>
          <w:lang w:val="en-GB"/>
        </w:rPr>
        <w:t>PCa</w:t>
      </w:r>
      <w:proofErr w:type="spellEnd"/>
      <w:r w:rsidRPr="00E43021">
        <w:rPr>
          <w:rFonts w:eastAsia="Verdana"/>
          <w:szCs w:val="24"/>
          <w:lang w:val="en-GB"/>
        </w:rPr>
        <w:t xml:space="preserve">) is second most common cancer among men and is the most frequently diagnosed cancer in 105 countries, with an estimated </w:t>
      </w:r>
      <w:r w:rsidRPr="00E43021">
        <w:rPr>
          <w:rFonts w:eastAsia="Verdana"/>
          <w:bCs/>
          <w:szCs w:val="24"/>
          <w:lang w:val="en-GB"/>
        </w:rPr>
        <w:t xml:space="preserve">1,276,106 </w:t>
      </w:r>
      <w:r w:rsidRPr="00E43021">
        <w:rPr>
          <w:rFonts w:eastAsia="Verdana"/>
          <w:szCs w:val="24"/>
          <w:lang w:val="en-GB"/>
        </w:rPr>
        <w:t xml:space="preserve">new cases diagnosed in 2018 (approximately 7% of all incident cancer cases) </w:t>
      </w:r>
      <w:r w:rsidRPr="00E43021">
        <w:rPr>
          <w:rFonts w:eastAsia="Verdana"/>
          <w:szCs w:val="24"/>
          <w:lang w:val="en-GB"/>
        </w:rPr>
        <w:fldChar w:fldCharType="begin">
          <w:fldData xml:space="preserve">PEVuZE5vdGU+PENpdGU+PEF1dGhvcj5CcmF5PC9BdXRob3I+PFllYXI+MjAxODwvWWVhcj48UmVj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</w:fldData>
        </w:fldChar>
      </w:r>
      <w:r w:rsidRPr="00E43021">
        <w:rPr>
          <w:rFonts w:eastAsia="Verdana"/>
          <w:szCs w:val="24"/>
          <w:lang w:val="en-GB"/>
        </w:rPr>
        <w:instrText xml:space="preserve"> ADDIN EN.CITE </w:instrText>
      </w:r>
      <w:r w:rsidRPr="00E43021">
        <w:rPr>
          <w:rFonts w:eastAsia="Verdana"/>
          <w:szCs w:val="24"/>
          <w:lang w:val="en-GB"/>
        </w:rPr>
        <w:fldChar w:fldCharType="begin">
          <w:fldData xml:space="preserve">PEVuZE5vdGU+PENpdGU+PEF1dGhvcj5CcmF5PC9BdXRob3I+PFllYXI+MjAxODwvWWVhcj48UmVj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</w:fldData>
        </w:fldChar>
      </w:r>
      <w:r w:rsidRPr="00E43021">
        <w:rPr>
          <w:rFonts w:eastAsia="Verdana"/>
          <w:szCs w:val="24"/>
          <w:lang w:val="en-GB"/>
        </w:rPr>
        <w:instrText xml:space="preserve"> ADDIN EN.CITE.DATA </w:instrText>
      </w:r>
      <w:r w:rsidRPr="00E43021">
        <w:rPr>
          <w:rFonts w:eastAsia="Verdana"/>
          <w:szCs w:val="24"/>
          <w:lang w:val="en-GB"/>
        </w:rPr>
      </w:r>
      <w:r w:rsidRPr="00E43021">
        <w:rPr>
          <w:rFonts w:eastAsia="Verdana"/>
          <w:szCs w:val="24"/>
          <w:lang w:val="en-GB"/>
        </w:rPr>
        <w:fldChar w:fldCharType="end"/>
      </w:r>
      <w:r w:rsidRPr="00E43021">
        <w:rPr>
          <w:rFonts w:eastAsia="Verdana"/>
          <w:szCs w:val="24"/>
          <w:lang w:val="en-GB"/>
        </w:rPr>
      </w:r>
      <w:r w:rsidRPr="00E43021">
        <w:rPr>
          <w:rFonts w:eastAsia="Verdana"/>
          <w:szCs w:val="24"/>
          <w:lang w:val="en-GB"/>
        </w:rPr>
        <w:fldChar w:fldCharType="separate"/>
      </w:r>
      <w:r w:rsidRPr="00E43021">
        <w:rPr>
          <w:rFonts w:eastAsia="Verdana"/>
          <w:noProof/>
          <w:szCs w:val="24"/>
          <w:lang w:val="en-GB"/>
        </w:rPr>
        <w:t>(Bray et al. 2018)</w:t>
      </w:r>
      <w:r w:rsidRPr="00E43021">
        <w:rPr>
          <w:rFonts w:eastAsia="Verdana"/>
          <w:szCs w:val="24"/>
          <w:lang w:val="en-GB"/>
        </w:rPr>
        <w:fldChar w:fldCharType="end"/>
      </w:r>
      <w:r w:rsidRPr="00E43021">
        <w:rPr>
          <w:rFonts w:eastAsia="Verdana"/>
          <w:szCs w:val="24"/>
          <w:lang w:val="en-GB"/>
        </w:rPr>
        <w:t xml:space="preserve">, for an age standardized incidence risk of </w:t>
      </w:r>
      <w:r w:rsidRPr="00E43021">
        <w:rPr>
          <w:rFonts w:eastAsia="Verdana"/>
          <w:szCs w:val="24"/>
        </w:rPr>
        <w:t>29.3/100,000 population</w:t>
      </w:r>
      <w:r w:rsidR="0024020C" w:rsidRPr="00E43021">
        <w:rPr>
          <w:rFonts w:eastAsia="Verdana"/>
          <w:szCs w:val="24"/>
        </w:rPr>
        <w:t>.</w:t>
      </w:r>
      <w:r w:rsidRPr="00E43021">
        <w:rPr>
          <w:rFonts w:eastAsia="Verdana"/>
          <w:szCs w:val="24"/>
          <w:lang w:val="en-GB"/>
        </w:rPr>
        <w:t xml:space="preserve"> For 2010-2014 the age–adjusted incidence rate of prostate cancer in the US was 126.7/100,000 </w:t>
      </w:r>
      <w:r w:rsidRPr="00E43021">
        <w:rPr>
          <w:rFonts w:eastAsia="Verdana"/>
          <w:noProof/>
          <w:szCs w:val="24"/>
          <w:lang w:val="en-GB"/>
        </w:rPr>
        <w:t>(Howlader, 2017)</w:t>
      </w:r>
      <w:r w:rsidRPr="00E43021">
        <w:rPr>
          <w:rFonts w:eastAsia="Verdana"/>
          <w:szCs w:val="24"/>
          <w:lang w:val="en-GB"/>
        </w:rPr>
        <w:t xml:space="preserve">. </w:t>
      </w:r>
      <w:r w:rsidR="0024020C" w:rsidRPr="00E43021">
        <w:rPr>
          <w:rFonts w:eastAsia="Verdana"/>
          <w:szCs w:val="24"/>
          <w:lang w:val="en-GB"/>
        </w:rPr>
        <w:t>Prostate cancer occurs primarily in older men, with the highest incidence rates in the US being in the 70-74 age group at 673.1</w:t>
      </w:r>
      <w:r w:rsidR="0024020C" w:rsidRPr="00E43021" w:rsidDel="00F5776D">
        <w:rPr>
          <w:rFonts w:eastAsia="Verdana"/>
          <w:szCs w:val="24"/>
          <w:lang w:val="en-GB"/>
        </w:rPr>
        <w:t xml:space="preserve"> </w:t>
      </w:r>
      <w:r w:rsidR="0024020C" w:rsidRPr="00E43021">
        <w:rPr>
          <w:rFonts w:eastAsia="Verdana"/>
          <w:szCs w:val="24"/>
          <w:lang w:val="en-GB"/>
        </w:rPr>
        <w:t>/100,000, and 65-69 years at 651.7</w:t>
      </w:r>
      <w:r w:rsidR="0024020C" w:rsidRPr="00E43021" w:rsidDel="00EB59DF">
        <w:rPr>
          <w:rFonts w:eastAsia="Verdana"/>
          <w:szCs w:val="24"/>
          <w:lang w:val="en-GB"/>
        </w:rPr>
        <w:t xml:space="preserve"> </w:t>
      </w:r>
      <w:r w:rsidR="0024020C" w:rsidRPr="00E43021">
        <w:rPr>
          <w:rFonts w:eastAsia="Verdana"/>
          <w:szCs w:val="24"/>
          <w:lang w:val="en-GB"/>
        </w:rPr>
        <w:t xml:space="preserve">/100,000, There were almost no occurrences below the age of 40, and the incidence rate for ages 45-49 in 2011-2015was 36.0/100,000 population </w:t>
      </w:r>
      <w:r w:rsidR="0024020C" w:rsidRPr="00E43021">
        <w:rPr>
          <w:rFonts w:eastAsia="Verdana"/>
          <w:szCs w:val="24"/>
          <w:lang w:val="en-GB"/>
        </w:rPr>
        <w:fldChar w:fldCharType="begin"/>
      </w:r>
      <w:r w:rsidR="0024020C" w:rsidRPr="00E43021">
        <w:rPr>
          <w:rFonts w:eastAsia="Verdana"/>
          <w:szCs w:val="24"/>
          <w:lang w:val="en-GB"/>
        </w:rPr>
        <w:instrText xml:space="preserve"> ADDIN EN.CITE &lt;EndNote&gt;&lt;Cite&gt;&lt;Author&gt;Noone AM&lt;/Author&gt;&lt;Year&gt;2018&lt;/Year&gt;&lt;RecNum&gt;2346&lt;/RecNum&gt;&lt;DisplayText&gt;(Noone AM et al. 2018)&lt;/DisplayText&gt;&lt;record&gt;&lt;rec-number&gt;2346&lt;/rec-number&gt;&lt;foreign-keys&gt;&lt;key app="EN" db-id="dpep9zw08dzt57etvd0x2eapx9rrppptdxpr" timestamp="1547062828"&gt;2346&lt;/key&gt;&lt;/foreign-keys&gt;&lt;ref-type name="Web Page"&gt;12&lt;/ref-type&gt;&lt;contributors&gt;&lt;authors&gt;&lt;author&gt;Noone AM, &lt;/author&gt;&lt;author&gt;Howlader N, &lt;/author&gt;&lt;author&gt;Krapcho M, &lt;/author&gt;&lt;author&gt;Miller D, &lt;/author&gt;&lt;author&gt;Brest A, &lt;/author&gt;&lt;author&gt;Yu M, &lt;/author&gt;&lt;author&gt;Ruhl J, &lt;/author&gt;&lt;author&gt;Tatalovich Z,&lt;/author&gt;&lt;author&gt;Mariotto A, &lt;/author&gt;&lt;author&gt;Lewis DR, &lt;/author&gt;&lt;author&gt;Chen HS,&lt;/author&gt;&lt;author&gt;Feuer EJ, &lt;/author&gt;&lt;author&gt;Cronin KA (eds).&lt;/author&gt;&lt;/authors&gt;&lt;/contributors&gt;&lt;titles&gt;&lt;title&gt;SEER Cancer Statistics Review, 1975-2015&lt;/title&gt;&lt;/titles&gt;&lt;number&gt;Nov. 27, 2018&lt;/number&gt;&lt;dates&gt;&lt;year&gt;2018&lt;/year&gt;&lt;/dates&gt;&lt;pub-location&gt;Bethesda, MD&lt;/pub-location&gt;&lt;publisher&gt;National Cancer Institute&lt;/publisher&gt;&lt;urls&gt;&lt;related-urls&gt;&lt;url&gt;&lt;style face="underline" font="default" size="100%"&gt;https://seer.cancer.gov/csr/1975_2015/&lt;/style&gt;&lt;style face="normal" font="default" size="100%"&gt; based on November 2017 SEER data submission, posted to the SEER web site, April 2018.&lt;/style&gt;&lt;/url&gt;&lt;/related-urls&gt;&lt;/urls&gt;&lt;/record&gt;&lt;/Cite&gt;&lt;/EndNote&gt;</w:instrText>
      </w:r>
      <w:r w:rsidR="0024020C" w:rsidRPr="00E43021">
        <w:rPr>
          <w:rFonts w:eastAsia="Verdana"/>
          <w:szCs w:val="24"/>
          <w:lang w:val="en-GB"/>
        </w:rPr>
        <w:fldChar w:fldCharType="separate"/>
      </w:r>
      <w:r w:rsidR="0024020C" w:rsidRPr="00E43021">
        <w:rPr>
          <w:rFonts w:eastAsia="Verdana"/>
          <w:noProof/>
          <w:szCs w:val="24"/>
          <w:lang w:val="en-GB"/>
        </w:rPr>
        <w:t>(Noone AM et al. 2018)</w:t>
      </w:r>
      <w:r w:rsidR="0024020C" w:rsidRPr="00E43021">
        <w:rPr>
          <w:rFonts w:eastAsia="Verdana"/>
          <w:szCs w:val="24"/>
          <w:lang w:val="en-GB"/>
        </w:rPr>
        <w:fldChar w:fldCharType="end"/>
      </w:r>
      <w:r w:rsidR="0024020C" w:rsidRPr="00E43021">
        <w:rPr>
          <w:rFonts w:eastAsia="Verdana"/>
          <w:szCs w:val="24"/>
          <w:lang w:val="en-GB"/>
        </w:rPr>
        <w:t>.</w:t>
      </w:r>
      <w:r w:rsidR="007A47E6" w:rsidRPr="00E43021">
        <w:rPr>
          <w:rFonts w:eastAsia="Verdana"/>
          <w:szCs w:val="24"/>
          <w:lang w:val="en-GB"/>
        </w:rPr>
        <w:t xml:space="preserve"> </w:t>
      </w:r>
      <w:r w:rsidR="007A47E6" w:rsidRPr="00E43021">
        <w:rPr>
          <w:rFonts w:eastAsia="Verdana"/>
          <w:szCs w:val="24"/>
        </w:rPr>
        <w:t>Among a</w:t>
      </w:r>
      <w:r w:rsidRPr="00E43021">
        <w:rPr>
          <w:rFonts w:eastAsia="Verdana"/>
          <w:szCs w:val="24"/>
        </w:rPr>
        <w:t xml:space="preserve"> US study of men diagnosed with localized </w:t>
      </w:r>
      <w:proofErr w:type="spellStart"/>
      <w:r w:rsidRPr="00E43021">
        <w:rPr>
          <w:rFonts w:eastAsia="Verdana"/>
          <w:szCs w:val="24"/>
        </w:rPr>
        <w:t>PCa</w:t>
      </w:r>
      <w:proofErr w:type="spellEnd"/>
      <w:r w:rsidRPr="00E43021">
        <w:rPr>
          <w:rFonts w:eastAsia="Verdana"/>
          <w:szCs w:val="24"/>
        </w:rPr>
        <w:t xml:space="preserve"> between 2000 and 2014, 14.9% eventually developed </w:t>
      </w:r>
      <w:r w:rsidRPr="00E43021">
        <w:rPr>
          <w:szCs w:val="24"/>
          <w:shd w:val="clear" w:color="auto" w:fill="FFFFFF"/>
        </w:rPr>
        <w:t xml:space="preserve">metastatic hormone-sensitive </w:t>
      </w:r>
      <w:proofErr w:type="spellStart"/>
      <w:r w:rsidRPr="00E43021">
        <w:rPr>
          <w:szCs w:val="24"/>
          <w:shd w:val="clear" w:color="auto" w:fill="FFFFFF"/>
        </w:rPr>
        <w:t>PCa</w:t>
      </w:r>
      <w:proofErr w:type="spellEnd"/>
      <w:r w:rsidRPr="00E43021">
        <w:rPr>
          <w:rFonts w:eastAsia="Verdana"/>
          <w:szCs w:val="24"/>
        </w:rPr>
        <w:t xml:space="preserve"> </w:t>
      </w:r>
      <w:r w:rsidRPr="00E43021">
        <w:rPr>
          <w:rFonts w:eastAsia="Verdana"/>
          <w:szCs w:val="24"/>
        </w:rPr>
        <w:fldChar w:fldCharType="begin"/>
      </w:r>
      <w:r w:rsidRPr="00E43021">
        <w:rPr>
          <w:rFonts w:eastAsia="Verdana"/>
          <w:szCs w:val="24"/>
        </w:rPr>
        <w:instrText xml:space="preserve"> ADDIN EN.CITE &lt;EndNote&gt;&lt;Cite&gt;&lt;Author&gt;Pascale&lt;/Author&gt;&lt;Year&gt;2017&lt;/Year&gt;&lt;RecNum&gt;2960&lt;/RecNum&gt;&lt;DisplayText&gt;(Pascale et al. 2017)&lt;/DisplayText&gt;&lt;record&gt;&lt;rec-number&gt;2960&lt;/rec-number&gt;&lt;foreign-keys&gt;&lt;key app="EN" db-id="dpep9zw08dzt57etvd0x2eapx9rrppptdxpr" timestamp="1550159544"&gt;2960&lt;/key&gt;&lt;/foreign-keys&gt;&lt;ref-type name="Journal Article"&gt;17&lt;/ref-type&gt;&lt;contributors&gt;&lt;authors&gt;&lt;author&gt;Pascale, Mariarosa&lt;/author&gt;&lt;author&gt;Azinwi, Che Ngwa&lt;/author&gt;&lt;author&gt;Marongiu, Barbara&lt;/author&gt;&lt;author&gt;Pesce, Gianfranco&lt;/author&gt;&lt;author&gt;Stoffel, Flavio&lt;/author&gt;&lt;author&gt;Roggero, Enrico&lt;/author&gt;&lt;/authors&gt;&lt;/contributors&gt;&lt;titles&gt;&lt;title&gt;The outcome of prostate cancer patients treated with curative intent strongly depends on survival after metastatic progression&lt;/title&gt;&lt;secondary-title&gt;BMC cancer&lt;/secondary-title&gt;&lt;/titles&gt;&lt;periodical&gt;&lt;full-title&gt;BMC Cancer&lt;/full-title&gt;&lt;/periodical&gt;&lt;pages&gt;651-651&lt;/pages&gt;&lt;volume&gt;17&lt;/volume&gt;&lt;number&gt;1&lt;/number&gt;&lt;dates&gt;&lt;year&gt;2017&lt;/year&gt;&lt;/dates&gt;&lt;publisher&gt;BioMed Central&lt;/publisher&gt;&lt;isbn&gt;1471-2407&lt;/isbn&gt;&lt;accession-num&gt;28923109&lt;/accession-num&gt;&lt;urls&gt;&lt;related-urls&gt;&lt;url&gt;https://www.ncbi.nlm.nih.gov/pubmed/28923109&lt;/url&gt;&lt;url&gt;https://www.ncbi.nlm.nih.gov/pmc/PMC5604496/&lt;/url&gt;&lt;/related-urls&gt;&lt;/urls&gt;&lt;electronic-resource-num&gt;10.1186/s12885-017-3617-6&lt;/electronic-resource-num&gt;&lt;remote-database-name&gt;PubMed&lt;/remote-database-name&gt;&lt;/record&gt;&lt;/Cite&gt;&lt;/EndNote&gt;</w:instrText>
      </w:r>
      <w:r w:rsidRPr="00E43021">
        <w:rPr>
          <w:rFonts w:eastAsia="Verdana"/>
          <w:szCs w:val="24"/>
        </w:rPr>
        <w:fldChar w:fldCharType="separate"/>
      </w:r>
      <w:r w:rsidRPr="00E43021">
        <w:rPr>
          <w:rFonts w:eastAsia="Verdana"/>
          <w:szCs w:val="24"/>
        </w:rPr>
        <w:t>(Pascale et al. 2017)</w:t>
      </w:r>
      <w:r w:rsidRPr="00E43021">
        <w:rPr>
          <w:rFonts w:eastAsia="Verdana"/>
          <w:szCs w:val="24"/>
        </w:rPr>
        <w:fldChar w:fldCharType="end"/>
      </w:r>
      <w:r w:rsidRPr="00E43021">
        <w:rPr>
          <w:rFonts w:eastAsia="Verdana"/>
          <w:szCs w:val="24"/>
        </w:rPr>
        <w:t xml:space="preserve">. </w:t>
      </w:r>
    </w:p>
    <w:p w14:paraId="1FDF958B" w14:textId="0B364744" w:rsidR="00D314F9" w:rsidRPr="00E43021" w:rsidRDefault="00D314F9" w:rsidP="00922AF2">
      <w:pPr>
        <w:autoSpaceDE w:val="0"/>
        <w:autoSpaceDN w:val="0"/>
        <w:adjustRightInd w:val="0"/>
        <w:jc w:val="both"/>
        <w:rPr>
          <w:rFonts w:eastAsia="Verdana"/>
          <w:szCs w:val="24"/>
          <w:lang w:val="en-GB"/>
        </w:rPr>
      </w:pPr>
      <w:r w:rsidRPr="00E43021">
        <w:rPr>
          <w:rFonts w:eastAsia="Verdana"/>
          <w:szCs w:val="24"/>
          <w:lang w:val="en-GB"/>
        </w:rPr>
        <w:t xml:space="preserve">Prostate cancer has </w:t>
      </w:r>
      <w:r w:rsidR="008B445A" w:rsidRPr="00E43021">
        <w:rPr>
          <w:rFonts w:eastAsia="Verdana"/>
          <w:szCs w:val="24"/>
          <w:lang w:val="en-GB"/>
        </w:rPr>
        <w:t>a</w:t>
      </w:r>
      <w:r w:rsidRPr="00E43021">
        <w:rPr>
          <w:rFonts w:eastAsia="Verdana"/>
          <w:szCs w:val="24"/>
          <w:lang w:val="en-GB"/>
        </w:rPr>
        <w:t xml:space="preserve"> variable natural</w:t>
      </w:r>
      <w:r w:rsidRPr="00E43021">
        <w:rPr>
          <w:rFonts w:eastAsia="Verdana"/>
          <w:b/>
          <w:i/>
          <w:szCs w:val="24"/>
          <w:lang w:val="en-GB"/>
        </w:rPr>
        <w:t xml:space="preserve"> </w:t>
      </w:r>
      <w:r w:rsidRPr="00E43021">
        <w:rPr>
          <w:rFonts w:eastAsia="Verdana"/>
          <w:szCs w:val="24"/>
          <w:lang w:val="en-GB"/>
        </w:rPr>
        <w:t xml:space="preserve">history. A large proportion of all histopathological lesions currently diagnosed as prostate cancers progress either very slowly, or not at all, and some may even regress. For men with initially untreated </w:t>
      </w:r>
      <w:proofErr w:type="spellStart"/>
      <w:r w:rsidRPr="00E43021">
        <w:rPr>
          <w:rFonts w:eastAsia="Verdana"/>
          <w:szCs w:val="24"/>
          <w:lang w:val="en-GB"/>
        </w:rPr>
        <w:t>PCa</w:t>
      </w:r>
      <w:proofErr w:type="spellEnd"/>
      <w:r w:rsidRPr="00E43021">
        <w:rPr>
          <w:rFonts w:eastAsia="Verdana"/>
          <w:szCs w:val="24"/>
          <w:lang w:val="en-GB"/>
        </w:rPr>
        <w:t xml:space="preserve"> there is a</w:t>
      </w:r>
      <w:r w:rsidRPr="00E43021">
        <w:rPr>
          <w:rFonts w:eastAsia="Verdana"/>
          <w:szCs w:val="24"/>
        </w:rPr>
        <w:t xml:space="preserve"> </w:t>
      </w:r>
      <w:r w:rsidRPr="00E43021">
        <w:rPr>
          <w:rFonts w:eastAsia="Verdana"/>
          <w:szCs w:val="24"/>
          <w:lang w:val="en-GB"/>
        </w:rPr>
        <w:t xml:space="preserve">progression rate to lethal disease of 0.5–1.5 % per year </w:t>
      </w:r>
      <w:r w:rsidRPr="00E43021">
        <w:rPr>
          <w:rFonts w:eastAsia="Verdana"/>
          <w:szCs w:val="24"/>
          <w:lang w:val="en-GB"/>
        </w:rPr>
        <w:fldChar w:fldCharType="begin">
          <w:fldData xml:space="preserve">PEVuZE5vdGU+PENpdGU+PEF1dGhvcj5Ib2xtYmVyZzwvQXV0aG9yPjxZZWFyPjIwMTQ8L1llYXI+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</w:fldData>
        </w:fldChar>
      </w:r>
      <w:r w:rsidRPr="00E43021">
        <w:rPr>
          <w:rFonts w:eastAsia="Verdana"/>
          <w:szCs w:val="24"/>
          <w:lang w:val="en-GB"/>
        </w:rPr>
        <w:instrText xml:space="preserve"> ADDIN EN.CITE </w:instrText>
      </w:r>
      <w:r w:rsidRPr="00E43021">
        <w:rPr>
          <w:rFonts w:eastAsia="Verdana"/>
          <w:szCs w:val="24"/>
          <w:lang w:val="en-GB"/>
        </w:rPr>
        <w:fldChar w:fldCharType="begin">
          <w:fldData xml:space="preserve">PEVuZE5vdGU+PENpdGU+PEF1dGhvcj5Ib2xtYmVyZzwvQXV0aG9yPjxZZWFyPjIwMTQ8L1llYXI+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</w:fldData>
        </w:fldChar>
      </w:r>
      <w:r w:rsidRPr="00E43021">
        <w:rPr>
          <w:rFonts w:eastAsia="Verdana"/>
          <w:szCs w:val="24"/>
          <w:lang w:val="en-GB"/>
        </w:rPr>
        <w:instrText xml:space="preserve"> ADDIN EN.CITE.DATA </w:instrText>
      </w:r>
      <w:r w:rsidRPr="00E43021">
        <w:rPr>
          <w:rFonts w:eastAsia="Verdana"/>
          <w:szCs w:val="24"/>
          <w:lang w:val="en-GB"/>
        </w:rPr>
      </w:r>
      <w:r w:rsidRPr="00E43021">
        <w:rPr>
          <w:rFonts w:eastAsia="Verdana"/>
          <w:szCs w:val="24"/>
          <w:lang w:val="en-GB"/>
        </w:rPr>
        <w:fldChar w:fldCharType="end"/>
      </w:r>
      <w:r w:rsidRPr="00E43021">
        <w:rPr>
          <w:rFonts w:eastAsia="Verdana"/>
          <w:szCs w:val="24"/>
          <w:lang w:val="en-GB"/>
        </w:rPr>
      </w:r>
      <w:r w:rsidRPr="00E43021">
        <w:rPr>
          <w:rFonts w:eastAsia="Verdana"/>
          <w:szCs w:val="24"/>
          <w:lang w:val="en-GB"/>
        </w:rPr>
        <w:fldChar w:fldCharType="separate"/>
      </w:r>
      <w:r w:rsidRPr="00E43021">
        <w:rPr>
          <w:rFonts w:eastAsia="Verdana"/>
          <w:noProof/>
          <w:szCs w:val="24"/>
          <w:lang w:val="en-GB"/>
        </w:rPr>
        <w:t>(Holmberg et al. 2014)</w:t>
      </w:r>
      <w:r w:rsidRPr="00E43021">
        <w:rPr>
          <w:rFonts w:eastAsia="Verdana"/>
          <w:szCs w:val="24"/>
          <w:lang w:val="en-GB"/>
        </w:rPr>
        <w:fldChar w:fldCharType="end"/>
      </w:r>
      <w:r w:rsidRPr="00E43021">
        <w:rPr>
          <w:rFonts w:eastAsia="Verdana"/>
          <w:szCs w:val="24"/>
          <w:lang w:val="en-GB"/>
        </w:rPr>
        <w:t>.</w:t>
      </w:r>
      <w:r w:rsidR="0024020C" w:rsidRPr="00E43021">
        <w:rPr>
          <w:rFonts w:eastAsia="Verdana"/>
          <w:szCs w:val="24"/>
          <w:lang w:val="en-GB"/>
        </w:rPr>
        <w:t xml:space="preserve"> </w:t>
      </w:r>
      <w:r w:rsidRPr="00E43021">
        <w:rPr>
          <w:rFonts w:eastAsia="Verdana"/>
          <w:szCs w:val="24"/>
          <w:lang w:val="en-GB"/>
        </w:rPr>
        <w:t xml:space="preserve">Men newly diagnosed with </w:t>
      </w:r>
      <w:proofErr w:type="spellStart"/>
      <w:r w:rsidRPr="00E43021">
        <w:rPr>
          <w:rFonts w:eastAsia="Verdana"/>
          <w:szCs w:val="24"/>
          <w:lang w:val="en-GB"/>
        </w:rPr>
        <w:t>PCa</w:t>
      </w:r>
      <w:proofErr w:type="spellEnd"/>
      <w:r w:rsidRPr="00E43021">
        <w:rPr>
          <w:rFonts w:eastAsia="Verdana"/>
          <w:szCs w:val="24"/>
          <w:lang w:val="en-GB"/>
        </w:rPr>
        <w:t xml:space="preserve"> are likely to have low-grade disease which can remain</w:t>
      </w:r>
      <w:r w:rsidRPr="00E43021">
        <w:rPr>
          <w:rFonts w:eastAsia="Verdana"/>
          <w:b/>
          <w:i/>
          <w:szCs w:val="24"/>
          <w:lang w:val="en-GB"/>
        </w:rPr>
        <w:t xml:space="preserve"> </w:t>
      </w:r>
      <w:r w:rsidRPr="00E43021">
        <w:rPr>
          <w:rFonts w:eastAsia="Verdana"/>
          <w:szCs w:val="24"/>
          <w:lang w:val="en-GB"/>
        </w:rPr>
        <w:t>indolent for more than a decade following diagnosis</w:t>
      </w:r>
      <w:r w:rsidRPr="00E43021">
        <w:rPr>
          <w:rFonts w:eastAsia="Verdana"/>
          <w:b/>
          <w:i/>
          <w:szCs w:val="24"/>
          <w:lang w:val="en-GB"/>
        </w:rPr>
        <w:t xml:space="preserve"> </w:t>
      </w:r>
      <w:r w:rsidRPr="00E43021">
        <w:rPr>
          <w:rFonts w:eastAsia="Verdana"/>
          <w:szCs w:val="24"/>
          <w:lang w:val="en-GB"/>
        </w:rPr>
        <w:t xml:space="preserve">with less than 6% progressing during the first 10 years of follow-up. </w:t>
      </w:r>
      <w:r w:rsidRPr="00E43021">
        <w:rPr>
          <w:szCs w:val="24"/>
        </w:rPr>
        <w:t xml:space="preserve">The time between diagnosis and the appearance of clinical symptoms is estimated to be as much as 10 years for men in their 50s and 5 years for men in their 70s. </w:t>
      </w:r>
      <w:r w:rsidRPr="00E43021">
        <w:rPr>
          <w:rFonts w:eastAsia="Verdana"/>
          <w:szCs w:val="24"/>
          <w:lang w:val="en-GB"/>
        </w:rPr>
        <w:t>However</w:t>
      </w:r>
      <w:r w:rsidRPr="00E43021">
        <w:rPr>
          <w:rFonts w:eastAsia="Verdana"/>
          <w:b/>
          <w:i/>
          <w:szCs w:val="24"/>
          <w:lang w:val="en-GB"/>
        </w:rPr>
        <w:t xml:space="preserve">, </w:t>
      </w:r>
      <w:r w:rsidRPr="00E43021">
        <w:rPr>
          <w:rFonts w:eastAsia="Verdana"/>
          <w:szCs w:val="24"/>
          <w:lang w:val="en-GB"/>
        </w:rPr>
        <w:t>high-grade cancers frequently</w:t>
      </w:r>
      <w:r w:rsidRPr="00E43021">
        <w:rPr>
          <w:rFonts w:eastAsia="Verdana"/>
          <w:i/>
          <w:szCs w:val="24"/>
          <w:lang w:val="en-GB"/>
        </w:rPr>
        <w:t xml:space="preserve"> </w:t>
      </w:r>
      <w:r w:rsidRPr="00E43021">
        <w:rPr>
          <w:rFonts w:eastAsia="Verdana"/>
          <w:szCs w:val="24"/>
          <w:lang w:val="en-GB"/>
        </w:rPr>
        <w:t>progress and lead to prostate cancer mortality within</w:t>
      </w:r>
      <w:r w:rsidRPr="00E43021">
        <w:rPr>
          <w:rFonts w:eastAsia="Verdana"/>
          <w:i/>
          <w:szCs w:val="24"/>
          <w:lang w:val="en-GB"/>
        </w:rPr>
        <w:t xml:space="preserve"> </w:t>
      </w:r>
      <w:r w:rsidRPr="00E43021">
        <w:rPr>
          <w:rFonts w:eastAsia="Verdana"/>
          <w:szCs w:val="24"/>
          <w:lang w:val="en-GB"/>
        </w:rPr>
        <w:t>a decade.</w:t>
      </w:r>
      <w:r w:rsidRPr="00E43021">
        <w:rPr>
          <w:rFonts w:eastAsia="Verdana"/>
          <w:b/>
          <w:i/>
          <w:szCs w:val="24"/>
          <w:lang w:val="en-GB"/>
        </w:rPr>
        <w:t xml:space="preserve"> </w:t>
      </w:r>
      <w:r w:rsidRPr="00E43021">
        <w:rPr>
          <w:rFonts w:eastAsia="Verdana"/>
          <w:szCs w:val="24"/>
          <w:lang w:val="en-GB"/>
        </w:rPr>
        <w:fldChar w:fldCharType="begin"/>
      </w:r>
      <w:r w:rsidRPr="00E43021">
        <w:rPr>
          <w:rFonts w:eastAsia="Verdana"/>
          <w:szCs w:val="24"/>
          <w:lang w:val="en-GB"/>
        </w:rPr>
        <w:instrText xml:space="preserve"> ADDIN EN.CITE &lt;EndNote&gt;&lt;Cite&gt;&lt;Author&gt;Albertsen&lt;/Author&gt;&lt;Year&gt;2015&lt;/Year&gt;&lt;RecNum&gt;3144&lt;/RecNum&gt;&lt;DisplayText&gt;(Albertsen 2015)&lt;/DisplayText&gt;&lt;record&gt;&lt;rec-number&gt;3144&lt;/rec-number&gt;&lt;foreign-keys&gt;&lt;key app="EN" db-id="dpep9zw08dzt57etvd0x2eapx9rrppptdxpr" timestamp="1550772903"&gt;3144&lt;/key&gt;&lt;/foreign-keys&gt;&lt;ref-type name="Journal Article"&gt;17&lt;/ref-type&gt;&lt;contributors&gt;&lt;authors&gt;&lt;author&gt;Albertsen, P. C.&lt;/author&gt;&lt;/authors&gt;&lt;/contributors&gt;&lt;auth-address&gt;Department of Surgery, University of Connecticut Health Center, Farmington, Connecticut, USA.&lt;/auth-address&gt;&lt;titles&gt;&lt;title&gt;Observational studies and the natural history of screen-detected prostate cancer&lt;/title&gt;&lt;secondary-title&gt;Curr Opin Urol&lt;/secondary-title&gt;&lt;alt-title&gt;Current opinion in urology&lt;/alt-title&gt;&lt;/titles&gt;&lt;periodical&gt;&lt;full-title&gt;Curr Opin Urol&lt;/full-title&gt;&lt;abbr-1&gt;Current opinion in urology&lt;/abbr-1&gt;&lt;/periodical&gt;&lt;alt-periodical&gt;&lt;full-title&gt;Curr Opin Urol&lt;/full-title&gt;&lt;abbr-1&gt;Current opinion in urology&lt;/abbr-1&gt;&lt;/alt-periodical&gt;&lt;pages&gt;232-7&lt;/pages&gt;&lt;volume&gt;25&lt;/volume&gt;&lt;number&gt;3&lt;/number&gt;&lt;edition&gt;2015/02/19&lt;/edition&gt;&lt;keywords&gt;&lt;keyword&gt;Disease Progression&lt;/keyword&gt;&lt;keyword&gt;Early Detection of Cancer&lt;/keyword&gt;&lt;keyword&gt;Evidence-Based Medicine&lt;/keyword&gt;&lt;keyword&gt;Humans&lt;/keyword&gt;&lt;keyword&gt;Male&lt;/keyword&gt;&lt;keyword&gt;Neoplasm Grading&lt;/keyword&gt;&lt;keyword&gt;Observational Studies as Topic&lt;/keyword&gt;&lt;keyword&gt;Prostate/*pathology&lt;/keyword&gt;&lt;keyword&gt;Prostate-Specific Antigen/*blood&lt;/keyword&gt;&lt;keyword&gt;Prostatic Neoplasms/*diagnosis/epidemiology/pathology&lt;/keyword&gt;&lt;keyword&gt;Randomized Controlled Trials as Topic&lt;/keyword&gt;&lt;keyword&gt;Retrospective Studies&lt;/keyword&gt;&lt;keyword&gt;Risk Assessment&lt;/keyword&gt;&lt;keyword&gt;*Watchful Waiting&lt;/keyword&gt;&lt;/keywords&gt;&lt;dates&gt;&lt;year&gt;2015&lt;/year&gt;&lt;pub-dates&gt;&lt;date&gt;May&lt;/date&gt;&lt;/pub-dates&gt;&lt;/dates&gt;&lt;isbn&gt;0963-0643&lt;/isbn&gt;&lt;accession-num&gt;25692723&lt;/accession-num&gt;&lt;urls&gt;&lt;/urls&gt;&lt;electronic-resource-num&gt;10.1097/mou.0000000000000157&lt;/electronic-resource-num&gt;&lt;remote-database-provider&gt;NLM&lt;/remote-database-provider&gt;&lt;language&gt;eng&lt;/language&gt;&lt;/record&gt;&lt;/Cite&gt;&lt;/EndNote&gt;</w:instrText>
      </w:r>
      <w:r w:rsidRPr="00E43021">
        <w:rPr>
          <w:rFonts w:eastAsia="Verdana"/>
          <w:szCs w:val="24"/>
          <w:lang w:val="en-GB"/>
        </w:rPr>
        <w:fldChar w:fldCharType="separate"/>
      </w:r>
      <w:r w:rsidRPr="00E43021">
        <w:rPr>
          <w:rFonts w:eastAsia="Verdana"/>
          <w:noProof/>
          <w:szCs w:val="24"/>
          <w:lang w:val="en-GB"/>
        </w:rPr>
        <w:t>(Albertsen 2015)</w:t>
      </w:r>
      <w:r w:rsidRPr="00E43021">
        <w:rPr>
          <w:rFonts w:eastAsia="Verdana"/>
          <w:szCs w:val="24"/>
          <w:lang w:val="en-GB"/>
        </w:rPr>
        <w:fldChar w:fldCharType="end"/>
      </w:r>
      <w:r w:rsidRPr="00E43021">
        <w:rPr>
          <w:rFonts w:eastAsia="Verdana"/>
          <w:szCs w:val="24"/>
          <w:lang w:val="en-GB"/>
        </w:rPr>
        <w:t xml:space="preserve">. In the US it was estimated that among men diagnosed with prostate cancer, 80% presented with localized disease, 12% had regional disease, and 4% had distant disease  </w:t>
      </w:r>
      <w:r w:rsidRPr="00E43021">
        <w:rPr>
          <w:rFonts w:eastAsia="Verdana"/>
          <w:szCs w:val="24"/>
          <w:lang w:val="en-GB"/>
        </w:rPr>
        <w:fldChar w:fldCharType="begin"/>
      </w:r>
      <w:r w:rsidRPr="00E43021">
        <w:rPr>
          <w:rFonts w:eastAsia="Verdana"/>
          <w:szCs w:val="24"/>
          <w:lang w:val="en-GB"/>
        </w:rPr>
        <w:instrText xml:space="preserve"> ADDIN EN.CITE &lt;EndNote&gt;&lt;Cite&gt;&lt;Author&gt;Punnen&lt;/Author&gt;&lt;Year&gt;2013&lt;/Year&gt;&lt;RecNum&gt;3147&lt;/RecNum&gt;&lt;DisplayText&gt;(Punnen et al. 2013)&lt;/DisplayText&gt;&lt;record&gt;&lt;rec-number&gt;3147&lt;/rec-number&gt;&lt;foreign-keys&gt;&lt;key app="EN" db-id="dpep9zw08dzt57etvd0x2eapx9rrppptdxpr" timestamp="1550772903"&gt;3147&lt;/key&gt;&lt;/foreign-keys&gt;&lt;ref-type name="Journal Article"&gt;17&lt;/ref-type&gt;&lt;contributors&gt;&lt;authors&gt;&lt;author&gt;Punnen, S.&lt;/author&gt;&lt;author&gt;Cooperberg, M. R.&lt;/author&gt;&lt;/authors&gt;&lt;/contributors&gt;&lt;auth-address&gt;Helen Diller Comprehensive Cancer Center, University of California, San Francisco, California, USA.&lt;/auth-address&gt;&lt;titles&gt;&lt;title&gt;The epidemiology of high-risk prostate cancer&lt;/title&gt;&lt;secondary-title&gt;Curr Opin Urol&lt;/secondary-title&gt;&lt;alt-title&gt;Current opinion in urology&lt;/alt-title&gt;&lt;/titles&gt;&lt;periodical&gt;&lt;full-title&gt;Curr Opin Urol&lt;/full-title&gt;&lt;abbr-1&gt;Current opinion in urology&lt;/abbr-1&gt;&lt;/periodical&gt;&lt;alt-periodical&gt;&lt;full-title&gt;Curr Opin Urol&lt;/full-title&gt;&lt;abbr-1&gt;Current opinion in urology&lt;/abbr-1&gt;&lt;/alt-periodical&gt;&lt;pages&gt;331-6&lt;/pages&gt;&lt;volume&gt;23&lt;/volume&gt;&lt;number&gt;4&lt;/number&gt;&lt;edition&gt;2013/04/27&lt;/edition&gt;&lt;keywords&gt;&lt;keyword&gt;Age Factors&lt;/keyword&gt;&lt;keyword&gt;Early Detection of Cancer&lt;/keyword&gt;&lt;keyword&gt;Humans&lt;/keyword&gt;&lt;keyword&gt;Incidence&lt;/keyword&gt;&lt;keyword&gt;Kallikreins/blood&lt;/keyword&gt;&lt;keyword&gt;Male&lt;/keyword&gt;&lt;keyword&gt;Mass Screening&lt;/keyword&gt;&lt;keyword&gt;Predictive Value of Tests&lt;/keyword&gt;&lt;keyword&gt;Prevalence&lt;/keyword&gt;&lt;keyword&gt;Prostate-Specific Antigen/blood&lt;/keyword&gt;&lt;keyword&gt;Prostatic Neoplasms/blood/diagnosis/*epidemiology/genetics/therapy&lt;/keyword&gt;&lt;keyword&gt;Risk Assessment&lt;/keyword&gt;&lt;keyword&gt;Risk Factors&lt;/keyword&gt;&lt;keyword&gt;Treatment Outcome&lt;/keyword&gt;&lt;/keywords&gt;&lt;dates&gt;&lt;year&gt;2013&lt;/year&gt;&lt;pub-dates&gt;&lt;date&gt;Jul&lt;/date&gt;&lt;/pub-dates&gt;&lt;/dates&gt;&lt;isbn&gt;0963-0643&lt;/isbn&gt;&lt;accession-num&gt;23619582&lt;/accession-num&gt;&lt;urls&gt;&lt;/urls&gt;&lt;electronic-resource-num&gt;10.1097/MOU.0b013e328361d48e&lt;/electronic-resource-num&gt;&lt;remote-database-provider&gt;NLM&lt;/remote-database-provider&gt;&lt;language&gt;eng&lt;/language&gt;&lt;/record&gt;&lt;/Cite&gt;&lt;/EndNote&gt;</w:instrText>
      </w:r>
      <w:r w:rsidRPr="00E43021">
        <w:rPr>
          <w:rFonts w:eastAsia="Verdana"/>
          <w:szCs w:val="24"/>
          <w:lang w:val="en-GB"/>
        </w:rPr>
        <w:fldChar w:fldCharType="separate"/>
      </w:r>
      <w:r w:rsidRPr="00E43021">
        <w:rPr>
          <w:rFonts w:eastAsia="Verdana"/>
          <w:noProof/>
          <w:szCs w:val="24"/>
          <w:lang w:val="en-GB"/>
        </w:rPr>
        <w:t>(Punnen et al. 2013)</w:t>
      </w:r>
      <w:r w:rsidRPr="00E43021">
        <w:rPr>
          <w:rFonts w:eastAsia="Verdana"/>
          <w:szCs w:val="24"/>
          <w:lang w:val="en-GB"/>
        </w:rPr>
        <w:fldChar w:fldCharType="end"/>
      </w:r>
      <w:r w:rsidRPr="00E43021">
        <w:rPr>
          <w:rFonts w:eastAsia="Verdana"/>
          <w:szCs w:val="24"/>
          <w:lang w:val="en-GB"/>
        </w:rPr>
        <w:t xml:space="preserve">. </w:t>
      </w:r>
      <w:proofErr w:type="gramStart"/>
      <w:r w:rsidRPr="00E43021">
        <w:rPr>
          <w:rFonts w:eastAsia="Verdana"/>
          <w:szCs w:val="24"/>
          <w:lang w:val="en-GB"/>
        </w:rPr>
        <w:t>The majority of</w:t>
      </w:r>
      <w:proofErr w:type="gramEnd"/>
      <w:r w:rsidRPr="00E43021">
        <w:rPr>
          <w:rFonts w:eastAsia="Verdana"/>
          <w:szCs w:val="24"/>
          <w:lang w:val="en-GB"/>
        </w:rPr>
        <w:t xml:space="preserve"> patients with localized </w:t>
      </w:r>
      <w:proofErr w:type="spellStart"/>
      <w:r w:rsidRPr="00E43021">
        <w:rPr>
          <w:rFonts w:eastAsia="Verdana"/>
          <w:szCs w:val="24"/>
          <w:lang w:val="en-GB"/>
        </w:rPr>
        <w:t>PCa</w:t>
      </w:r>
      <w:proofErr w:type="spellEnd"/>
      <w:r w:rsidRPr="00E43021">
        <w:rPr>
          <w:rFonts w:eastAsia="Verdana"/>
          <w:szCs w:val="24"/>
          <w:lang w:val="en-GB"/>
        </w:rPr>
        <w:t xml:space="preserve"> have a five-year survival near 100%; but once the </w:t>
      </w:r>
      <w:proofErr w:type="spellStart"/>
      <w:r w:rsidRPr="00E43021">
        <w:rPr>
          <w:rFonts w:eastAsia="Verdana"/>
          <w:szCs w:val="24"/>
          <w:lang w:val="en-GB"/>
        </w:rPr>
        <w:t>tumor</w:t>
      </w:r>
      <w:proofErr w:type="spellEnd"/>
      <w:r w:rsidRPr="00E43021">
        <w:rPr>
          <w:rFonts w:eastAsia="Verdana"/>
          <w:szCs w:val="24"/>
          <w:lang w:val="en-GB"/>
        </w:rPr>
        <w:t xml:space="preserve"> progresses developing distant metastasis, the disease often become incurable. The most common metastatic sites are bone and lymph nodes, but visceral metastases may also be present and may be associated with a more severe clinical course </w:t>
      </w:r>
      <w:r w:rsidRPr="00E43021">
        <w:rPr>
          <w:rFonts w:eastAsia="Verdana"/>
          <w:szCs w:val="24"/>
          <w:lang w:val="en-GB"/>
        </w:rPr>
        <w:fldChar w:fldCharType="begin"/>
      </w:r>
      <w:r w:rsidRPr="00E43021">
        <w:rPr>
          <w:rFonts w:eastAsia="Verdana"/>
          <w:szCs w:val="24"/>
          <w:lang w:val="en-GB"/>
        </w:rPr>
        <w:instrText xml:space="preserve"> ADDIN EN.CITE &lt;EndNote&gt;&lt;Cite&gt;&lt;Author&gt;Pascale&lt;/Author&gt;&lt;Year&gt;2017&lt;/Year&gt;&lt;RecNum&gt;2960&lt;/RecNum&gt;&lt;DisplayText&gt;(Pascale et al. 2017)&lt;/DisplayText&gt;&lt;record&gt;&lt;rec-number&gt;2960&lt;/rec-number&gt;&lt;foreign-keys&gt;&lt;key app="EN" db-id="dpep9zw08dzt57etvd0x2eapx9rrppptdxpr" timestamp="1550159544"&gt;2960&lt;/key&gt;&lt;/foreign-keys&gt;&lt;ref-type name="Journal Article"&gt;17&lt;/ref-type&gt;&lt;contributors&gt;&lt;authors&gt;&lt;author&gt;Pascale, Mariarosa&lt;/author&gt;&lt;author&gt;Azinwi, Che Ngwa&lt;/author&gt;&lt;author&gt;Marongiu, Barbara&lt;/author&gt;&lt;author&gt;Pesce, Gianfranco&lt;/author&gt;&lt;author&gt;Stoffel, Flavio&lt;/author&gt;&lt;author&gt;Roggero, Enrico&lt;/author&gt;&lt;/authors&gt;&lt;/contributors&gt;&lt;titles&gt;&lt;title&gt;The outcome of prostate cancer patients treated with curative intent strongly depends on survival after metastatic progression&lt;/title&gt;&lt;secondary-title&gt;BMC cancer&lt;/secondary-title&gt;&lt;/titles&gt;&lt;periodical&gt;&lt;full-title&gt;BMC Cancer&lt;/full-title&gt;&lt;/periodical&gt;&lt;pages&gt;651-651&lt;/pages&gt;&lt;volume&gt;17&lt;/volume&gt;&lt;number&gt;1&lt;/number&gt;&lt;dates&gt;&lt;year&gt;2017&lt;/year&gt;&lt;/dates&gt;&lt;publisher&gt;BioMed Central&lt;/publisher&gt;&lt;isbn&gt;1471-2407&lt;/isbn&gt;&lt;accession-num&gt;28923109&lt;/accession-num&gt;&lt;urls&gt;&lt;related-urls&gt;&lt;url&gt;https://www.ncbi.nlm.nih.gov/pubmed/28923109&lt;/url&gt;&lt;url&gt;https://www.ncbi.nlm.nih.gov/pmc/PMC5604496/&lt;/url&gt;&lt;/related-urls&gt;&lt;/urls&gt;&lt;electronic-resource-num&gt;10.1186/s12885-017-3617-6&lt;/electronic-resource-num&gt;&lt;remote-database-name&gt;PubMed&lt;/remote-database-name&gt;&lt;/record&gt;&lt;/Cite&gt;&lt;/EndNote&gt;</w:instrText>
      </w:r>
      <w:r w:rsidRPr="00E43021">
        <w:rPr>
          <w:rFonts w:eastAsia="Verdana"/>
          <w:szCs w:val="24"/>
          <w:lang w:val="en-GB"/>
        </w:rPr>
        <w:fldChar w:fldCharType="separate"/>
      </w:r>
      <w:r w:rsidRPr="00E43021">
        <w:rPr>
          <w:rFonts w:eastAsia="Verdana"/>
          <w:szCs w:val="24"/>
          <w:lang w:val="en-GB"/>
        </w:rPr>
        <w:t>(Pascale et al. 2017)</w:t>
      </w:r>
      <w:r w:rsidRPr="00E43021">
        <w:rPr>
          <w:rFonts w:eastAsia="Verdana"/>
          <w:szCs w:val="24"/>
          <w:lang w:val="en-GB"/>
        </w:rPr>
        <w:fldChar w:fldCharType="end"/>
      </w:r>
    </w:p>
    <w:p w14:paraId="5F78A7FF" w14:textId="77777777" w:rsidR="00D314F9" w:rsidRPr="00E43021" w:rsidRDefault="00D314F9" w:rsidP="00D314F9">
      <w:pPr>
        <w:autoSpaceDE w:val="0"/>
        <w:autoSpaceDN w:val="0"/>
        <w:adjustRightInd w:val="0"/>
        <w:rPr>
          <w:rFonts w:eastAsia="Verdana"/>
          <w:b/>
          <w:i/>
          <w:szCs w:val="24"/>
          <w:lang w:val="en-GB"/>
        </w:rPr>
      </w:pPr>
    </w:p>
    <w:p w14:paraId="32D1CBD0" w14:textId="1C51D3E7" w:rsidR="00D314F9" w:rsidRPr="00E43021" w:rsidRDefault="0024020C" w:rsidP="00D314F9">
      <w:pPr>
        <w:pStyle w:val="BodyText12"/>
        <w:rPr>
          <w:rFonts w:eastAsia="Verdana"/>
          <w:szCs w:val="24"/>
        </w:rPr>
      </w:pPr>
      <w:r w:rsidRPr="00E43021">
        <w:rPr>
          <w:rFonts w:eastAsia="Verdana"/>
          <w:szCs w:val="24"/>
          <w:lang w:val="en-GB"/>
        </w:rPr>
        <w:lastRenderedPageBreak/>
        <w:t xml:space="preserve">Globally, there were an estimated 358,989 deaths due to </w:t>
      </w:r>
      <w:proofErr w:type="spellStart"/>
      <w:r w:rsidRPr="00E43021">
        <w:rPr>
          <w:rFonts w:eastAsia="Verdana"/>
          <w:szCs w:val="24"/>
          <w:lang w:val="en-GB"/>
        </w:rPr>
        <w:t>PCa</w:t>
      </w:r>
      <w:proofErr w:type="spellEnd"/>
      <w:r w:rsidRPr="00E43021">
        <w:rPr>
          <w:rFonts w:eastAsia="Verdana"/>
          <w:szCs w:val="24"/>
          <w:lang w:val="en-GB"/>
        </w:rPr>
        <w:t xml:space="preserve"> in 2018, for an age-standardised risk of 7.6/100,000 population, and </w:t>
      </w:r>
      <w:proofErr w:type="spellStart"/>
      <w:r w:rsidRPr="00E43021">
        <w:rPr>
          <w:rFonts w:eastAsia="Verdana"/>
          <w:szCs w:val="24"/>
          <w:lang w:val="en-GB"/>
        </w:rPr>
        <w:t>PCa</w:t>
      </w:r>
      <w:proofErr w:type="spellEnd"/>
      <w:r w:rsidRPr="00E43021">
        <w:rPr>
          <w:rFonts w:eastAsia="Verdana"/>
          <w:szCs w:val="24"/>
          <w:lang w:val="en-GB"/>
        </w:rPr>
        <w:t xml:space="preserve"> is the fifth leading cause of death from cancer in men (Bray, </w:t>
      </w:r>
      <w:proofErr w:type="spellStart"/>
      <w:r w:rsidRPr="00E43021">
        <w:rPr>
          <w:rFonts w:eastAsia="Verdana"/>
          <w:szCs w:val="24"/>
          <w:lang w:val="en-GB"/>
        </w:rPr>
        <w:t>Ferlay</w:t>
      </w:r>
      <w:proofErr w:type="spellEnd"/>
      <w:r w:rsidRPr="00E43021">
        <w:rPr>
          <w:rFonts w:eastAsia="Verdana"/>
          <w:szCs w:val="24"/>
          <w:lang w:val="en-GB"/>
        </w:rPr>
        <w:t xml:space="preserve"> et al. 2018).</w:t>
      </w:r>
      <w:r w:rsidRPr="00E43021">
        <w:rPr>
          <w:rFonts w:eastAsia="Verdana"/>
          <w:szCs w:val="24"/>
        </w:rPr>
        <w:t xml:space="preserve"> </w:t>
      </w:r>
      <w:r w:rsidR="00D314F9" w:rsidRPr="00E43021">
        <w:rPr>
          <w:szCs w:val="24"/>
        </w:rPr>
        <w:t xml:space="preserve">The prognosis for patients with CRPC is poor compared to those with castration sensitive </w:t>
      </w:r>
      <w:proofErr w:type="spellStart"/>
      <w:r w:rsidR="00D314F9" w:rsidRPr="00E43021">
        <w:rPr>
          <w:szCs w:val="24"/>
        </w:rPr>
        <w:t>PCa</w:t>
      </w:r>
      <w:proofErr w:type="spellEnd"/>
      <w:r w:rsidR="00D314F9" w:rsidRPr="00E43021">
        <w:rPr>
          <w:szCs w:val="24"/>
        </w:rPr>
        <w:t xml:space="preserve"> </w:t>
      </w:r>
      <w:r w:rsidR="00D314F9" w:rsidRPr="00E43021">
        <w:rPr>
          <w:noProof/>
          <w:szCs w:val="24"/>
        </w:rPr>
        <w:t>(Kirby 2011).</w:t>
      </w:r>
      <w:r w:rsidR="00D314F9" w:rsidRPr="00E43021">
        <w:rPr>
          <w:szCs w:val="24"/>
        </w:rPr>
        <w:t xml:space="preserve"> It has been reported that 33% - 46% of NM-CRPC patients develop bone metastasis within 2 years of diagnosis, </w:t>
      </w:r>
      <w:r w:rsidR="00D314F9" w:rsidRPr="00E43021">
        <w:rPr>
          <w:noProof/>
          <w:szCs w:val="24"/>
        </w:rPr>
        <w:t>(Kirby, 2011)</w:t>
      </w:r>
      <w:r w:rsidR="00D314F9" w:rsidRPr="00E43021">
        <w:rPr>
          <w:szCs w:val="24"/>
        </w:rPr>
        <w:t xml:space="preserve"> </w:t>
      </w:r>
      <w:r w:rsidR="00D314F9" w:rsidRPr="00E43021">
        <w:rPr>
          <w:noProof/>
          <w:szCs w:val="24"/>
        </w:rPr>
        <w:t>(Smith, 2011)</w:t>
      </w:r>
      <w:r w:rsidR="00D314F9" w:rsidRPr="00E43021">
        <w:rPr>
          <w:szCs w:val="24"/>
        </w:rPr>
        <w:t xml:space="preserve">. Median </w:t>
      </w:r>
      <w:r w:rsidR="00D3106A">
        <w:rPr>
          <w:szCs w:val="24"/>
        </w:rPr>
        <w:t>prostate-specific antigen doubling time (</w:t>
      </w:r>
      <w:r w:rsidR="00D314F9" w:rsidRPr="00E43021">
        <w:rPr>
          <w:szCs w:val="24"/>
        </w:rPr>
        <w:t>PSADT</w:t>
      </w:r>
      <w:r w:rsidR="00D3106A">
        <w:rPr>
          <w:szCs w:val="24"/>
        </w:rPr>
        <w:t>)</w:t>
      </w:r>
      <w:r w:rsidR="00D314F9" w:rsidRPr="00E43021">
        <w:rPr>
          <w:szCs w:val="24"/>
        </w:rPr>
        <w:t xml:space="preserve"> after CRPC diagnosis was 6.5 months in 1 trial of 160 patients, of whom 26.9% were metastatic at diagnosis </w:t>
      </w:r>
      <w:r w:rsidR="00D314F9" w:rsidRPr="00E43021">
        <w:rPr>
          <w:noProof/>
          <w:szCs w:val="24"/>
        </w:rPr>
        <w:t>(Shulman 2004) indicating that those with a rapidly rising PSA are at risk of developing metastatic disease</w:t>
      </w:r>
      <w:r w:rsidR="00D314F9" w:rsidRPr="00E43021">
        <w:rPr>
          <w:szCs w:val="24"/>
        </w:rPr>
        <w:t xml:space="preserve">. An examination of the placebo arms of clinical trials has shown that NM-CRPC has a median bone-metastasis free survival of approximately 2 years, </w:t>
      </w:r>
      <w:r w:rsidR="00D314F9" w:rsidRPr="00E43021">
        <w:rPr>
          <w:noProof/>
          <w:szCs w:val="24"/>
        </w:rPr>
        <w:t>(Hong, 2014)</w:t>
      </w:r>
      <w:r w:rsidR="00D314F9" w:rsidRPr="00E43021">
        <w:rPr>
          <w:szCs w:val="24"/>
        </w:rPr>
        <w:t>.</w:t>
      </w:r>
    </w:p>
    <w:p w14:paraId="705875B9" w14:textId="77777777" w:rsidR="00D314F9" w:rsidRPr="00E43021" w:rsidRDefault="00D314F9" w:rsidP="00D314F9">
      <w:pPr>
        <w:pStyle w:val="BodyText12"/>
        <w:rPr>
          <w:rFonts w:eastAsia="Verdana"/>
          <w:szCs w:val="24"/>
        </w:rPr>
      </w:pPr>
      <w:r w:rsidRPr="00E43021">
        <w:rPr>
          <w:rFonts w:eastAsia="Verdana"/>
          <w:szCs w:val="24"/>
        </w:rPr>
        <w:t xml:space="preserve">Comorbidities for </w:t>
      </w:r>
      <w:proofErr w:type="spellStart"/>
      <w:r w:rsidRPr="00E43021">
        <w:rPr>
          <w:rFonts w:eastAsia="Verdana"/>
          <w:szCs w:val="24"/>
        </w:rPr>
        <w:t>PCa</w:t>
      </w:r>
      <w:proofErr w:type="spellEnd"/>
      <w:r w:rsidRPr="00E43021">
        <w:rPr>
          <w:rFonts w:eastAsia="Verdana"/>
          <w:szCs w:val="24"/>
        </w:rPr>
        <w:t xml:space="preserve"> patients on ADT include cardiovascular conditions, depression, diabetes , gastric acid disorders, </w:t>
      </w:r>
      <w:proofErr w:type="spellStart"/>
      <w:r w:rsidRPr="00E43021">
        <w:rPr>
          <w:rFonts w:eastAsia="Verdana"/>
          <w:szCs w:val="24"/>
        </w:rPr>
        <w:t>hyperlipidaemia</w:t>
      </w:r>
      <w:proofErr w:type="spellEnd"/>
      <w:r w:rsidRPr="00E43021">
        <w:rPr>
          <w:rFonts w:eastAsia="Verdana"/>
          <w:szCs w:val="24"/>
        </w:rPr>
        <w:t xml:space="preserve">, and osteoporosis </w:t>
      </w:r>
      <w:r w:rsidRPr="00E43021">
        <w:rPr>
          <w:rFonts w:eastAsia="Verdana"/>
          <w:szCs w:val="24"/>
        </w:rPr>
        <w:fldChar w:fldCharType="begin">
          <w:fldData xml:space="preserve">PEVuZE5vdGU+PENpdGU+PEF1dGhvcj5OZzwvQXV0aG9yPjxZZWFyPjIwMTg8L1llYXI+PFJlY051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</w:fldData>
        </w:fldChar>
      </w:r>
      <w:r w:rsidRPr="00E43021">
        <w:rPr>
          <w:rFonts w:eastAsia="Verdana"/>
          <w:szCs w:val="24"/>
        </w:rPr>
        <w:instrText xml:space="preserve"> ADDIN EN.CITE </w:instrText>
      </w:r>
      <w:r w:rsidRPr="00E43021">
        <w:rPr>
          <w:rFonts w:eastAsia="Verdana"/>
          <w:szCs w:val="24"/>
        </w:rPr>
        <w:fldChar w:fldCharType="begin">
          <w:fldData xml:space="preserve">PEVuZE5vdGU+PENpdGU+PEF1dGhvcj5OZzwvQXV0aG9yPjxZZWFyPjIwMTg8L1llYXI+PFJlY051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</w:fldData>
        </w:fldChar>
      </w:r>
      <w:r w:rsidRPr="00E43021">
        <w:rPr>
          <w:rFonts w:eastAsia="Verdana"/>
          <w:szCs w:val="24"/>
        </w:rPr>
        <w:instrText xml:space="preserve"> ADDIN EN.CITE.DATA </w:instrText>
      </w:r>
      <w:r w:rsidRPr="00E43021">
        <w:rPr>
          <w:rFonts w:eastAsia="Verdana"/>
          <w:szCs w:val="24"/>
        </w:rPr>
      </w:r>
      <w:r w:rsidRPr="00E43021">
        <w:rPr>
          <w:rFonts w:eastAsia="Verdana"/>
          <w:szCs w:val="24"/>
        </w:rPr>
        <w:fldChar w:fldCharType="end"/>
      </w:r>
      <w:r w:rsidRPr="00E43021">
        <w:rPr>
          <w:rFonts w:eastAsia="Verdana"/>
          <w:szCs w:val="24"/>
        </w:rPr>
      </w:r>
      <w:r w:rsidRPr="00E43021">
        <w:rPr>
          <w:rFonts w:eastAsia="Verdana"/>
          <w:szCs w:val="24"/>
        </w:rPr>
        <w:fldChar w:fldCharType="separate"/>
      </w:r>
      <w:r w:rsidRPr="00E43021">
        <w:rPr>
          <w:rFonts w:eastAsia="Verdana"/>
          <w:noProof/>
          <w:szCs w:val="24"/>
        </w:rPr>
        <w:t>(Ng et al. 2018)</w:t>
      </w:r>
      <w:r w:rsidRPr="00E43021">
        <w:rPr>
          <w:rFonts w:eastAsia="Verdana"/>
          <w:szCs w:val="24"/>
        </w:rPr>
        <w:fldChar w:fldCharType="end"/>
      </w:r>
      <w:r w:rsidRPr="00E43021">
        <w:rPr>
          <w:rFonts w:eastAsia="Verdana"/>
          <w:szCs w:val="24"/>
        </w:rPr>
        <w:t xml:space="preserve"> Comorbidities specific to CRPC patients include hypertension, </w:t>
      </w:r>
      <w:proofErr w:type="spellStart"/>
      <w:r w:rsidRPr="00E43021">
        <w:rPr>
          <w:rFonts w:eastAsia="Verdana"/>
          <w:szCs w:val="24"/>
        </w:rPr>
        <w:t>dyspnoea</w:t>
      </w:r>
      <w:proofErr w:type="spellEnd"/>
      <w:r w:rsidRPr="00E43021">
        <w:rPr>
          <w:rFonts w:eastAsia="Verdana"/>
          <w:szCs w:val="24"/>
        </w:rPr>
        <w:t xml:space="preserve">, cardiac disease (including </w:t>
      </w:r>
      <w:proofErr w:type="spellStart"/>
      <w:r w:rsidRPr="00E43021">
        <w:rPr>
          <w:rFonts w:eastAsia="Verdana"/>
          <w:szCs w:val="24"/>
        </w:rPr>
        <w:t>ischaemic</w:t>
      </w:r>
      <w:proofErr w:type="spellEnd"/>
      <w:r w:rsidRPr="00E43021">
        <w:rPr>
          <w:rFonts w:eastAsia="Verdana"/>
          <w:szCs w:val="24"/>
        </w:rPr>
        <w:t xml:space="preserve"> heart disease/angina, renal failure/impairment, diabetes mellitus, peripheral </w:t>
      </w:r>
      <w:proofErr w:type="spellStart"/>
      <w:r w:rsidRPr="00E43021">
        <w:rPr>
          <w:rFonts w:eastAsia="Verdana"/>
          <w:szCs w:val="24"/>
        </w:rPr>
        <w:t>oedema</w:t>
      </w:r>
      <w:proofErr w:type="spellEnd"/>
      <w:r w:rsidRPr="00E43021">
        <w:rPr>
          <w:rFonts w:eastAsia="Verdana"/>
          <w:szCs w:val="24"/>
        </w:rPr>
        <w:t xml:space="preserve">, hypotension, </w:t>
      </w:r>
      <w:r w:rsidRPr="00E43021">
        <w:rPr>
          <w:rFonts w:eastAsia="Verdana"/>
          <w:bCs/>
          <w:iCs/>
          <w:szCs w:val="24"/>
        </w:rPr>
        <w:t xml:space="preserve">urinary disorders, </w:t>
      </w:r>
      <w:proofErr w:type="spellStart"/>
      <w:r w:rsidRPr="00E43021">
        <w:rPr>
          <w:rFonts w:eastAsia="Verdana"/>
          <w:bCs/>
          <w:iCs/>
          <w:szCs w:val="24"/>
        </w:rPr>
        <w:t>anaemia</w:t>
      </w:r>
      <w:proofErr w:type="spellEnd"/>
      <w:r w:rsidRPr="00E43021">
        <w:rPr>
          <w:rFonts w:eastAsia="Verdana"/>
          <w:bCs/>
          <w:iCs/>
          <w:szCs w:val="24"/>
        </w:rPr>
        <w:t xml:space="preserve">, digestive disorders, </w:t>
      </w:r>
      <w:r w:rsidRPr="00E43021">
        <w:rPr>
          <w:rFonts w:eastAsia="Verdana"/>
          <w:szCs w:val="24"/>
          <w:lang w:val="en-GB"/>
        </w:rPr>
        <w:t xml:space="preserve">and </w:t>
      </w:r>
      <w:r w:rsidRPr="00E43021">
        <w:rPr>
          <w:rFonts w:eastAsia="Verdana"/>
          <w:bCs/>
          <w:iCs/>
          <w:szCs w:val="24"/>
        </w:rPr>
        <w:t xml:space="preserve">respiratory infections </w:t>
      </w:r>
      <w:r w:rsidRPr="00E43021">
        <w:rPr>
          <w:rFonts w:eastAsia="Verdana"/>
          <w:bCs/>
          <w:iCs/>
          <w:szCs w:val="24"/>
        </w:rPr>
        <w:fldChar w:fldCharType="begin"/>
      </w:r>
      <w:r w:rsidRPr="00E43021">
        <w:rPr>
          <w:rFonts w:eastAsia="Verdana"/>
          <w:bCs/>
          <w:iCs/>
          <w:szCs w:val="24"/>
        </w:rPr>
        <w:instrText xml:space="preserve"> ADDIN EN.CITE &lt;EndNote&gt;&lt;Cite&gt;&lt;Author&gt;Hirst&lt;/Author&gt;&lt;Year&gt;2012&lt;/Year&gt;&lt;RecNum&gt;2353&lt;/RecNum&gt;&lt;DisplayText&gt;(Hirst et al. 2012)&lt;/DisplayText&gt;&lt;record&gt;&lt;rec-number&gt;2353&lt;/rec-number&gt;&lt;foreign-keys&gt;&lt;key app="EN" db-id="dpep9zw08dzt57etvd0x2eapx9rrppptdxpr" timestamp="1547064388"&gt;2353&lt;/key&gt;&lt;/foreign-keys&gt;&lt;ref-type name="Journal Article"&gt;17&lt;/ref-type&gt;&lt;contributors&gt;&lt;authors&gt;&lt;author&gt;Hirst, C. J.&lt;/author&gt;&lt;author&gt;Cabrera, C.&lt;/author&gt;&lt;author&gt;Kirby, M.&lt;/author&gt;&lt;/authors&gt;&lt;/contributors&gt;&lt;auth-address&gt;Global Epidemiology, AstraZeneca, Alderley Park, Cheshire, UK.&lt;/auth-address&gt;&lt;titles&gt;&lt;title&gt;Epidemiology of castration resistant prostate cancer: a longitudinal analysis using a UK primary care database&lt;/title&gt;&lt;secondary-title&gt;Cancer Epidemiol&lt;/secondary-title&gt;&lt;/titles&gt;&lt;periodical&gt;&lt;full-title&gt;Cancer Epidemiol&lt;/full-title&gt;&lt;abbr-1&gt;Cancer epidemiology&lt;/abbr-1&gt;&lt;/periodical&gt;&lt;pages&gt;e349-53&lt;/pages&gt;&lt;volume&gt;36&lt;/volume&gt;&lt;number&gt;6&lt;/number&gt;&lt;keywords&gt;&lt;keyword&gt;Cohort Studies&lt;/keyword&gt;&lt;keyword&gt;Comorbidity&lt;/keyword&gt;&lt;keyword&gt;Databases, Factual&lt;/keyword&gt;&lt;keyword&gt;General Practice/statistics &amp;amp; numerical data&lt;/keyword&gt;&lt;keyword&gt;Humans&lt;/keyword&gt;&lt;keyword&gt;Longitudinal Studies&lt;/keyword&gt;&lt;keyword&gt;Male&lt;/keyword&gt;&lt;keyword&gt;Neoplasms, Hormone-Dependent/epidemiology/mortality/surgery&lt;/keyword&gt;&lt;keyword&gt;Orchiectomy&lt;/keyword&gt;&lt;keyword&gt;Prostatic Neoplasms/*epidemiology/mortality/surgery&lt;/keyword&gt;&lt;keyword&gt;Retrospective Studies&lt;/keyword&gt;&lt;keyword&gt;Survival Analysis&lt;/keyword&gt;&lt;keyword&gt;Treatment Outcome&lt;/keyword&gt;&lt;keyword&gt;United Kingdom/epidemiology&lt;/keyword&gt;&lt;/keywords&gt;&lt;dates&gt;&lt;year&gt;2012&lt;/year&gt;&lt;pub-dates&gt;&lt;date&gt;Dec&lt;/date&gt;&lt;/pub-dates&gt;&lt;/dates&gt;&lt;isbn&gt;1877-783X (Electronic)&amp;#xD;1877-7821 (Linking)&lt;/isbn&gt;&lt;accession-num&gt;22910034&lt;/accession-num&gt;&lt;urls&gt;&lt;related-urls&gt;&lt;url&gt;https://www.ncbi.nlm.nih.gov/pubmed/22910034&lt;/url&gt;&lt;url&gt;https://jnj.sharepoint.com/teams/epi/Shared%20Documents/References/Prostate%20Cancer/Hirst%20Cancer%20Epidemiol%202012.pdf&lt;/url&gt;&lt;/related-urls&gt;&lt;/urls&gt;&lt;electronic-resource-num&gt;10.1016/j.canep.2012.07.012&lt;/electronic-resource-num&gt;&lt;/record&gt;&lt;/Cite&gt;&lt;/EndNote&gt;</w:instrText>
      </w:r>
      <w:r w:rsidRPr="00E43021">
        <w:rPr>
          <w:rFonts w:eastAsia="Verdana"/>
          <w:bCs/>
          <w:iCs/>
          <w:szCs w:val="24"/>
        </w:rPr>
        <w:fldChar w:fldCharType="separate"/>
      </w:r>
      <w:r w:rsidRPr="00E43021">
        <w:rPr>
          <w:rFonts w:eastAsia="Verdana"/>
          <w:bCs/>
          <w:iCs/>
          <w:noProof/>
          <w:szCs w:val="24"/>
        </w:rPr>
        <w:t>(Hirst et al. 2012)</w:t>
      </w:r>
      <w:r w:rsidRPr="00E43021">
        <w:rPr>
          <w:rFonts w:eastAsia="Verdana"/>
          <w:bCs/>
          <w:iCs/>
          <w:szCs w:val="24"/>
        </w:rPr>
        <w:fldChar w:fldCharType="end"/>
      </w:r>
      <w:r w:rsidRPr="00E43021">
        <w:rPr>
          <w:rFonts w:eastAsia="Verdana"/>
          <w:bCs/>
          <w:iCs/>
          <w:szCs w:val="24"/>
        </w:rPr>
        <w:t>.</w:t>
      </w:r>
    </w:p>
    <w:p w14:paraId="63DC442A" w14:textId="1587FB0F" w:rsidR="00985AD8" w:rsidRPr="00E43021" w:rsidRDefault="00DA0E7C" w:rsidP="007A47E6">
      <w:pPr>
        <w:pStyle w:val="BodyText12"/>
        <w:widowControl w:val="0"/>
        <w:rPr>
          <w:szCs w:val="24"/>
        </w:rPr>
      </w:pPr>
      <w:r w:rsidRPr="0073674E">
        <w:rPr>
          <w:szCs w:val="24"/>
        </w:rPr>
        <w:t>Older men with prostate cancer receiving long-term ADT have been shown to exhibit significant functional and physical impairment, putting</w:t>
      </w:r>
      <w:r w:rsidRPr="00E43021">
        <w:rPr>
          <w:szCs w:val="24"/>
        </w:rPr>
        <w:t xml:space="preserve"> them at increased risk for </w:t>
      </w:r>
      <w:r w:rsidR="007A47E6" w:rsidRPr="00E43021">
        <w:rPr>
          <w:szCs w:val="24"/>
        </w:rPr>
        <w:t xml:space="preserve">cardiovascular disease, </w:t>
      </w:r>
      <w:r w:rsidRPr="00E43021">
        <w:rPr>
          <w:szCs w:val="24"/>
        </w:rPr>
        <w:t>fall</w:t>
      </w:r>
      <w:r w:rsidR="007A47E6" w:rsidRPr="00E43021">
        <w:rPr>
          <w:szCs w:val="24"/>
        </w:rPr>
        <w:t>s and fracture</w:t>
      </w:r>
      <w:r w:rsidR="00985AD8" w:rsidRPr="00E43021">
        <w:rPr>
          <w:szCs w:val="24"/>
        </w:rPr>
        <w:t>, and cognitive impairment</w:t>
      </w:r>
      <w:r w:rsidRPr="00E43021">
        <w:rPr>
          <w:szCs w:val="24"/>
        </w:rPr>
        <w:t xml:space="preserve"> (</w:t>
      </w:r>
      <w:proofErr w:type="spellStart"/>
      <w:r w:rsidRPr="00E43021">
        <w:rPr>
          <w:szCs w:val="24"/>
        </w:rPr>
        <w:t>Bylow</w:t>
      </w:r>
      <w:proofErr w:type="spellEnd"/>
      <w:r w:rsidRPr="00E43021">
        <w:rPr>
          <w:szCs w:val="24"/>
        </w:rPr>
        <w:t xml:space="preserve"> 2008</w:t>
      </w:r>
      <w:r w:rsidR="00985AD8" w:rsidRPr="00E43021">
        <w:rPr>
          <w:szCs w:val="24"/>
        </w:rPr>
        <w:t>; Sun, 2017</w:t>
      </w:r>
      <w:r w:rsidRPr="00E43021">
        <w:rPr>
          <w:szCs w:val="24"/>
        </w:rPr>
        <w:t>).</w:t>
      </w:r>
      <w:r w:rsidR="007A47E6" w:rsidRPr="00E43021">
        <w:rPr>
          <w:szCs w:val="24"/>
        </w:rPr>
        <w:t xml:space="preserve"> </w:t>
      </w:r>
    </w:p>
    <w:p w14:paraId="20927750" w14:textId="77777777" w:rsidR="00CF40CC" w:rsidRPr="00E43021" w:rsidRDefault="00616412" w:rsidP="007A47E6">
      <w:pPr>
        <w:pStyle w:val="BodyText12"/>
        <w:widowControl w:val="0"/>
        <w:rPr>
          <w:szCs w:val="24"/>
        </w:rPr>
      </w:pPr>
      <w:r w:rsidRPr="00E43021">
        <w:rPr>
          <w:szCs w:val="24"/>
        </w:rPr>
        <w:t>Published reports have suggested that there may be an association between ADT with GnRH analogues (with or without an anti-androgen) or bilateral orchiectomy and the incidence of cardiac disease, including myocardial infarction and mortality (</w:t>
      </w:r>
      <w:hyperlink w:anchor="_ultralink105" w:history="1">
        <w:r w:rsidRPr="00E43021">
          <w:rPr>
            <w:rStyle w:val="Hyperlink"/>
            <w:color w:val="auto"/>
            <w:szCs w:val="24"/>
          </w:rPr>
          <w:t>Levine et al, 2010</w:t>
        </w:r>
      </w:hyperlink>
      <w:r w:rsidRPr="00E43021">
        <w:rPr>
          <w:szCs w:val="24"/>
        </w:rPr>
        <w:t xml:space="preserve">). Although no cardiac findings were reported in the nonclinical studies with abiraterone acetate, cardiac disorders, in theory, could develop considering the primary pharmacology of abiraterone (selective inhibition of CYP17 that results in an inhibition of androgen biosynthesis). Based on this current knowledge and the </w:t>
      </w:r>
      <w:r w:rsidR="00CF40CC" w:rsidRPr="00E43021">
        <w:rPr>
          <w:szCs w:val="24"/>
        </w:rPr>
        <w:t>r</w:t>
      </w:r>
      <w:r w:rsidRPr="00E43021">
        <w:rPr>
          <w:szCs w:val="24"/>
        </w:rPr>
        <w:t xml:space="preserve">isks of </w:t>
      </w:r>
      <w:proofErr w:type="spellStart"/>
      <w:r w:rsidRPr="00E43021">
        <w:rPr>
          <w:szCs w:val="24"/>
        </w:rPr>
        <w:t>hypokalaemia</w:t>
      </w:r>
      <w:proofErr w:type="spellEnd"/>
      <w:r w:rsidRPr="00E43021">
        <w:rPr>
          <w:szCs w:val="24"/>
        </w:rPr>
        <w:t xml:space="preserve"> and fluid retention/</w:t>
      </w:r>
      <w:proofErr w:type="spellStart"/>
      <w:r w:rsidRPr="00E43021">
        <w:rPr>
          <w:szCs w:val="24"/>
        </w:rPr>
        <w:t>oedema</w:t>
      </w:r>
      <w:proofErr w:type="spellEnd"/>
      <w:r w:rsidRPr="00E43021">
        <w:rPr>
          <w:szCs w:val="24"/>
        </w:rPr>
        <w:t xml:space="preserve"> events related to mineralocorticoid excess in subjects receiving abiraterone acetate, cardiac disorders </w:t>
      </w:r>
      <w:r w:rsidR="00CF40CC" w:rsidRPr="00E43021">
        <w:rPr>
          <w:szCs w:val="24"/>
        </w:rPr>
        <w:t>are considered</w:t>
      </w:r>
      <w:r w:rsidRPr="00E43021">
        <w:rPr>
          <w:szCs w:val="24"/>
        </w:rPr>
        <w:t xml:space="preserve"> an Important Identified Risk</w:t>
      </w:r>
      <w:r w:rsidR="00CF40CC" w:rsidRPr="00E43021">
        <w:rPr>
          <w:szCs w:val="24"/>
        </w:rPr>
        <w:t xml:space="preserve"> for abiraterone acetate. </w:t>
      </w:r>
    </w:p>
    <w:p w14:paraId="78914290" w14:textId="0286943B" w:rsidR="00616412" w:rsidRPr="00E43021" w:rsidRDefault="00CF40CC" w:rsidP="007A47E6">
      <w:pPr>
        <w:pStyle w:val="BodyText12"/>
        <w:widowControl w:val="0"/>
      </w:pPr>
      <w:r>
        <w:t>Cardiovascular disorders are the most prevalent comorbidity among patients with prostate cancer, regardless of treatment. Prevalence has been estimated as follows (whites vs blacks): coronary heart disease, 36.8% vs 35.4%; congestive heart failure, 12.7% vs 19.7%; benign hypertension, 46.4% vs 64.5%; valvular disease, 6.5% vs 5.0%; cardiac conduction disorders, 12.9% vs 9.0%; peripheral vascular disease, 12.8% vs 17.4% (</w:t>
      </w:r>
      <w:r w:rsidRPr="2A2DD85B">
        <w:rPr>
          <w:rStyle w:val="Hyperlink"/>
          <w:color w:val="auto"/>
        </w:rPr>
        <w:t>Fleming et al, 2006</w:t>
      </w:r>
      <w:r>
        <w:t xml:space="preserve">). A recent analysis of the Swedish National Prostate Cancer Registry reported that prostate cancer patients treated with endocrine therapy are at a 24% increased risk of having a non-fatal myocardial infarction, a 19% increased risk of cardiac arrhythmias, a 31% increased risk of </w:t>
      </w:r>
      <w:proofErr w:type="spellStart"/>
      <w:r>
        <w:t>ischaemic</w:t>
      </w:r>
      <w:proofErr w:type="spellEnd"/>
      <w:r>
        <w:t xml:space="preserve"> heart disease, and a 26% increased risk of heart failure compared to the general population (</w:t>
      </w:r>
      <w:proofErr w:type="spellStart"/>
      <w:r w:rsidRPr="2A2DD85B">
        <w:rPr>
          <w:rStyle w:val="Hyperlink"/>
          <w:color w:val="auto"/>
        </w:rPr>
        <w:t>Laino</w:t>
      </w:r>
      <w:proofErr w:type="spellEnd"/>
      <w:r w:rsidRPr="2A2DD85B">
        <w:rPr>
          <w:rStyle w:val="Hyperlink"/>
          <w:color w:val="auto"/>
        </w:rPr>
        <w:t>, 2009</w:t>
      </w:r>
      <w:r>
        <w:t>). Risk factors for cardiac disease include high blood cholesterol and other lipids, tobacco use, physical inactivity, overweight and obesity, diabetes mellitus, ESRD and chronic kidney disease, fasting plasma glucose ≥ 100 mg/dL or drug treatment for elevated glucose, waist circumference ≥ 102 cm in men, BP ≥ 130 mm Hg systolic or &gt; 85 mm Hg diastolic or undergoing any treatment for hypertension, and nutritional factors (</w:t>
      </w:r>
      <w:r w:rsidRPr="2A2DD85B">
        <w:rPr>
          <w:rStyle w:val="Hyperlink"/>
          <w:color w:val="auto"/>
        </w:rPr>
        <w:t>Lloyd-Jones et al, 2010</w:t>
      </w:r>
      <w:r>
        <w:t xml:space="preserve">). Additionally, trials report that </w:t>
      </w:r>
      <w:r>
        <w:lastRenderedPageBreak/>
        <w:t>patients undergoing ADT have a 20% increased risk of any cardiac morbidity compared with men who do not undergo ADT, with increasing duration of treatment significantly associated with increasing risks (</w:t>
      </w:r>
      <w:r w:rsidRPr="2A2DD85B">
        <w:rPr>
          <w:rStyle w:val="Hyperlink"/>
          <w:color w:val="auto"/>
        </w:rPr>
        <w:t>Fitzpatrick, 2008</w:t>
      </w:r>
      <w:r>
        <w:t>).</w:t>
      </w:r>
    </w:p>
    <w:p w14:paraId="484DCBDD" w14:textId="023A20EB" w:rsidR="007A47E6" w:rsidRDefault="5BBA61EA" w:rsidP="2A2DD85B">
      <w:pPr>
        <w:pStyle w:val="BodyText12"/>
      </w:pPr>
      <w:r>
        <w:t>Representatives from G</w:t>
      </w:r>
      <w:r w:rsidR="4EB91BF6">
        <w:t xml:space="preserve">lobal </w:t>
      </w:r>
      <w:r>
        <w:t>M</w:t>
      </w:r>
      <w:r w:rsidR="73053691">
        <w:t xml:space="preserve">edical </w:t>
      </w:r>
      <w:r>
        <w:t>S</w:t>
      </w:r>
      <w:r w:rsidR="382CB1E8">
        <w:t>afety</w:t>
      </w:r>
      <w:r>
        <w:t>, Clinical, and Epi</w:t>
      </w:r>
      <w:r w:rsidR="7DE89D8F">
        <w:t>demiology</w:t>
      </w:r>
      <w:r>
        <w:t xml:space="preserve"> </w:t>
      </w:r>
      <w:r w:rsidR="24ECBC5C">
        <w:t xml:space="preserve">are collaborating to address open questions in the prostate cancer patient population and identified cardiovascular outcomes as a </w:t>
      </w:r>
      <w:r w:rsidR="16A2B71F">
        <w:t>disease area</w:t>
      </w:r>
      <w:r w:rsidR="24ECBC5C">
        <w:t xml:space="preserve"> that would be useful to further evaluate using real world data. </w:t>
      </w:r>
      <w:r w:rsidR="03BFF627">
        <w:t>Specifically, the team seeks to understand whether patients exposed to</w:t>
      </w:r>
      <w:r>
        <w:t xml:space="preserve"> </w:t>
      </w:r>
      <w:proofErr w:type="spellStart"/>
      <w:r>
        <w:t>Zytiga</w:t>
      </w:r>
      <w:proofErr w:type="spellEnd"/>
      <w:r>
        <w:t xml:space="preserve"> are at increased risk of cardiovascular morbidity</w:t>
      </w:r>
      <w:r w:rsidR="786878A2">
        <w:t xml:space="preserve"> compared to other therapies among patients with metastatic castrate resistant prostate cancer</w:t>
      </w:r>
      <w:r>
        <w:t xml:space="preserve">. </w:t>
      </w:r>
      <w:r w:rsidR="229A8187">
        <w:t xml:space="preserve">At the most recent </w:t>
      </w:r>
      <w:r>
        <w:t>American Association for Cancer Research (AACR)</w:t>
      </w:r>
      <w:r w:rsidR="75601201">
        <w:t xml:space="preserve"> annual conference, an abstract was presented in which cardiovascular outcomes among </w:t>
      </w:r>
      <w:proofErr w:type="spellStart"/>
      <w:r w:rsidR="75601201">
        <w:t>Zytiga</w:t>
      </w:r>
      <w:proofErr w:type="spellEnd"/>
      <w:r w:rsidR="75601201">
        <w:t xml:space="preserve"> users was presented</w:t>
      </w:r>
      <w:r>
        <w:t xml:space="preserve"> (Lu-Yao 2019). The study identified patients who initiated </w:t>
      </w:r>
      <w:proofErr w:type="spellStart"/>
      <w:r>
        <w:t>Zytiga</w:t>
      </w:r>
      <w:proofErr w:type="spellEnd"/>
      <w:r>
        <w:t xml:space="preserve"> after being diagnosed with prostate cancer and presents unadjusted/crude incidence rate ratio estimates, comparing rates of hospitalization for various cardiovascular outcome in the period after vs. before </w:t>
      </w:r>
      <w:proofErr w:type="spellStart"/>
      <w:r>
        <w:t>Zytiga</w:t>
      </w:r>
      <w:proofErr w:type="spellEnd"/>
      <w:r>
        <w:t xml:space="preserve"> initiation. The study has multiple methodological shortcomings that bias findings (e.g. failing to use an active comparator, immortal time bias).  The team therefore seeks to fully evaluate whether </w:t>
      </w:r>
      <w:proofErr w:type="spellStart"/>
      <w:r>
        <w:t>Zytiga</w:t>
      </w:r>
      <w:proofErr w:type="spellEnd"/>
      <w:r>
        <w:t xml:space="preserve"> poses additional cardiovascular risk among prostate cancer patients relative to other treatments</w:t>
      </w:r>
      <w:r w:rsidR="32FF15D3">
        <w:t xml:space="preserve"> in the metastatic castrate resistant patient population</w:t>
      </w:r>
      <w:r w:rsidR="24908D19">
        <w:t>, after controlling for the biases that were present in the previous analysis</w:t>
      </w:r>
      <w:r w:rsidR="32FF15D3">
        <w:t>.</w:t>
      </w:r>
    </w:p>
    <w:p w14:paraId="2F7ECE7B" w14:textId="4E2BDE35" w:rsidR="005D2306" w:rsidRPr="00922AF2" w:rsidRDefault="0027482E" w:rsidP="005D2306">
      <w:pPr>
        <w:pStyle w:val="Heading1"/>
        <w:rPr>
          <w:rFonts w:ascii="Times New Roman" w:hAnsi="Times New Roman"/>
          <w:sz w:val="28"/>
          <w:szCs w:val="28"/>
        </w:rPr>
      </w:pPr>
      <w:bookmarkStart w:id="6" w:name="_Toc35611417"/>
      <w:r w:rsidRPr="00922AF2">
        <w:rPr>
          <w:rFonts w:ascii="Times New Roman" w:hAnsi="Times New Roman"/>
          <w:sz w:val="28"/>
          <w:szCs w:val="28"/>
        </w:rPr>
        <w:t>STUDY</w:t>
      </w:r>
      <w:r w:rsidR="005D2306" w:rsidRPr="00922AF2">
        <w:rPr>
          <w:rFonts w:ascii="Times New Roman" w:hAnsi="Times New Roman"/>
          <w:sz w:val="28"/>
          <w:szCs w:val="28"/>
        </w:rPr>
        <w:t xml:space="preserve"> Objectives</w:t>
      </w:r>
      <w:bookmarkEnd w:id="6"/>
    </w:p>
    <w:p w14:paraId="6594810B" w14:textId="64073DEB" w:rsidR="000D652B" w:rsidRDefault="004C6C99" w:rsidP="000D652B">
      <w:pPr>
        <w:pStyle w:val="Heading2"/>
        <w:rPr>
          <w:rFonts w:ascii="Times New Roman" w:hAnsi="Times New Roman"/>
          <w:szCs w:val="24"/>
        </w:rPr>
      </w:pPr>
      <w:bookmarkStart w:id="7" w:name="_Toc35611418"/>
      <w:r w:rsidRPr="00E43021">
        <w:rPr>
          <w:rFonts w:ascii="Times New Roman" w:hAnsi="Times New Roman"/>
          <w:szCs w:val="24"/>
        </w:rPr>
        <w:t>Primary Objective</w:t>
      </w:r>
      <w:r w:rsidR="000F1C82">
        <w:rPr>
          <w:rFonts w:ascii="Times New Roman" w:hAnsi="Times New Roman"/>
          <w:szCs w:val="24"/>
        </w:rPr>
        <w:t>s</w:t>
      </w:r>
      <w:bookmarkEnd w:id="7"/>
    </w:p>
    <w:p w14:paraId="663FAEAE" w14:textId="640F29CD" w:rsidR="000F1C82" w:rsidRPr="000F1C82" w:rsidRDefault="000F1C82">
      <w:pPr>
        <w:pStyle w:val="BodyText12"/>
        <w:rPr>
          <w:rFonts w:eastAsia="Calibri"/>
        </w:rPr>
      </w:pPr>
      <w:r w:rsidRPr="000F1C82">
        <w:rPr>
          <w:rFonts w:eastAsia="Calibri"/>
        </w:rPr>
        <w:t>The primary objectives of the study are:</w:t>
      </w:r>
    </w:p>
    <w:p w14:paraId="6E821CF0" w14:textId="124F0479" w:rsidR="000D652B" w:rsidRPr="006F6EC5" w:rsidRDefault="000D652B" w:rsidP="003E725B">
      <w:pPr>
        <w:pStyle w:val="ListParagraph"/>
        <w:numPr>
          <w:ilvl w:val="0"/>
          <w:numId w:val="21"/>
        </w:numPr>
        <w:spacing w:after="240" w:line="264" w:lineRule="auto"/>
        <w:contextualSpacing w:val="0"/>
        <w:jc w:val="both"/>
        <w:rPr>
          <w:rFonts w:ascii="Times New Roman" w:hAnsi="Times New Roman" w:cs="Times New Roman"/>
          <w:sz w:val="24"/>
          <w:szCs w:val="24"/>
        </w:rPr>
      </w:pPr>
      <w:r w:rsidRPr="006F6EC5">
        <w:rPr>
          <w:rFonts w:ascii="Times New Roman" w:hAnsi="Times New Roman" w:cs="Times New Roman"/>
          <w:sz w:val="24"/>
          <w:szCs w:val="24"/>
        </w:rPr>
        <w:t xml:space="preserve">Among </w:t>
      </w:r>
      <w:r w:rsidR="006F6EC5">
        <w:rPr>
          <w:rFonts w:ascii="Times New Roman" w:hAnsi="Times New Roman" w:cs="Times New Roman"/>
          <w:sz w:val="24"/>
          <w:szCs w:val="24"/>
        </w:rPr>
        <w:t>patients with castration-resistant prostate cancer (CRPC)</w:t>
      </w:r>
      <w:r w:rsidR="005304D3" w:rsidRPr="006F6EC5">
        <w:rPr>
          <w:rFonts w:ascii="Times New Roman" w:hAnsi="Times New Roman" w:cs="Times New Roman"/>
          <w:sz w:val="24"/>
          <w:szCs w:val="24"/>
        </w:rPr>
        <w:t xml:space="preserve">, compare </w:t>
      </w:r>
      <w:r w:rsidRPr="006F6EC5">
        <w:rPr>
          <w:rFonts w:ascii="Times New Roman" w:hAnsi="Times New Roman" w:cs="Times New Roman"/>
          <w:sz w:val="24"/>
          <w:szCs w:val="24"/>
        </w:rPr>
        <w:t xml:space="preserve">new users of abiraterone acetate plus </w:t>
      </w:r>
      <w:proofErr w:type="spellStart"/>
      <w:r w:rsidRPr="006F6EC5">
        <w:rPr>
          <w:rFonts w:ascii="Times New Roman" w:hAnsi="Times New Roman" w:cs="Times New Roman"/>
          <w:sz w:val="24"/>
          <w:szCs w:val="24"/>
        </w:rPr>
        <w:t>predniso</w:t>
      </w:r>
      <w:proofErr w:type="spellEnd"/>
      <w:r w:rsidRPr="006F6EC5">
        <w:rPr>
          <w:rFonts w:ascii="Times New Roman" w:hAnsi="Times New Roman" w:cs="Times New Roman"/>
          <w:sz w:val="24"/>
          <w:szCs w:val="24"/>
        </w:rPr>
        <w:t>(lo)ne to new users of enzalutamide</w:t>
      </w:r>
      <w:r w:rsidR="005304D3" w:rsidRPr="006F6EC5">
        <w:rPr>
          <w:rFonts w:ascii="Times New Roman" w:hAnsi="Times New Roman" w:cs="Times New Roman"/>
          <w:sz w:val="24"/>
          <w:szCs w:val="24"/>
        </w:rPr>
        <w:t xml:space="preserve"> with respect to </w:t>
      </w:r>
      <w:r w:rsidR="004201B4">
        <w:rPr>
          <w:rFonts w:ascii="Times New Roman" w:hAnsi="Times New Roman" w:cs="Times New Roman"/>
          <w:sz w:val="24"/>
          <w:szCs w:val="24"/>
        </w:rPr>
        <w:t>hospitalization for</w:t>
      </w:r>
      <w:r w:rsidR="006F6EC5">
        <w:rPr>
          <w:rFonts w:ascii="Times New Roman" w:hAnsi="Times New Roman" w:cs="Times New Roman"/>
          <w:sz w:val="24"/>
          <w:szCs w:val="24"/>
        </w:rPr>
        <w:t xml:space="preserve"> </w:t>
      </w:r>
      <w:r w:rsidR="005304D3" w:rsidRPr="006F6EC5">
        <w:rPr>
          <w:rFonts w:ascii="Times New Roman" w:hAnsi="Times New Roman" w:cs="Times New Roman"/>
          <w:sz w:val="24"/>
          <w:szCs w:val="24"/>
        </w:rPr>
        <w:t>the following cardiovascular morbidity outcomes</w:t>
      </w:r>
    </w:p>
    <w:p w14:paraId="7B2DA99B" w14:textId="7C6B4E99" w:rsidR="005304D3" w:rsidRPr="006F6EC5" w:rsidRDefault="005304D3" w:rsidP="003E725B">
      <w:pPr>
        <w:pStyle w:val="ListParagraph"/>
        <w:numPr>
          <w:ilvl w:val="1"/>
          <w:numId w:val="23"/>
        </w:numPr>
        <w:spacing w:after="240" w:line="264" w:lineRule="auto"/>
        <w:jc w:val="both"/>
        <w:rPr>
          <w:rFonts w:ascii="Times New Roman" w:hAnsi="Times New Roman" w:cs="Times New Roman"/>
          <w:sz w:val="24"/>
          <w:szCs w:val="24"/>
        </w:rPr>
      </w:pPr>
      <w:r w:rsidRPr="006F6EC5">
        <w:rPr>
          <w:rFonts w:ascii="Times New Roman" w:hAnsi="Times New Roman" w:cs="Times New Roman"/>
          <w:sz w:val="24"/>
          <w:szCs w:val="24"/>
        </w:rPr>
        <w:t>Cardiovascular morbidity (ischemic stroke, hemorrhagic stroke, heart failure, acute myocardial infarction or sudden cardiac death)</w:t>
      </w:r>
    </w:p>
    <w:p w14:paraId="3FCB3BAF" w14:textId="7A5BA1D1" w:rsidR="005304D3" w:rsidRPr="006F6EC5" w:rsidRDefault="005304D3" w:rsidP="003E725B">
      <w:pPr>
        <w:pStyle w:val="ListParagraph"/>
        <w:numPr>
          <w:ilvl w:val="1"/>
          <w:numId w:val="23"/>
        </w:numPr>
        <w:spacing w:after="240" w:line="264" w:lineRule="auto"/>
        <w:jc w:val="both"/>
        <w:rPr>
          <w:rFonts w:ascii="Times New Roman" w:hAnsi="Times New Roman" w:cs="Times New Roman"/>
          <w:sz w:val="24"/>
          <w:szCs w:val="24"/>
        </w:rPr>
      </w:pPr>
      <w:r w:rsidRPr="006F6EC5">
        <w:rPr>
          <w:rFonts w:ascii="Times New Roman" w:hAnsi="Times New Roman" w:cs="Times New Roman"/>
          <w:sz w:val="24"/>
          <w:szCs w:val="24"/>
        </w:rPr>
        <w:t>Ischemic stroke</w:t>
      </w:r>
    </w:p>
    <w:p w14:paraId="72BD86AE" w14:textId="042E2FEC" w:rsidR="005304D3" w:rsidRPr="006F6EC5" w:rsidRDefault="005304D3" w:rsidP="003E725B">
      <w:pPr>
        <w:pStyle w:val="ListParagraph"/>
        <w:numPr>
          <w:ilvl w:val="1"/>
          <w:numId w:val="23"/>
        </w:numPr>
        <w:spacing w:after="240" w:line="264" w:lineRule="auto"/>
        <w:jc w:val="both"/>
        <w:rPr>
          <w:rFonts w:ascii="Times New Roman" w:hAnsi="Times New Roman" w:cs="Times New Roman"/>
          <w:sz w:val="24"/>
          <w:szCs w:val="24"/>
        </w:rPr>
      </w:pPr>
      <w:r w:rsidRPr="006F6EC5">
        <w:rPr>
          <w:rFonts w:ascii="Times New Roman" w:hAnsi="Times New Roman" w:cs="Times New Roman"/>
          <w:sz w:val="24"/>
          <w:szCs w:val="24"/>
        </w:rPr>
        <w:t>Hemorrhagic stroke</w:t>
      </w:r>
    </w:p>
    <w:p w14:paraId="300CB3AD" w14:textId="3BB35013" w:rsidR="005304D3" w:rsidRPr="006F6EC5" w:rsidRDefault="005304D3" w:rsidP="003E725B">
      <w:pPr>
        <w:pStyle w:val="ListParagraph"/>
        <w:numPr>
          <w:ilvl w:val="1"/>
          <w:numId w:val="23"/>
        </w:numPr>
        <w:spacing w:after="240" w:line="264" w:lineRule="auto"/>
        <w:jc w:val="both"/>
        <w:rPr>
          <w:rFonts w:ascii="Times New Roman" w:hAnsi="Times New Roman" w:cs="Times New Roman"/>
          <w:sz w:val="24"/>
          <w:szCs w:val="24"/>
        </w:rPr>
      </w:pPr>
      <w:r w:rsidRPr="006F6EC5">
        <w:rPr>
          <w:rFonts w:ascii="Times New Roman" w:hAnsi="Times New Roman" w:cs="Times New Roman"/>
          <w:sz w:val="24"/>
          <w:szCs w:val="24"/>
        </w:rPr>
        <w:t>Hospitalization because of heart failure (HF)</w:t>
      </w:r>
    </w:p>
    <w:p w14:paraId="42ABC7F1" w14:textId="0BA76650" w:rsidR="005304D3" w:rsidRPr="006F6EC5" w:rsidRDefault="005304D3" w:rsidP="003E725B">
      <w:pPr>
        <w:pStyle w:val="ListParagraph"/>
        <w:numPr>
          <w:ilvl w:val="1"/>
          <w:numId w:val="23"/>
        </w:numPr>
        <w:spacing w:after="240" w:line="264" w:lineRule="auto"/>
        <w:jc w:val="both"/>
        <w:rPr>
          <w:rFonts w:ascii="Times New Roman" w:hAnsi="Times New Roman" w:cs="Times New Roman"/>
          <w:sz w:val="24"/>
          <w:szCs w:val="24"/>
        </w:rPr>
      </w:pPr>
      <w:r w:rsidRPr="006F6EC5">
        <w:rPr>
          <w:rFonts w:ascii="Times New Roman" w:hAnsi="Times New Roman" w:cs="Times New Roman"/>
          <w:sz w:val="24"/>
          <w:szCs w:val="24"/>
        </w:rPr>
        <w:t>Acute myocardial infarction (AMI)</w:t>
      </w:r>
    </w:p>
    <w:p w14:paraId="5345A644" w14:textId="3E51DE09" w:rsidR="006F6EC5" w:rsidRPr="00922AF2" w:rsidRDefault="005304D3" w:rsidP="003E725B">
      <w:pPr>
        <w:pStyle w:val="ListParagraph"/>
        <w:numPr>
          <w:ilvl w:val="1"/>
          <w:numId w:val="23"/>
        </w:numPr>
        <w:spacing w:after="240" w:line="264" w:lineRule="auto"/>
        <w:contextualSpacing w:val="0"/>
        <w:jc w:val="both"/>
        <w:rPr>
          <w:szCs w:val="24"/>
        </w:rPr>
      </w:pPr>
      <w:r w:rsidRPr="006F6EC5">
        <w:rPr>
          <w:rFonts w:ascii="Times New Roman" w:hAnsi="Times New Roman" w:cs="Times New Roman"/>
          <w:sz w:val="24"/>
          <w:szCs w:val="24"/>
        </w:rPr>
        <w:t>Sudden cardiac death</w:t>
      </w:r>
    </w:p>
    <w:p w14:paraId="1537A0D5" w14:textId="10952336" w:rsidR="000D652B" w:rsidRPr="000D652B" w:rsidRDefault="000D652B" w:rsidP="000D652B">
      <w:pPr>
        <w:pStyle w:val="Heading2"/>
        <w:rPr>
          <w:rFonts w:ascii="Times New Roman" w:hAnsi="Times New Roman"/>
          <w:szCs w:val="24"/>
        </w:rPr>
      </w:pPr>
      <w:bookmarkStart w:id="8" w:name="_Toc35611419"/>
      <w:r>
        <w:rPr>
          <w:rFonts w:ascii="Times New Roman" w:hAnsi="Times New Roman"/>
          <w:szCs w:val="24"/>
        </w:rPr>
        <w:t>Secondary Objectives</w:t>
      </w:r>
      <w:bookmarkEnd w:id="8"/>
    </w:p>
    <w:p w14:paraId="47C0D798" w14:textId="550A3135" w:rsidR="006F6EC5" w:rsidRPr="0098551B" w:rsidRDefault="006F6EC5" w:rsidP="000F1C82">
      <w:pPr>
        <w:pStyle w:val="BodyText12"/>
      </w:pPr>
      <w:bookmarkStart w:id="9" w:name="_Hlk26436276"/>
      <w:r>
        <w:t>The secondary</w:t>
      </w:r>
      <w:r w:rsidR="000F1C82">
        <w:t xml:space="preserve"> objectives</w:t>
      </w:r>
      <w:r>
        <w:t xml:space="preserve"> are to evaluate all primary objectives listed above among patients of the clinically relevant subgroups listed below</w:t>
      </w:r>
      <w:r w:rsidR="6FC41663">
        <w:t>, if sample size allows</w:t>
      </w:r>
      <w:r>
        <w:t>:</w:t>
      </w:r>
    </w:p>
    <w:p w14:paraId="0D93C4E8" w14:textId="3A98C35F" w:rsidR="006F6EC5" w:rsidRPr="0098551B" w:rsidRDefault="006F6EC5" w:rsidP="003E725B">
      <w:pPr>
        <w:pStyle w:val="BodyText12"/>
        <w:numPr>
          <w:ilvl w:val="0"/>
          <w:numId w:val="22"/>
        </w:numPr>
        <w:rPr>
          <w:szCs w:val="24"/>
        </w:rPr>
      </w:pPr>
      <w:r w:rsidRPr="0098551B">
        <w:rPr>
          <w:szCs w:val="24"/>
        </w:rPr>
        <w:t xml:space="preserve">Patients with no </w:t>
      </w:r>
      <w:r w:rsidR="000A2AF9" w:rsidRPr="0098551B">
        <w:rPr>
          <w:szCs w:val="24"/>
        </w:rPr>
        <w:t>cardiovascular disease (CVD) related diagnoses or procedures</w:t>
      </w:r>
      <w:r w:rsidRPr="0098551B">
        <w:rPr>
          <w:szCs w:val="24"/>
        </w:rPr>
        <w:t xml:space="preserve"> in the</w:t>
      </w:r>
      <w:r w:rsidR="0098551B" w:rsidRPr="0098551B">
        <w:rPr>
          <w:szCs w:val="24"/>
        </w:rPr>
        <w:t xml:space="preserve"> </w:t>
      </w:r>
      <w:r w:rsidRPr="0098551B">
        <w:rPr>
          <w:szCs w:val="24"/>
        </w:rPr>
        <w:t>180 days before index</w:t>
      </w:r>
    </w:p>
    <w:p w14:paraId="2A7D502D" w14:textId="77777777" w:rsidR="003E725B" w:rsidRDefault="0098551B" w:rsidP="003E725B">
      <w:pPr>
        <w:pStyle w:val="BodyText12"/>
        <w:numPr>
          <w:ilvl w:val="0"/>
          <w:numId w:val="22"/>
        </w:numPr>
        <w:rPr>
          <w:szCs w:val="24"/>
        </w:rPr>
      </w:pPr>
      <w:r w:rsidRPr="0098551B">
        <w:rPr>
          <w:szCs w:val="24"/>
        </w:rPr>
        <w:lastRenderedPageBreak/>
        <w:t xml:space="preserve">Patients with any cardiovascular disease (i.e. </w:t>
      </w:r>
      <w:r w:rsidR="000A2AF9" w:rsidRPr="0098551B">
        <w:rPr>
          <w:szCs w:val="24"/>
        </w:rPr>
        <w:t xml:space="preserve">at least one </w:t>
      </w:r>
      <w:r w:rsidR="00FC5C77">
        <w:rPr>
          <w:szCs w:val="24"/>
        </w:rPr>
        <w:t>CVD-</w:t>
      </w:r>
      <w:r w:rsidR="000A2AF9" w:rsidRPr="0098551B">
        <w:rPr>
          <w:szCs w:val="24"/>
        </w:rPr>
        <w:t xml:space="preserve">related diagnoses or procedure in the 180 days before </w:t>
      </w:r>
      <w:r w:rsidRPr="0098551B">
        <w:rPr>
          <w:szCs w:val="24"/>
        </w:rPr>
        <w:t>the index date)</w:t>
      </w:r>
    </w:p>
    <w:p w14:paraId="01F667BF" w14:textId="77777777" w:rsidR="003E725B" w:rsidRDefault="0098551B" w:rsidP="003E725B">
      <w:pPr>
        <w:pStyle w:val="BodyText12"/>
        <w:numPr>
          <w:ilvl w:val="0"/>
          <w:numId w:val="22"/>
        </w:numPr>
        <w:rPr>
          <w:szCs w:val="24"/>
        </w:rPr>
      </w:pPr>
      <w:r w:rsidRPr="003E725B">
        <w:rPr>
          <w:szCs w:val="24"/>
        </w:rPr>
        <w:t xml:space="preserve">Patients with </w:t>
      </w:r>
      <w:r w:rsidR="003E725B" w:rsidRPr="003E725B">
        <w:rPr>
          <w:szCs w:val="24"/>
        </w:rPr>
        <w:t xml:space="preserve">less severe </w:t>
      </w:r>
      <w:r w:rsidRPr="003E725B">
        <w:rPr>
          <w:szCs w:val="24"/>
        </w:rPr>
        <w:t xml:space="preserve">cardiovascular disease (i.e. at least one but less than </w:t>
      </w:r>
      <w:r w:rsidR="008E7A49" w:rsidRPr="003E725B">
        <w:rPr>
          <w:szCs w:val="24"/>
        </w:rPr>
        <w:t xml:space="preserve">three </w:t>
      </w:r>
      <w:r w:rsidRPr="003E725B">
        <w:rPr>
          <w:szCs w:val="24"/>
        </w:rPr>
        <w:t>cardiovascular diagnoses</w:t>
      </w:r>
      <w:r w:rsidR="008E7A49" w:rsidRPr="003E725B">
        <w:rPr>
          <w:szCs w:val="24"/>
        </w:rPr>
        <w:t xml:space="preserve"> or cardiovascular procedures</w:t>
      </w:r>
      <w:r w:rsidRPr="003E725B">
        <w:rPr>
          <w:szCs w:val="24"/>
        </w:rPr>
        <w:t xml:space="preserve"> in the 180 days before the index date)</w:t>
      </w:r>
    </w:p>
    <w:p w14:paraId="6514FC5E" w14:textId="7245FC8B" w:rsidR="0098551B" w:rsidRPr="003E725B" w:rsidRDefault="0098551B" w:rsidP="003E725B">
      <w:pPr>
        <w:pStyle w:val="BodyText12"/>
        <w:numPr>
          <w:ilvl w:val="0"/>
          <w:numId w:val="22"/>
        </w:numPr>
        <w:rPr>
          <w:szCs w:val="24"/>
        </w:rPr>
      </w:pPr>
      <w:r w:rsidRPr="003E725B">
        <w:rPr>
          <w:szCs w:val="24"/>
        </w:rPr>
        <w:t xml:space="preserve">Patients with </w:t>
      </w:r>
      <w:r w:rsidR="003E725B" w:rsidRPr="003E725B">
        <w:rPr>
          <w:szCs w:val="24"/>
        </w:rPr>
        <w:t xml:space="preserve">more severe </w:t>
      </w:r>
      <w:r w:rsidRPr="003E725B">
        <w:rPr>
          <w:szCs w:val="24"/>
        </w:rPr>
        <w:t>cardiovascular disease (i.e. at least three CVD diagnoses</w:t>
      </w:r>
      <w:r w:rsidR="008E7A49" w:rsidRPr="003E725B">
        <w:rPr>
          <w:szCs w:val="24"/>
        </w:rPr>
        <w:t xml:space="preserve"> or at least three CVD procedures</w:t>
      </w:r>
      <w:r w:rsidRPr="003E725B">
        <w:rPr>
          <w:szCs w:val="24"/>
        </w:rPr>
        <w:t xml:space="preserve"> in the 180 days before the index date)</w:t>
      </w:r>
      <w:bookmarkEnd w:id="9"/>
    </w:p>
    <w:p w14:paraId="620E3AD2" w14:textId="77777777" w:rsidR="0098551B" w:rsidRPr="0098551B" w:rsidRDefault="0098551B" w:rsidP="0098551B">
      <w:pPr>
        <w:pStyle w:val="BodyText12"/>
        <w:ind w:left="720"/>
        <w:rPr>
          <w:szCs w:val="24"/>
        </w:rPr>
      </w:pPr>
    </w:p>
    <w:p w14:paraId="068FE776" w14:textId="21F13253" w:rsidR="00EC0BD4" w:rsidRPr="00565B45" w:rsidRDefault="00EC0BD4" w:rsidP="00EC0BD4">
      <w:pPr>
        <w:pStyle w:val="Heading1"/>
        <w:rPr>
          <w:rFonts w:ascii="Times New Roman" w:hAnsi="Times New Roman"/>
          <w:sz w:val="28"/>
          <w:szCs w:val="28"/>
        </w:rPr>
      </w:pPr>
      <w:bookmarkStart w:id="10" w:name="_Toc35611420"/>
      <w:r w:rsidRPr="00565B45">
        <w:rPr>
          <w:rFonts w:ascii="Times New Roman" w:hAnsi="Times New Roman"/>
          <w:sz w:val="28"/>
          <w:szCs w:val="28"/>
        </w:rPr>
        <w:t>Research METHODs</w:t>
      </w:r>
      <w:bookmarkEnd w:id="10"/>
    </w:p>
    <w:p w14:paraId="30130CC9" w14:textId="3C3F6D5F" w:rsidR="00976746" w:rsidRPr="00922AF2" w:rsidRDefault="00976746" w:rsidP="00EC0BD4">
      <w:pPr>
        <w:pStyle w:val="Heading2"/>
        <w:rPr>
          <w:rFonts w:ascii="Times New Roman" w:hAnsi="Times New Roman"/>
          <w:szCs w:val="24"/>
        </w:rPr>
      </w:pPr>
      <w:bookmarkStart w:id="11" w:name="_Toc35611421"/>
      <w:r w:rsidRPr="00922AF2">
        <w:rPr>
          <w:rFonts w:ascii="Times New Roman" w:hAnsi="Times New Roman"/>
          <w:szCs w:val="24"/>
        </w:rPr>
        <w:t>Overview</w:t>
      </w:r>
      <w:bookmarkEnd w:id="11"/>
    </w:p>
    <w:p w14:paraId="19FA07CA" w14:textId="26AEB9F4" w:rsidR="001F5747" w:rsidRDefault="00976746" w:rsidP="00922AF2">
      <w:pPr>
        <w:pStyle w:val="BodyText12"/>
        <w:rPr>
          <w:szCs w:val="24"/>
        </w:rPr>
      </w:pPr>
      <w:r w:rsidRPr="00803B65">
        <w:rPr>
          <w:shd w:val="clear" w:color="auto" w:fill="FFFFFF"/>
        </w:rPr>
        <w:t xml:space="preserve">The proposed study will </w:t>
      </w:r>
      <w:r w:rsidR="001F5747">
        <w:rPr>
          <w:shd w:val="clear" w:color="auto" w:fill="FFFFFF"/>
        </w:rPr>
        <w:t>include</w:t>
      </w:r>
      <w:r>
        <w:rPr>
          <w:shd w:val="clear" w:color="auto" w:fill="FFFFFF"/>
        </w:rPr>
        <w:t xml:space="preserve"> clinical characterization and</w:t>
      </w:r>
      <w:r w:rsidRPr="00803B65">
        <w:rPr>
          <w:shd w:val="clear" w:color="auto" w:fill="FFFFFF"/>
        </w:rPr>
        <w:t xml:space="preserve"> population-level effect estimation </w:t>
      </w:r>
      <w:r w:rsidR="001F5747">
        <w:rPr>
          <w:shd w:val="clear" w:color="auto" w:fill="FFFFFF"/>
        </w:rPr>
        <w:t xml:space="preserve">(observational causal inference) </w:t>
      </w:r>
      <w:r w:rsidRPr="00803B65">
        <w:rPr>
          <w:shd w:val="clear" w:color="auto" w:fill="FFFFFF"/>
        </w:rPr>
        <w:t xml:space="preserve">using </w:t>
      </w:r>
      <w:r w:rsidR="001F5747">
        <w:rPr>
          <w:shd w:val="clear" w:color="auto" w:fill="FFFFFF"/>
        </w:rPr>
        <w:t>administrative claims databases which include nation-wide samples of patients insured in the</w:t>
      </w:r>
      <w:r w:rsidR="001F5747" w:rsidRPr="00803B65">
        <w:rPr>
          <w:shd w:val="clear" w:color="auto" w:fill="FFFFFF"/>
        </w:rPr>
        <w:t xml:space="preserve"> </w:t>
      </w:r>
      <w:r w:rsidR="001F5747">
        <w:rPr>
          <w:shd w:val="clear" w:color="auto" w:fill="FFFFFF"/>
        </w:rPr>
        <w:t>United States (US)</w:t>
      </w:r>
      <w:r w:rsidR="001F5747" w:rsidRPr="00803B65">
        <w:rPr>
          <w:shd w:val="clear" w:color="auto" w:fill="FFFFFF"/>
        </w:rPr>
        <w:t xml:space="preserve">. </w:t>
      </w:r>
      <w:r w:rsidR="001F5747">
        <w:rPr>
          <w:shd w:val="clear" w:color="auto" w:fill="FFFFFF"/>
        </w:rPr>
        <w:t xml:space="preserve">We plan to conduct </w:t>
      </w:r>
      <w:r w:rsidRPr="00803B65">
        <w:rPr>
          <w:shd w:val="clear" w:color="auto" w:fill="FFFFFF"/>
        </w:rPr>
        <w:t xml:space="preserve">a new user comparative cohort design </w:t>
      </w:r>
      <w:r w:rsidR="001F5747">
        <w:rPr>
          <w:shd w:val="clear" w:color="auto" w:fill="FFFFFF"/>
        </w:rPr>
        <w:t>to compare incidence of safety events among men</w:t>
      </w:r>
      <w:r>
        <w:rPr>
          <w:shd w:val="clear" w:color="auto" w:fill="FFFFFF"/>
        </w:rPr>
        <w:t xml:space="preserve"> </w:t>
      </w:r>
      <w:r w:rsidR="001F5747">
        <w:rPr>
          <w:shd w:val="clear" w:color="auto" w:fill="FFFFFF"/>
        </w:rPr>
        <w:t>with CRPC who are initiating treatment</w:t>
      </w:r>
      <w:r w:rsidRPr="00803B65">
        <w:rPr>
          <w:shd w:val="clear" w:color="auto" w:fill="FFFFFF"/>
        </w:rPr>
        <w:t xml:space="preserve"> </w:t>
      </w:r>
      <w:r w:rsidR="001F5747">
        <w:rPr>
          <w:shd w:val="clear" w:color="auto" w:fill="FFFFFF"/>
        </w:rPr>
        <w:t xml:space="preserve">with either abiraterone or enzalutamide. </w:t>
      </w:r>
      <w:r w:rsidRPr="00803B65">
        <w:rPr>
          <w:shd w:val="clear" w:color="auto" w:fill="FFFFFF"/>
        </w:rPr>
        <w:t xml:space="preserve">Eligibility criteria for patients in the study target and comparator cohorts are defined in Section </w:t>
      </w:r>
      <w:r w:rsidR="001F5747">
        <w:rPr>
          <w:shd w:val="clear" w:color="auto" w:fill="FFFFFF"/>
        </w:rPr>
        <w:t>6</w:t>
      </w:r>
      <w:r w:rsidRPr="00803B65">
        <w:rPr>
          <w:shd w:val="clear" w:color="auto" w:fill="FFFFFF"/>
        </w:rPr>
        <w:t xml:space="preserve">.3. </w:t>
      </w:r>
      <w:r w:rsidR="001F5747">
        <w:rPr>
          <w:shd w:val="clear" w:color="auto" w:fill="FFFFFF"/>
        </w:rPr>
        <w:t xml:space="preserve">The primary purpose of this study is to evaluate safety events among patients being treated for </w:t>
      </w:r>
      <w:r w:rsidR="001F5747">
        <w:rPr>
          <w:szCs w:val="24"/>
        </w:rPr>
        <w:t xml:space="preserve">CRPC. </w:t>
      </w:r>
      <w:r w:rsidR="00BE775A">
        <w:rPr>
          <w:szCs w:val="24"/>
        </w:rPr>
        <w:t>The</w:t>
      </w:r>
      <w:r w:rsidR="001F5747">
        <w:rPr>
          <w:szCs w:val="24"/>
        </w:rPr>
        <w:t xml:space="preserve"> study period began after August 31, 2012 since before that date one of the study drugs (enzalutamide) was not FDA-approved for the treatment of </w:t>
      </w:r>
      <w:r w:rsidR="001942A0">
        <w:rPr>
          <w:szCs w:val="24"/>
        </w:rPr>
        <w:t>CRPC</w:t>
      </w:r>
      <w:r w:rsidR="001F5747">
        <w:rPr>
          <w:szCs w:val="24"/>
        </w:rPr>
        <w:t>.</w:t>
      </w:r>
      <w:r w:rsidR="00970C9E">
        <w:rPr>
          <w:szCs w:val="24"/>
        </w:rPr>
        <w:t xml:space="preserve"> </w:t>
      </w:r>
    </w:p>
    <w:p w14:paraId="18208BDA" w14:textId="24BF53BB" w:rsidR="00817EA7" w:rsidRPr="00817EA7" w:rsidRDefault="00817EA7" w:rsidP="00922AF2">
      <w:pPr>
        <w:pStyle w:val="BodyText12"/>
        <w:rPr>
          <w:shd w:val="clear" w:color="auto" w:fill="FFFFFF"/>
        </w:rPr>
      </w:pPr>
      <w:r>
        <w:t xml:space="preserve">The proposed study has already been fully specified, although results remain blinded and have not been inspected by any study investigators. Fully specifying the analysis in the protocol stage allows us to use empirical evaluation to assess the </w:t>
      </w:r>
      <w:r w:rsidR="791FA798">
        <w:t xml:space="preserve">feasibility of the </w:t>
      </w:r>
      <w:r>
        <w:t xml:space="preserve">study design </w:t>
      </w:r>
      <w:r w:rsidRPr="2A2DD85B">
        <w:rPr>
          <w:i/>
          <w:iCs/>
        </w:rPr>
        <w:t>a priori</w:t>
      </w:r>
      <w:r w:rsidR="31E0C7A7" w:rsidRPr="2A2DD85B">
        <w:rPr>
          <w:i/>
          <w:iCs/>
        </w:rPr>
        <w:t>,</w:t>
      </w:r>
      <w:r>
        <w:t xml:space="preserve"> for its ability to generate valid comparative risk estimates and inform which results will be unblinded. This process of empirically inspecting study design diagnostics and determining which analyses will be unblinded is described in greater detail in Section 9.3. </w:t>
      </w:r>
      <w:r w:rsidR="005C3FBA">
        <w:t xml:space="preserve">In that section, we describe the process we used to determine </w:t>
      </w:r>
      <w:r w:rsidR="0985A62C">
        <w:t xml:space="preserve">the </w:t>
      </w:r>
      <w:r w:rsidR="005C3FBA">
        <w:t>three effect estimates</w:t>
      </w:r>
      <w:r w:rsidR="4498E82B">
        <w:t>/outcomes</w:t>
      </w:r>
      <w:r w:rsidR="005C3FBA">
        <w:t xml:space="preserve"> (among </w:t>
      </w:r>
      <w:r w:rsidR="646EADD4">
        <w:t>all</w:t>
      </w:r>
      <w:r w:rsidR="005C3FBA">
        <w:t xml:space="preserve"> effects we proposed to estimate) that will be unblinded</w:t>
      </w:r>
      <w:r w:rsidR="63F532A8">
        <w:t xml:space="preserve"> and assessed in this study</w:t>
      </w:r>
      <w:r w:rsidR="005C3FBA">
        <w:t xml:space="preserve">. </w:t>
      </w:r>
    </w:p>
    <w:p w14:paraId="5299751A" w14:textId="0531C037" w:rsidR="00EC0BD4" w:rsidRPr="00922AF2" w:rsidRDefault="00EC0BD4" w:rsidP="00EC0BD4">
      <w:pPr>
        <w:pStyle w:val="Heading2"/>
        <w:rPr>
          <w:rFonts w:ascii="Times New Roman" w:hAnsi="Times New Roman"/>
          <w:szCs w:val="24"/>
        </w:rPr>
      </w:pPr>
      <w:bookmarkStart w:id="12" w:name="_Toc35611422"/>
      <w:r w:rsidRPr="00922AF2">
        <w:rPr>
          <w:rFonts w:ascii="Times New Roman" w:hAnsi="Times New Roman"/>
          <w:szCs w:val="24"/>
        </w:rPr>
        <w:t>Study Design</w:t>
      </w:r>
      <w:r w:rsidR="004C6C99" w:rsidRPr="00922AF2">
        <w:rPr>
          <w:rFonts w:ascii="Times New Roman" w:hAnsi="Times New Roman"/>
          <w:szCs w:val="24"/>
        </w:rPr>
        <w:t xml:space="preserve"> and Setting</w:t>
      </w:r>
      <w:bookmarkEnd w:id="12"/>
    </w:p>
    <w:p w14:paraId="335A6C79" w14:textId="043CA59D" w:rsidR="00F00F48" w:rsidRPr="009D3150" w:rsidRDefault="000F1C82" w:rsidP="000F1C82">
      <w:pPr>
        <w:jc w:val="both"/>
        <w:rPr>
          <w:bCs/>
          <w:color w:val="000000"/>
          <w:kern w:val="36"/>
          <w:szCs w:val="24"/>
        </w:rPr>
      </w:pPr>
      <w:r w:rsidRPr="009D3150">
        <w:rPr>
          <w:bCs/>
          <w:color w:val="000000"/>
          <w:kern w:val="36"/>
          <w:szCs w:val="24"/>
        </w:rPr>
        <w:t xml:space="preserve">Internal administrative claims databases that will be utilized </w:t>
      </w:r>
      <w:proofErr w:type="gramStart"/>
      <w:r w:rsidRPr="009D3150">
        <w:rPr>
          <w:bCs/>
          <w:color w:val="000000"/>
          <w:kern w:val="36"/>
          <w:szCs w:val="24"/>
        </w:rPr>
        <w:t>include:</w:t>
      </w:r>
      <w:proofErr w:type="gramEnd"/>
      <w:r w:rsidRPr="009D3150">
        <w:rPr>
          <w:bCs/>
          <w:color w:val="000000"/>
          <w:kern w:val="36"/>
          <w:szCs w:val="24"/>
        </w:rPr>
        <w:t xml:space="preserve"> IBM </w:t>
      </w:r>
      <w:proofErr w:type="spellStart"/>
      <w:r>
        <w:rPr>
          <w:bCs/>
          <w:color w:val="000000"/>
          <w:kern w:val="36"/>
          <w:szCs w:val="24"/>
        </w:rPr>
        <w:t>MarketScan</w:t>
      </w:r>
      <w:proofErr w:type="spellEnd"/>
      <w:r>
        <w:rPr>
          <w:bCs/>
          <w:color w:val="000000"/>
          <w:kern w:val="36"/>
          <w:szCs w:val="24"/>
        </w:rPr>
        <w:t xml:space="preserve">® </w:t>
      </w:r>
      <w:r w:rsidRPr="009D3150">
        <w:rPr>
          <w:bCs/>
          <w:color w:val="000000"/>
          <w:kern w:val="36"/>
          <w:szCs w:val="24"/>
        </w:rPr>
        <w:t xml:space="preserve">Commercial Claims and Encounters (CCAE), IBM </w:t>
      </w:r>
      <w:proofErr w:type="spellStart"/>
      <w:r>
        <w:rPr>
          <w:bCs/>
          <w:color w:val="000000"/>
          <w:kern w:val="36"/>
          <w:szCs w:val="24"/>
        </w:rPr>
        <w:t>MarketScan</w:t>
      </w:r>
      <w:proofErr w:type="spellEnd"/>
      <w:r>
        <w:rPr>
          <w:bCs/>
          <w:color w:val="000000"/>
          <w:kern w:val="36"/>
          <w:szCs w:val="24"/>
        </w:rPr>
        <w:t xml:space="preserve">® </w:t>
      </w:r>
      <w:r w:rsidRPr="009D3150">
        <w:rPr>
          <w:bCs/>
          <w:color w:val="000000"/>
          <w:kern w:val="36"/>
          <w:szCs w:val="24"/>
        </w:rPr>
        <w:t xml:space="preserve">Medicare </w:t>
      </w:r>
      <w:r>
        <w:rPr>
          <w:bCs/>
          <w:color w:val="000000"/>
          <w:kern w:val="36"/>
          <w:szCs w:val="24"/>
        </w:rPr>
        <w:t xml:space="preserve">Supplemental </w:t>
      </w:r>
      <w:r w:rsidRPr="009D3150">
        <w:rPr>
          <w:bCs/>
          <w:color w:val="000000"/>
          <w:kern w:val="36"/>
          <w:szCs w:val="24"/>
        </w:rPr>
        <w:t xml:space="preserve">(MDCR), </w:t>
      </w:r>
      <w:r w:rsidRPr="0098551B">
        <w:rPr>
          <w:bCs/>
          <w:color w:val="000000"/>
          <w:kern w:val="36"/>
          <w:szCs w:val="24"/>
        </w:rPr>
        <w:t>Optum</w:t>
      </w:r>
      <w:r>
        <w:rPr>
          <w:bCs/>
          <w:color w:val="000000"/>
          <w:kern w:val="36"/>
          <w:szCs w:val="24"/>
        </w:rPr>
        <w:t>®</w:t>
      </w:r>
      <w:r w:rsidRPr="0098551B">
        <w:rPr>
          <w:bCs/>
          <w:color w:val="000000"/>
          <w:kern w:val="36"/>
          <w:szCs w:val="24"/>
        </w:rPr>
        <w:t> De-Identified </w:t>
      </w:r>
      <w:proofErr w:type="spellStart"/>
      <w:r w:rsidRPr="0098551B">
        <w:rPr>
          <w:bCs/>
          <w:color w:val="000000"/>
          <w:kern w:val="36"/>
          <w:szCs w:val="24"/>
        </w:rPr>
        <w:t>Clinformatics</w:t>
      </w:r>
      <w:proofErr w:type="spellEnd"/>
      <w:r w:rsidRPr="0098551B">
        <w:rPr>
          <w:bCs/>
          <w:color w:val="000000"/>
          <w:kern w:val="36"/>
          <w:szCs w:val="24"/>
        </w:rPr>
        <w:t>® Data Mart Database – Date of Death (DOD)</w:t>
      </w:r>
      <w:r>
        <w:rPr>
          <w:bCs/>
          <w:color w:val="000000"/>
          <w:kern w:val="36"/>
          <w:szCs w:val="24"/>
        </w:rPr>
        <w:t>.</w:t>
      </w:r>
      <w:r w:rsidR="00016A5A">
        <w:rPr>
          <w:bCs/>
          <w:color w:val="000000"/>
          <w:kern w:val="36"/>
          <w:szCs w:val="24"/>
        </w:rPr>
        <w:t xml:space="preserve"> </w:t>
      </w:r>
      <w:r w:rsidR="00F00F48" w:rsidRPr="00803B65">
        <w:t xml:space="preserve">All </w:t>
      </w:r>
      <w:r w:rsidR="00F00F48">
        <w:t>3</w:t>
      </w:r>
      <w:r w:rsidR="00F00F48" w:rsidRPr="00803B65">
        <w:t xml:space="preserve"> databases have been standardized into the Observational Medical Outcomes Partnership (OMOP) Common Data Model (CDM), which includes a standard representation of health care experiences (such as information related to drug utilization and condition occurrence) as well as common vocabularies for coding clinical concepts and enables consistent application of analyses across multiple disparate dat</w:t>
      </w:r>
      <w:r w:rsidR="00016A5A">
        <w:t>a</w:t>
      </w:r>
      <w:r w:rsidR="00CD2D68">
        <w:t xml:space="preserve"> (OHDSI, 2020; Voss, 2015)</w:t>
      </w:r>
      <w:r w:rsidR="00F00F48" w:rsidRPr="00803B65">
        <w:t xml:space="preserve">. Complete specifications for the extract, transform, and load (ETL) process for each database is available at: </w:t>
      </w:r>
      <w:hyperlink r:id="rId12" w:history="1">
        <w:r w:rsidR="00F00F48" w:rsidRPr="00803B65">
          <w:rPr>
            <w:rStyle w:val="Hyperlink"/>
            <w:szCs w:val="24"/>
          </w:rPr>
          <w:t>https://github.com/OHDSI/ETL-CDMBuilder</w:t>
        </w:r>
      </w:hyperlink>
      <w:r w:rsidR="00F00F48" w:rsidRPr="00803B65">
        <w:t>.</w:t>
      </w:r>
      <w:r w:rsidR="00F00F48">
        <w:t xml:space="preserve"> </w:t>
      </w:r>
      <w:r w:rsidR="00F00F48" w:rsidRPr="00FE0D46">
        <w:t xml:space="preserve">All analyses will be performed independently </w:t>
      </w:r>
      <w:r w:rsidR="00F00F48" w:rsidRPr="00FE0D46">
        <w:lastRenderedPageBreak/>
        <w:t xml:space="preserve">within each of these </w:t>
      </w:r>
      <w:r w:rsidR="00F00F48">
        <w:t xml:space="preserve">three </w:t>
      </w:r>
      <w:r w:rsidR="00F00F48" w:rsidRPr="00FE0D46">
        <w:t xml:space="preserve">databases to produce </w:t>
      </w:r>
      <w:r w:rsidR="00F00F48">
        <w:t>three</w:t>
      </w:r>
      <w:r w:rsidR="00F00F48" w:rsidRPr="00FE0D46">
        <w:t xml:space="preserve"> source-specific results for each analysis. No patient-level data will be pooled across the databases for any analysis, in part to </w:t>
      </w:r>
      <w:r w:rsidR="00F00F48">
        <w:t xml:space="preserve">preserve internal validity of the comparative analyses within each database and </w:t>
      </w:r>
      <w:r w:rsidR="00F00F48" w:rsidRPr="00FE0D46">
        <w:t>avoid the potential risk of ‘double-counting’ cases for duplicate patients. Instead, meta-analysis estimates will be computed based on per-database aggregate statistics</w:t>
      </w:r>
      <w:r w:rsidR="00016A5A">
        <w:t>.</w:t>
      </w:r>
      <w:r w:rsidR="00F00F48" w:rsidRPr="00FE0D46">
        <w:t xml:space="preserve"> </w:t>
      </w:r>
    </w:p>
    <w:p w14:paraId="69466E72" w14:textId="4090B328" w:rsidR="000F1C82" w:rsidRPr="00B87A8B" w:rsidRDefault="000F1C82" w:rsidP="000F1C82">
      <w:pPr>
        <w:pStyle w:val="Heading3"/>
        <w:tabs>
          <w:tab w:val="clear" w:pos="1397"/>
          <w:tab w:val="num" w:pos="810"/>
        </w:tabs>
        <w:ind w:left="810" w:hanging="810"/>
        <w:rPr>
          <w:rFonts w:ascii="Times New Roman" w:hAnsi="Times New Roman"/>
        </w:rPr>
      </w:pPr>
      <w:bookmarkStart w:id="13" w:name="_Toc23519080"/>
      <w:bookmarkStart w:id="14" w:name="_Toc35611423"/>
      <w:r w:rsidRPr="00B87A8B">
        <w:rPr>
          <w:rFonts w:ascii="Times New Roman" w:hAnsi="Times New Roman"/>
        </w:rPr>
        <w:t xml:space="preserve">IBM </w:t>
      </w:r>
      <w:proofErr w:type="spellStart"/>
      <w:r w:rsidRPr="00B87A8B">
        <w:rPr>
          <w:rFonts w:ascii="Times New Roman" w:hAnsi="Times New Roman"/>
        </w:rPr>
        <w:t>MarketScan</w:t>
      </w:r>
      <w:proofErr w:type="spellEnd"/>
      <w:r w:rsidRPr="00B87A8B">
        <w:rPr>
          <w:rFonts w:ascii="Times New Roman" w:hAnsi="Times New Roman"/>
        </w:rPr>
        <w:t xml:space="preserve">® Commercial Claims and Encounters Database (CCAE) </w:t>
      </w:r>
      <w:bookmarkEnd w:id="13"/>
      <w:r w:rsidR="00016A5A" w:rsidRPr="00B87A8B">
        <w:rPr>
          <w:rFonts w:ascii="Times New Roman" w:hAnsi="Times New Roman"/>
        </w:rPr>
        <w:t>v1061</w:t>
      </w:r>
      <w:bookmarkEnd w:id="14"/>
    </w:p>
    <w:p w14:paraId="4E07E82D" w14:textId="77777777" w:rsidR="000F1C82" w:rsidRPr="000F1C82" w:rsidRDefault="000F1C82" w:rsidP="000F1C82">
      <w:pPr>
        <w:spacing w:after="120"/>
        <w:jc w:val="both"/>
        <w:rPr>
          <w:szCs w:val="24"/>
        </w:rPr>
      </w:pPr>
      <w:r w:rsidRPr="000F1C82">
        <w:rPr>
          <w:szCs w:val="24"/>
        </w:rPr>
        <w:t xml:space="preserve">IBM </w:t>
      </w:r>
      <w:proofErr w:type="spellStart"/>
      <w:r w:rsidRPr="000F1C82">
        <w:rPr>
          <w:szCs w:val="24"/>
        </w:rPr>
        <w:t>MarketScan</w:t>
      </w:r>
      <w:proofErr w:type="spellEnd"/>
      <w:r w:rsidRPr="000F1C82">
        <w:rPr>
          <w:szCs w:val="24"/>
        </w:rPr>
        <w:t xml:space="preserve">® Commercial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w:t>
      </w:r>
      <w:proofErr w:type="gramStart"/>
      <w:r w:rsidRPr="000F1C82">
        <w:rPr>
          <w:szCs w:val="24"/>
        </w:rPr>
        <w:t>This administrative claims</w:t>
      </w:r>
      <w:proofErr w:type="gramEnd"/>
      <w:r w:rsidRPr="000F1C82">
        <w:rPr>
          <w:szCs w:val="24"/>
        </w:rPr>
        <w:t xml:space="preserve"> database includes a variety of fee-for-service, preferred provider organizations, and capitated health plans.  </w:t>
      </w:r>
    </w:p>
    <w:p w14:paraId="2062DB3E" w14:textId="3426D527" w:rsidR="000F1C82" w:rsidRPr="000F1C82" w:rsidRDefault="000F1C82" w:rsidP="000F1C82">
      <w:pPr>
        <w:spacing w:after="120"/>
        <w:jc w:val="both"/>
        <w:rPr>
          <w:szCs w:val="24"/>
        </w:rPr>
      </w:pPr>
      <w:r w:rsidRPr="000F1C82">
        <w:rPr>
          <w:szCs w:val="24"/>
        </w:rP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w:t>
      </w:r>
      <w:r w:rsidR="00755DD4">
        <w:rPr>
          <w:szCs w:val="24"/>
        </w:rPr>
        <w:t xml:space="preserve"> This database captures mortality that occurs </w:t>
      </w:r>
      <w:proofErr w:type="gramStart"/>
      <w:r w:rsidR="00755DD4">
        <w:rPr>
          <w:szCs w:val="24"/>
        </w:rPr>
        <w:t>during the course of</w:t>
      </w:r>
      <w:proofErr w:type="gramEnd"/>
      <w:r w:rsidR="00755DD4">
        <w:rPr>
          <w:szCs w:val="24"/>
        </w:rPr>
        <w:t xml:space="preserve"> an inpatient hospitalization. However, mortality outside of the inpatient setting is not noted and </w:t>
      </w:r>
      <w:r w:rsidR="008871D0">
        <w:rPr>
          <w:szCs w:val="24"/>
        </w:rPr>
        <w:t>appears as</w:t>
      </w:r>
      <w:r w:rsidR="00755DD4">
        <w:rPr>
          <w:szCs w:val="24"/>
        </w:rPr>
        <w:t xml:space="preserve"> disenrollment from the database. </w:t>
      </w:r>
      <w:r w:rsidRPr="000F1C82">
        <w:rPr>
          <w:szCs w:val="24"/>
        </w:rPr>
        <w:t xml:space="preserve">Additional information and some descriptive characteristics about the IBM </w:t>
      </w:r>
      <w:proofErr w:type="spellStart"/>
      <w:r w:rsidRPr="000F1C82">
        <w:rPr>
          <w:szCs w:val="24"/>
        </w:rPr>
        <w:t>MarketScan</w:t>
      </w:r>
      <w:proofErr w:type="spellEnd"/>
      <w:r w:rsidRPr="000F1C82">
        <w:rPr>
          <w:szCs w:val="24"/>
        </w:rPr>
        <w:t xml:space="preserve">® CCAE database is available at the following link: </w:t>
      </w:r>
      <w:hyperlink r:id="rId13" w:anchor="jnjsearches?dataSetUri=%2Fdataset%2Ff2f27aca-60f6-491d-8ed8-fff1858d178e.xml" w:history="1">
        <w:r w:rsidRPr="000F1C82">
          <w:rPr>
            <w:rStyle w:val="Hyperlink"/>
            <w:szCs w:val="24"/>
          </w:rPr>
          <w:t>https://catalog.rwe.jnj.com/index#jnjsearches?dataSetUri=%2Fdataset%2Ff2f27aca-60f6-491d-8ed8-fff1858d178e.xml</w:t>
        </w:r>
      </w:hyperlink>
    </w:p>
    <w:p w14:paraId="0B81ABA6" w14:textId="646BEE7B" w:rsidR="000F1C82" w:rsidRPr="00B87A8B" w:rsidRDefault="000F1C82" w:rsidP="000F1C82">
      <w:pPr>
        <w:pStyle w:val="Heading3"/>
        <w:tabs>
          <w:tab w:val="clear" w:pos="1397"/>
          <w:tab w:val="num" w:pos="810"/>
        </w:tabs>
        <w:ind w:left="810" w:hanging="810"/>
        <w:rPr>
          <w:rFonts w:ascii="Times New Roman" w:hAnsi="Times New Roman"/>
        </w:rPr>
      </w:pPr>
      <w:bookmarkStart w:id="15" w:name="_Hlk17091758"/>
      <w:bookmarkStart w:id="16" w:name="_Toc23519081"/>
      <w:bookmarkStart w:id="17" w:name="_Toc35611424"/>
      <w:r w:rsidRPr="00B87A8B">
        <w:rPr>
          <w:rFonts w:ascii="Times New Roman" w:hAnsi="Times New Roman"/>
        </w:rPr>
        <w:t xml:space="preserve">IBM </w:t>
      </w:r>
      <w:proofErr w:type="spellStart"/>
      <w:r w:rsidRPr="00B87A8B">
        <w:rPr>
          <w:rFonts w:ascii="Times New Roman" w:hAnsi="Times New Roman"/>
        </w:rPr>
        <w:t>MarketScan</w:t>
      </w:r>
      <w:proofErr w:type="spellEnd"/>
      <w:r w:rsidRPr="00B87A8B">
        <w:rPr>
          <w:rFonts w:ascii="Times New Roman" w:hAnsi="Times New Roman"/>
        </w:rPr>
        <w:t xml:space="preserve">® Medicare Supplemental Database (MDCR) </w:t>
      </w:r>
      <w:bookmarkEnd w:id="15"/>
      <w:bookmarkEnd w:id="16"/>
      <w:r w:rsidR="00016A5A" w:rsidRPr="00B87A8B">
        <w:rPr>
          <w:rFonts w:ascii="Times New Roman" w:hAnsi="Times New Roman"/>
        </w:rPr>
        <w:t>v1062</w:t>
      </w:r>
      <w:bookmarkEnd w:id="17"/>
    </w:p>
    <w:p w14:paraId="08A2B5C8" w14:textId="77777777" w:rsidR="000F1C82" w:rsidRPr="000F1C82" w:rsidRDefault="000F1C82" w:rsidP="000F1C82">
      <w:pPr>
        <w:spacing w:after="120"/>
        <w:jc w:val="both"/>
        <w:rPr>
          <w:rFonts w:cstheme="minorHAnsi"/>
          <w:szCs w:val="24"/>
        </w:rPr>
      </w:pPr>
      <w:r w:rsidRPr="000F1C82">
        <w:rPr>
          <w:rFonts w:cstheme="minorHAnsi"/>
          <w:szCs w:val="24"/>
        </w:rPr>
        <w:t xml:space="preserve">IBM </w:t>
      </w:r>
      <w:proofErr w:type="spellStart"/>
      <w:r w:rsidRPr="000F1C82">
        <w:rPr>
          <w:rFonts w:cstheme="minorHAnsi"/>
          <w:szCs w:val="24"/>
        </w:rPr>
        <w:t>MarketScan</w:t>
      </w:r>
      <w:proofErr w:type="spellEnd"/>
      <w:r w:rsidRPr="000F1C82">
        <w:rPr>
          <w:rFonts w:cstheme="minorHAnsi"/>
          <w:szCs w:val="24"/>
        </w:rPr>
        <w:t xml:space="preserve">® Medicare Supplemental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p>
    <w:p w14:paraId="65246F27" w14:textId="50CC146E" w:rsidR="000F1C82" w:rsidRPr="000F1C82" w:rsidRDefault="000F1C82" w:rsidP="000F1C82">
      <w:pPr>
        <w:spacing w:after="120"/>
        <w:jc w:val="both"/>
        <w:rPr>
          <w:rFonts w:cstheme="minorHAnsi"/>
          <w:szCs w:val="24"/>
        </w:rPr>
      </w:pPr>
      <w:r w:rsidRPr="000F1C82">
        <w:rPr>
          <w:rFonts w:cstheme="minorHAnsi"/>
          <w:szCs w:val="24"/>
        </w:rP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w:t>
      </w:r>
      <w:r w:rsidR="00755DD4">
        <w:rPr>
          <w:rFonts w:cstheme="minorHAnsi"/>
          <w:szCs w:val="24"/>
        </w:rPr>
        <w:t xml:space="preserve"> </w:t>
      </w:r>
      <w:r w:rsidR="00755DD4">
        <w:rPr>
          <w:szCs w:val="24"/>
        </w:rPr>
        <w:t xml:space="preserve">This database captures mortality that occurs </w:t>
      </w:r>
      <w:proofErr w:type="gramStart"/>
      <w:r w:rsidR="00755DD4">
        <w:rPr>
          <w:szCs w:val="24"/>
        </w:rPr>
        <w:t>during the course of</w:t>
      </w:r>
      <w:proofErr w:type="gramEnd"/>
      <w:r w:rsidR="00755DD4">
        <w:rPr>
          <w:szCs w:val="24"/>
        </w:rPr>
        <w:t xml:space="preserve"> an inpatient hospitalization. However, mortality outside of the inpatient setting is not noted and </w:t>
      </w:r>
      <w:r w:rsidR="002C4353">
        <w:rPr>
          <w:szCs w:val="24"/>
        </w:rPr>
        <w:t xml:space="preserve">appears as </w:t>
      </w:r>
      <w:r w:rsidR="00755DD4">
        <w:rPr>
          <w:szCs w:val="24"/>
        </w:rPr>
        <w:t xml:space="preserve">disenrollment from the database. </w:t>
      </w:r>
      <w:r w:rsidRPr="000F1C82">
        <w:rPr>
          <w:rFonts w:cstheme="minorHAnsi"/>
          <w:szCs w:val="24"/>
        </w:rPr>
        <w:t xml:space="preserve">Additional information and some descriptive characteristics about the IBM </w:t>
      </w:r>
      <w:proofErr w:type="spellStart"/>
      <w:r w:rsidRPr="000F1C82">
        <w:rPr>
          <w:rFonts w:cstheme="minorHAnsi"/>
          <w:szCs w:val="24"/>
        </w:rPr>
        <w:t>MarketScan</w:t>
      </w:r>
      <w:proofErr w:type="spellEnd"/>
      <w:r w:rsidRPr="000F1C82">
        <w:rPr>
          <w:rFonts w:cstheme="minorHAnsi"/>
          <w:szCs w:val="24"/>
        </w:rPr>
        <w:t xml:space="preserve">® MDCR database is available at the following link: </w:t>
      </w:r>
      <w:hyperlink r:id="rId14" w:anchor="jnjsearches?dataSetUri=%2Fdataset%2F4d653f44-36f7-4ccb-a81d-a1dce3be1c62.xml" w:history="1">
        <w:r w:rsidRPr="000F1C82">
          <w:rPr>
            <w:rStyle w:val="Hyperlink"/>
            <w:rFonts w:cstheme="minorHAnsi"/>
            <w:szCs w:val="24"/>
          </w:rPr>
          <w:t>https://catalog.rwe.jnj.com/index#jnjsearches?dataSetUri=%2Fdataset%2F4d653f44-36f7-4ccb-a81d-a1dce3be1c62.xml</w:t>
        </w:r>
      </w:hyperlink>
      <w:r w:rsidRPr="000F1C82">
        <w:rPr>
          <w:rFonts w:cstheme="minorHAnsi"/>
          <w:szCs w:val="24"/>
        </w:rPr>
        <w:t xml:space="preserve"> </w:t>
      </w:r>
    </w:p>
    <w:p w14:paraId="41C91F88" w14:textId="1BAC75D1" w:rsidR="000F1C82" w:rsidRPr="00B87A8B" w:rsidRDefault="000F1C82" w:rsidP="000F1C82">
      <w:pPr>
        <w:pStyle w:val="Heading3"/>
        <w:tabs>
          <w:tab w:val="clear" w:pos="1397"/>
          <w:tab w:val="num" w:pos="810"/>
        </w:tabs>
        <w:ind w:left="810" w:hanging="810"/>
        <w:rPr>
          <w:rFonts w:ascii="Times New Roman" w:hAnsi="Times New Roman"/>
        </w:rPr>
      </w:pPr>
      <w:bookmarkStart w:id="18" w:name="_Toc23519082"/>
      <w:bookmarkStart w:id="19" w:name="_Toc35611425"/>
      <w:r w:rsidRPr="00B87A8B">
        <w:rPr>
          <w:rFonts w:ascii="Times New Roman" w:hAnsi="Times New Roman"/>
        </w:rPr>
        <w:lastRenderedPageBreak/>
        <w:t>Optum® De-Identified </w:t>
      </w:r>
      <w:proofErr w:type="spellStart"/>
      <w:r w:rsidRPr="00B87A8B">
        <w:rPr>
          <w:rFonts w:ascii="Times New Roman" w:hAnsi="Times New Roman"/>
        </w:rPr>
        <w:t>Clinformatics</w:t>
      </w:r>
      <w:proofErr w:type="spellEnd"/>
      <w:r w:rsidRPr="00B87A8B">
        <w:rPr>
          <w:rFonts w:ascii="Times New Roman" w:hAnsi="Times New Roman"/>
        </w:rPr>
        <w:t xml:space="preserve">® Data Mart Database - Date of Death (DOD) </w:t>
      </w:r>
      <w:bookmarkEnd w:id="18"/>
      <w:r w:rsidR="00016A5A" w:rsidRPr="00B87A8B">
        <w:rPr>
          <w:rFonts w:ascii="Times New Roman" w:hAnsi="Times New Roman"/>
        </w:rPr>
        <w:t>v1064</w:t>
      </w:r>
      <w:bookmarkEnd w:id="19"/>
    </w:p>
    <w:p w14:paraId="5BCB819E" w14:textId="426117CE" w:rsidR="000F1C82" w:rsidRPr="000F1C82" w:rsidRDefault="000F1C82" w:rsidP="000F1C82">
      <w:pPr>
        <w:pStyle w:val="paragraph"/>
        <w:spacing w:before="0" w:beforeAutospacing="0" w:after="120" w:afterAutospacing="0"/>
        <w:jc w:val="both"/>
        <w:textAlignment w:val="baseline"/>
      </w:pPr>
      <w:r w:rsidRPr="000F1C82">
        <w:rPr>
          <w:rStyle w:val="normaltextrun"/>
          <w:color w:val="000000"/>
          <w:shd w:val="clear" w:color="auto" w:fill="FFFFFF"/>
        </w:rPr>
        <w:t>Optum</w:t>
      </w:r>
      <w:r w:rsidRPr="000F1C82">
        <w:rPr>
          <w:rStyle w:val="normaltextrun"/>
          <w:color w:val="000000"/>
          <w:shd w:val="clear" w:color="auto" w:fill="FFFFFF"/>
          <w:vertAlign w:val="superscript"/>
        </w:rPr>
        <w:t>®</w:t>
      </w:r>
      <w:r w:rsidRPr="000F1C82">
        <w:rPr>
          <w:rStyle w:val="normaltextrun"/>
          <w:color w:val="000000"/>
          <w:shd w:val="clear" w:color="auto" w:fill="FFFFFF"/>
        </w:rPr>
        <w:t> De-Identified </w:t>
      </w:r>
      <w:proofErr w:type="spellStart"/>
      <w:r w:rsidRPr="000F1C82">
        <w:rPr>
          <w:rStyle w:val="spellingerror"/>
          <w:color w:val="000000"/>
          <w:shd w:val="clear" w:color="auto" w:fill="FFFFFF"/>
        </w:rPr>
        <w:t>Clinformatics</w:t>
      </w:r>
      <w:proofErr w:type="spellEnd"/>
      <w:r w:rsidRPr="000F1C82">
        <w:rPr>
          <w:rStyle w:val="normaltextrun"/>
          <w:color w:val="000000"/>
          <w:shd w:val="clear" w:color="auto" w:fill="FFFFFF"/>
        </w:rPr>
        <w:t>® Data Mart Database</w:t>
      </w:r>
      <w:r w:rsidRPr="000F1C82">
        <w:rPr>
          <w:rStyle w:val="normaltextrun"/>
        </w:rPr>
        <w:t> (</w:t>
      </w:r>
      <w:proofErr w:type="spellStart"/>
      <w:r w:rsidRPr="000F1C82">
        <w:rPr>
          <w:rStyle w:val="spellingerror"/>
        </w:rPr>
        <w:t>OptumInsight</w:t>
      </w:r>
      <w:proofErr w:type="spellEnd"/>
      <w:r w:rsidRPr="000F1C82">
        <w:rPr>
          <w:rStyle w:val="normaltextrun"/>
        </w:rPr>
        <w:t>, Eden Prairie, MN)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w:t>
      </w:r>
      <w:r w:rsidRPr="000F1C82">
        <w:rPr>
          <w:rStyle w:val="findhit"/>
          <w:shd w:val="clear" w:color="auto" w:fill="FFEE80"/>
        </w:rPr>
        <w:t>death</w:t>
      </w:r>
      <w:r w:rsidRPr="000F1C82">
        <w:rPr>
          <w:rStyle w:val="normaltextrun"/>
        </w:rPr>
        <w:t> (month and year only) for members with both medical and pharmacy coverage from the Social Security </w:t>
      </w:r>
      <w:r w:rsidRPr="000F1C82">
        <w:rPr>
          <w:rStyle w:val="findhit"/>
          <w:shd w:val="clear" w:color="auto" w:fill="FFEE80"/>
        </w:rPr>
        <w:t>Death</w:t>
      </w:r>
      <w:r w:rsidRPr="000F1C82">
        <w:rPr>
          <w:rStyle w:val="normaltextrun"/>
        </w:rPr>
        <w:t> Master File and location information for patients is at the US state level.</w:t>
      </w:r>
      <w:r w:rsidR="00A147D8">
        <w:rPr>
          <w:rStyle w:val="normaltextrun"/>
        </w:rPr>
        <w:t xml:space="preserve"> It is important to note that after 2011, reporting frequency for death changed due to changes in national reporting requirements; however, patients were not included in this analysis until 2012, so we do not expect meaningful changes in classification of death outcomes over the course of the study. </w:t>
      </w:r>
      <w:r w:rsidRPr="000F1C82">
        <w:rPr>
          <w:rStyle w:val="normaltextrun"/>
        </w:rPr>
        <w:t xml:space="preserve"> Family identifiers are provided and utilized to infer mother-child linkages.</w:t>
      </w:r>
      <w:r w:rsidRPr="000F1C82">
        <w:rPr>
          <w:rStyle w:val="eop"/>
        </w:rPr>
        <w:t> </w:t>
      </w:r>
    </w:p>
    <w:p w14:paraId="7B68E3FC" w14:textId="16C7B598" w:rsidR="000F1C82" w:rsidRPr="000F1C82" w:rsidRDefault="000F1C82" w:rsidP="009B2F97">
      <w:pPr>
        <w:pStyle w:val="BodyText12"/>
      </w:pPr>
      <w:r w:rsidRPr="000F1C82">
        <w:rPr>
          <w:rStyle w:val="normaltextrun"/>
        </w:rPr>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Additional information and some descriptive characteristics about the </w:t>
      </w:r>
      <w:r w:rsidRPr="000F1C82">
        <w:rPr>
          <w:rStyle w:val="normaltextrun"/>
          <w:color w:val="000000"/>
          <w:shd w:val="clear" w:color="auto" w:fill="FFFFFF"/>
        </w:rPr>
        <w:t>Optum</w:t>
      </w:r>
      <w:r w:rsidRPr="000F1C82">
        <w:rPr>
          <w:rStyle w:val="normaltextrun"/>
          <w:color w:val="000000"/>
          <w:shd w:val="clear" w:color="auto" w:fill="FFFFFF"/>
          <w:vertAlign w:val="superscript"/>
        </w:rPr>
        <w:t>®</w:t>
      </w:r>
      <w:r w:rsidRPr="000F1C82">
        <w:rPr>
          <w:rStyle w:val="normaltextrun"/>
          <w:color w:val="000000"/>
          <w:shd w:val="clear" w:color="auto" w:fill="FFFFFF"/>
        </w:rPr>
        <w:t> De-Identified </w:t>
      </w:r>
      <w:proofErr w:type="spellStart"/>
      <w:r w:rsidRPr="000F1C82">
        <w:rPr>
          <w:rStyle w:val="spellingerror"/>
          <w:color w:val="000000"/>
          <w:shd w:val="clear" w:color="auto" w:fill="FFFFFF"/>
        </w:rPr>
        <w:t>Clinformatics</w:t>
      </w:r>
      <w:proofErr w:type="spellEnd"/>
      <w:r w:rsidRPr="000F1C82">
        <w:rPr>
          <w:rStyle w:val="normaltextrun"/>
          <w:color w:val="000000"/>
          <w:shd w:val="clear" w:color="auto" w:fill="FFFFFF"/>
        </w:rPr>
        <w:t>® Data Mart Database</w:t>
      </w:r>
      <w:r w:rsidRPr="000F1C82">
        <w:rPr>
          <w:rStyle w:val="normaltextrun"/>
        </w:rPr>
        <w:t xml:space="preserve"> is available at the following link: </w:t>
      </w:r>
      <w:hyperlink r:id="rId15" w:anchor="jnjsearches?dataSetUri=%2Fdataset%2F5115ce8f-54d7-46f8-bef5-7fba67943b75.xml" w:history="1">
        <w:r w:rsidRPr="000F1C82">
          <w:rPr>
            <w:rStyle w:val="Hyperlink"/>
          </w:rPr>
          <w:t>https://catalog.rwe.jnj.com/index#jnjsearches?dataSetUri=%2Fdataset%2F5115ce8f-54d7-46f8-bef5-7fba67943b75.xml</w:t>
        </w:r>
      </w:hyperlink>
    </w:p>
    <w:p w14:paraId="78DC3EC9" w14:textId="02B39FB9" w:rsidR="00EC0BD4" w:rsidRPr="00922AF2" w:rsidRDefault="00EC0BD4" w:rsidP="009B2F97">
      <w:pPr>
        <w:pStyle w:val="Heading2"/>
        <w:rPr>
          <w:rFonts w:ascii="Times New Roman" w:hAnsi="Times New Roman"/>
          <w:szCs w:val="24"/>
        </w:rPr>
      </w:pPr>
      <w:bookmarkStart w:id="20" w:name="_Toc35611426"/>
      <w:r w:rsidRPr="00922AF2">
        <w:rPr>
          <w:rFonts w:ascii="Times New Roman" w:hAnsi="Times New Roman"/>
          <w:szCs w:val="24"/>
        </w:rPr>
        <w:t>Study Population</w:t>
      </w:r>
      <w:r w:rsidR="009B2F97" w:rsidRPr="00922AF2">
        <w:rPr>
          <w:rFonts w:ascii="Times New Roman" w:hAnsi="Times New Roman"/>
          <w:szCs w:val="24"/>
        </w:rPr>
        <w:t>(s)</w:t>
      </w:r>
      <w:bookmarkEnd w:id="20"/>
    </w:p>
    <w:p w14:paraId="4C226BE4" w14:textId="31A52EFC" w:rsidR="0038116D" w:rsidRDefault="003A47D4" w:rsidP="000F1C82">
      <w:pPr>
        <w:pStyle w:val="BodyText12"/>
      </w:pPr>
      <w:r>
        <w:t xml:space="preserve">In the primary </w:t>
      </w:r>
      <w:r w:rsidR="00F41A74">
        <w:t>analyses</w:t>
      </w:r>
      <w:r>
        <w:t xml:space="preserve">, we select patients from the </w:t>
      </w:r>
      <w:proofErr w:type="gramStart"/>
      <w:r>
        <w:t>aforementioned databases</w:t>
      </w:r>
      <w:proofErr w:type="gramEnd"/>
      <w:r>
        <w:t xml:space="preserve"> at the point of their observed drug exposure to either abiraterone (the target exposure group) or enzalutamide (the comparator exposure group). </w:t>
      </w:r>
      <w:r w:rsidR="0038116D">
        <w:t xml:space="preserve">We include patients whose index date </w:t>
      </w:r>
      <w:r w:rsidR="0088071B">
        <w:t xml:space="preserve">is </w:t>
      </w:r>
      <w:r w:rsidR="0038116D">
        <w:t xml:space="preserve">preceded by at least one condition occurrence of primary malignant neoplasm of the prostate at any point and who </w:t>
      </w:r>
      <w:r w:rsidR="0088071B">
        <w:t xml:space="preserve">have </w:t>
      </w:r>
      <w:r w:rsidR="0038116D">
        <w:t>observed use of ADT therapy 30 days before the index date or earlier. Since abiraterone is indicated to be prescribed concomitantly with</w:t>
      </w:r>
      <w:r w:rsidR="002D3E89">
        <w:t xml:space="preserve"> oral</w:t>
      </w:r>
      <w:r w:rsidR="0038116D">
        <w:t xml:space="preserve"> prednisone or prednisolone, we also require that patients in the abiraterone cohort had a </w:t>
      </w:r>
      <w:proofErr w:type="spellStart"/>
      <w:r w:rsidR="006D10A4">
        <w:t>fill</w:t>
      </w:r>
      <w:r w:rsidR="0038116D">
        <w:t>of</w:t>
      </w:r>
      <w:proofErr w:type="spellEnd"/>
      <w:r w:rsidR="0038116D">
        <w:t xml:space="preserve"> </w:t>
      </w:r>
      <w:r w:rsidR="002D3E89">
        <w:t xml:space="preserve">oral </w:t>
      </w:r>
      <w:proofErr w:type="spellStart"/>
      <w:r w:rsidR="0038116D">
        <w:t>predniso</w:t>
      </w:r>
      <w:proofErr w:type="spellEnd"/>
      <w:r w:rsidR="0038116D">
        <w:t>(lo)ne within 30 days (either before or after) the index date.</w:t>
      </w:r>
      <w:r w:rsidR="00123B9F" w:rsidRPr="00123B9F">
        <w:t xml:space="preserve"> </w:t>
      </w:r>
      <w:r w:rsidR="00123B9F">
        <w:t xml:space="preserve">Patients were </w:t>
      </w:r>
      <w:r w:rsidR="00BE775A">
        <w:t>only included in the analysis after August 31, 2012, which is the date that enzalutamide was approved for treatment of CRPC</w:t>
      </w:r>
      <w:r w:rsidR="00CD2D68">
        <w:t xml:space="preserve"> (</w:t>
      </w:r>
      <w:proofErr w:type="spellStart"/>
      <w:r w:rsidR="00CD2D68">
        <w:t>Pazdur</w:t>
      </w:r>
      <w:proofErr w:type="spellEnd"/>
      <w:r w:rsidR="00CD2D68">
        <w:t>, 2012)</w:t>
      </w:r>
      <w:r w:rsidR="00B045A1">
        <w:t>.</w:t>
      </w:r>
      <w:r w:rsidR="00123B9F">
        <w:t xml:space="preserve"> </w:t>
      </w:r>
      <w:r w:rsidR="002E0A90">
        <w:t>Thus, this study only includes time where the two treatments being studied</w:t>
      </w:r>
      <w:r w:rsidR="00426E86">
        <w:t xml:space="preserve"> </w:t>
      </w:r>
      <w:r w:rsidR="002E0A90">
        <w:t>(abiraterone and enzalutamide) were indicated for patients with similar clinical conditions and disease stage.</w:t>
      </w:r>
    </w:p>
    <w:p w14:paraId="656A1973" w14:textId="3FB8CB89" w:rsidR="0038116D" w:rsidRDefault="0038116D">
      <w:pPr>
        <w:pStyle w:val="BodyText12"/>
      </w:pPr>
      <w:r>
        <w:t xml:space="preserve">In </w:t>
      </w:r>
      <w:r w:rsidR="00AF63AB">
        <w:t>additional sub-</w:t>
      </w:r>
      <w:r>
        <w:t>analyses, we further stratif</w:t>
      </w:r>
      <w:r w:rsidR="0088071B">
        <w:t>y</w:t>
      </w:r>
      <w:r>
        <w:t xml:space="preserve"> these cohorts according to the following criteria</w:t>
      </w:r>
      <w:r w:rsidR="4C76E472">
        <w:t xml:space="preserve"> if sample size allows</w:t>
      </w:r>
      <w:r>
        <w:t>:</w:t>
      </w:r>
    </w:p>
    <w:p w14:paraId="31E0D922" w14:textId="112E216A" w:rsidR="0038116D" w:rsidRDefault="0038116D" w:rsidP="003E725B">
      <w:pPr>
        <w:pStyle w:val="BodyText12"/>
        <w:numPr>
          <w:ilvl w:val="0"/>
          <w:numId w:val="23"/>
        </w:numPr>
        <w:contextualSpacing/>
      </w:pPr>
      <w:r>
        <w:lastRenderedPageBreak/>
        <w:t>No cardiovascular disease in prior six months:</w:t>
      </w:r>
      <w:r w:rsidR="00CC0BE5">
        <w:t xml:space="preserve"> we requir</w:t>
      </w:r>
      <w:r w:rsidR="003E725B">
        <w:t>e</w:t>
      </w:r>
      <w:r w:rsidR="00CC0BE5">
        <w:t xml:space="preserve"> that in the 180 days before the index date there be no occurrences of conditions or procedures indicating cardiovascular disease. </w:t>
      </w:r>
    </w:p>
    <w:p w14:paraId="184DBC61" w14:textId="31C4A0C6" w:rsidR="0038116D" w:rsidRDefault="0038116D" w:rsidP="003E725B">
      <w:pPr>
        <w:pStyle w:val="BodyText12"/>
        <w:numPr>
          <w:ilvl w:val="0"/>
          <w:numId w:val="23"/>
        </w:numPr>
        <w:contextualSpacing/>
      </w:pPr>
      <w:r>
        <w:t>Any cardiovascular disease in prior six months:</w:t>
      </w:r>
      <w:r w:rsidR="00CC0BE5" w:rsidRPr="00CC0BE5">
        <w:t xml:space="preserve"> </w:t>
      </w:r>
      <w:r w:rsidR="00CC0BE5">
        <w:t>we requir</w:t>
      </w:r>
      <w:r w:rsidR="003E725B">
        <w:t>e</w:t>
      </w:r>
      <w:r w:rsidR="00CC0BE5">
        <w:t xml:space="preserve"> that in the 180 days before the index date there be at least one occurrence of a condition or procedure indicating cardiovascular disease.</w:t>
      </w:r>
    </w:p>
    <w:p w14:paraId="4D04AFBE" w14:textId="1A0E7E54" w:rsidR="0038116D" w:rsidRDefault="00CD5478" w:rsidP="003E725B">
      <w:pPr>
        <w:pStyle w:val="BodyText12"/>
        <w:numPr>
          <w:ilvl w:val="0"/>
          <w:numId w:val="23"/>
        </w:numPr>
        <w:contextualSpacing/>
      </w:pPr>
      <w:r>
        <w:t xml:space="preserve">Less severe </w:t>
      </w:r>
      <w:r w:rsidR="0038116D">
        <w:t>cardiovascular disease in prior six months:</w:t>
      </w:r>
      <w:r w:rsidR="00CC0BE5">
        <w:t xml:space="preserve"> we requir</w:t>
      </w:r>
      <w:r w:rsidR="003E725B">
        <w:t>e</w:t>
      </w:r>
      <w:r w:rsidR="00CC0BE5">
        <w:t xml:space="preserve"> that in the 180 days before the index date there be 1) at least one occurrence of a condition or procedure indicating cardiovascular disease, 2) no more than two conditions indicating cardiovascular disease and 3) no more than two procedures indicating cardiovascular disease.</w:t>
      </w:r>
    </w:p>
    <w:p w14:paraId="0ED23838" w14:textId="39112F16" w:rsidR="009F4EA5" w:rsidRDefault="00CD5478" w:rsidP="003E725B">
      <w:pPr>
        <w:pStyle w:val="BodyText12"/>
        <w:numPr>
          <w:ilvl w:val="0"/>
          <w:numId w:val="23"/>
        </w:numPr>
      </w:pPr>
      <w:r>
        <w:t xml:space="preserve">More severe </w:t>
      </w:r>
      <w:r w:rsidR="0038116D">
        <w:t xml:space="preserve">cardiovascular disease: </w:t>
      </w:r>
      <w:r w:rsidR="00CC0BE5">
        <w:t>we requir</w:t>
      </w:r>
      <w:r w:rsidR="003E725B">
        <w:t>e</w:t>
      </w:r>
      <w:r w:rsidR="00CC0BE5">
        <w:t xml:space="preserve"> that in the 180 days before the index </w:t>
      </w:r>
      <w:proofErr w:type="gramStart"/>
      <w:r w:rsidR="00CC0BE5">
        <w:t>date  there</w:t>
      </w:r>
      <w:proofErr w:type="gramEnd"/>
      <w:r w:rsidR="00CC0BE5">
        <w:t xml:space="preserve"> be at least three occurrences of condition or at least three occurrences of procedures indicating cardiovascular disease in the 180 days before the index date</w:t>
      </w:r>
    </w:p>
    <w:p w14:paraId="33DE8E8E" w14:textId="072AA945" w:rsidR="00162DB4" w:rsidRDefault="004874A5" w:rsidP="00922AF2">
      <w:pPr>
        <w:pStyle w:val="BodyText12"/>
      </w:pPr>
      <w:r>
        <w:t xml:space="preserve">We use </w:t>
      </w:r>
      <w:r w:rsidR="00703D2F">
        <w:t xml:space="preserve">the web-based </w:t>
      </w:r>
      <w:r>
        <w:t>Atlas</w:t>
      </w:r>
      <w:r w:rsidR="00703D2F">
        <w:t xml:space="preserve"> tool (a point-and-click interface for specifying study design in analyses of large observational databases)</w:t>
      </w:r>
      <w:r>
        <w:t xml:space="preserve"> to develop target cohorts (initiators of abiraterone) and comparator cohorts (initiators of enzalutamide) for each of the above</w:t>
      </w:r>
      <w:r w:rsidR="00703D2F">
        <w:t>-d</w:t>
      </w:r>
      <w:r>
        <w:t xml:space="preserve">escribed analyses. In Table 1 below, </w:t>
      </w:r>
      <w:r w:rsidR="003D4A31">
        <w:t xml:space="preserve">we provide a general overview of the logic used to define the target (abiraterone) and comparator (enzalutamide) cohorts. In Table 2, all </w:t>
      </w:r>
      <w:r>
        <w:t>cohorts</w:t>
      </w:r>
      <w:r w:rsidR="003D4A31">
        <w:t xml:space="preserve"> (including outcome cohorts)</w:t>
      </w:r>
      <w:r>
        <w:t xml:space="preserve"> are listed</w:t>
      </w:r>
      <w:r w:rsidR="003D4A31">
        <w:t xml:space="preserve"> with </w:t>
      </w:r>
      <w:r>
        <w:t xml:space="preserve">hyperlinks </w:t>
      </w:r>
      <w:r w:rsidR="003D4A31">
        <w:t xml:space="preserve">that </w:t>
      </w:r>
      <w:r>
        <w:t xml:space="preserve">lead to their full specification in the Atlas web-interface. </w:t>
      </w:r>
      <w:r w:rsidR="003D4A31">
        <w:t xml:space="preserve">Details on the concept sets used to define these cohorts are available in Atlas. </w:t>
      </w:r>
    </w:p>
    <w:p w14:paraId="16732EE4" w14:textId="0954E3F9" w:rsidR="003D4A31" w:rsidRDefault="003D4A31" w:rsidP="00922AF2">
      <w:pPr>
        <w:pStyle w:val="BodyText12"/>
      </w:pPr>
      <w:r w:rsidRPr="003E725B">
        <w:rPr>
          <w:b/>
          <w:bCs/>
        </w:rPr>
        <w:t xml:space="preserve">Table 1. </w:t>
      </w:r>
      <w:r>
        <w:t>General overview of logic used to define target (abiraterone) and comparator (enzalutamide) cohorts.</w:t>
      </w:r>
    </w:p>
    <w:tbl>
      <w:tblPr>
        <w:tblW w:w="9985"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1823"/>
        <w:gridCol w:w="8162"/>
      </w:tblGrid>
      <w:tr w:rsidR="003D4A31" w:rsidRPr="00F36E7E" w14:paraId="5D1D3C4A" w14:textId="77777777" w:rsidTr="000B60B2">
        <w:tc>
          <w:tcPr>
            <w:tcW w:w="1823" w:type="dxa"/>
            <w:tcBorders>
              <w:top w:val="single" w:sz="4" w:space="0" w:color="auto"/>
              <w:left w:val="single" w:sz="4" w:space="0" w:color="A6A6A6" w:themeColor="background1" w:themeShade="A6"/>
              <w:bottom w:val="single" w:sz="4" w:space="0" w:color="auto"/>
              <w:right w:val="single" w:sz="4" w:space="0" w:color="A6A6A6" w:themeColor="background1" w:themeShade="A6"/>
            </w:tcBorders>
            <w:shd w:val="clear" w:color="auto" w:fill="BFBFBF" w:themeFill="background1" w:themeFillShade="BF"/>
            <w:tcMar>
              <w:top w:w="0" w:type="dxa"/>
              <w:left w:w="108" w:type="dxa"/>
              <w:bottom w:w="0" w:type="dxa"/>
              <w:right w:w="108" w:type="dxa"/>
            </w:tcMar>
          </w:tcPr>
          <w:p w14:paraId="2D5351C8" w14:textId="77777777" w:rsidR="003D4A31" w:rsidRPr="00F36E7E" w:rsidRDefault="003D4A31" w:rsidP="000B60B2">
            <w:pPr>
              <w:spacing w:after="120"/>
              <w:rPr>
                <w:b/>
                <w:bCs/>
                <w:sz w:val="18"/>
                <w:szCs w:val="18"/>
              </w:rPr>
            </w:pPr>
            <w:r w:rsidRPr="00F36E7E">
              <w:rPr>
                <w:b/>
                <w:bCs/>
                <w:sz w:val="18"/>
                <w:szCs w:val="18"/>
              </w:rPr>
              <w:t>Cohort Component</w:t>
            </w:r>
          </w:p>
        </w:tc>
        <w:tc>
          <w:tcPr>
            <w:tcW w:w="8162" w:type="dxa"/>
            <w:tcBorders>
              <w:top w:val="single" w:sz="4" w:space="0" w:color="auto"/>
              <w:left w:val="single" w:sz="4" w:space="0" w:color="A6A6A6" w:themeColor="background1" w:themeShade="A6"/>
              <w:bottom w:val="single" w:sz="4" w:space="0" w:color="auto"/>
              <w:right w:val="single" w:sz="4" w:space="0" w:color="A6A6A6" w:themeColor="background1" w:themeShade="A6"/>
            </w:tcBorders>
            <w:shd w:val="clear" w:color="auto" w:fill="BFBFBF" w:themeFill="background1" w:themeFillShade="BF"/>
            <w:tcMar>
              <w:top w:w="0" w:type="dxa"/>
              <w:left w:w="108" w:type="dxa"/>
              <w:bottom w:w="0" w:type="dxa"/>
              <w:right w:w="108" w:type="dxa"/>
            </w:tcMar>
          </w:tcPr>
          <w:p w14:paraId="70753FCB" w14:textId="77777777" w:rsidR="003D4A31" w:rsidRPr="00F36E7E" w:rsidRDefault="003D4A31" w:rsidP="000B60B2">
            <w:pPr>
              <w:spacing w:after="120"/>
              <w:contextualSpacing/>
              <w:rPr>
                <w:b/>
                <w:bCs/>
                <w:sz w:val="18"/>
                <w:szCs w:val="18"/>
              </w:rPr>
            </w:pPr>
            <w:r w:rsidRPr="00F36E7E">
              <w:rPr>
                <w:b/>
                <w:bCs/>
                <w:sz w:val="18"/>
                <w:szCs w:val="18"/>
              </w:rPr>
              <w:t>Description of Specification</w:t>
            </w:r>
          </w:p>
        </w:tc>
      </w:tr>
      <w:tr w:rsidR="003D4A31" w:rsidRPr="00F36E7E" w14:paraId="4A1750F1" w14:textId="77777777" w:rsidTr="000B60B2">
        <w:tc>
          <w:tcPr>
            <w:tcW w:w="1823"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hideMark/>
          </w:tcPr>
          <w:p w14:paraId="459ED24D" w14:textId="77777777" w:rsidR="003D4A31" w:rsidRPr="00F36E7E" w:rsidRDefault="003D4A31" w:rsidP="000B60B2">
            <w:pPr>
              <w:spacing w:after="120"/>
              <w:rPr>
                <w:b/>
                <w:bCs/>
                <w:sz w:val="18"/>
                <w:szCs w:val="18"/>
              </w:rPr>
            </w:pPr>
            <w:r w:rsidRPr="00F36E7E">
              <w:rPr>
                <w:b/>
                <w:bCs/>
                <w:sz w:val="18"/>
                <w:szCs w:val="18"/>
              </w:rPr>
              <w:t>Concept Sets</w:t>
            </w:r>
          </w:p>
        </w:tc>
        <w:tc>
          <w:tcPr>
            <w:tcW w:w="8162"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tcPr>
          <w:p w14:paraId="78F6B1A1" w14:textId="77777777" w:rsidR="003D4A31" w:rsidRPr="00F36E7E" w:rsidRDefault="003D4A31" w:rsidP="00F32CA7">
            <w:pPr>
              <w:pStyle w:val="ListParagraph"/>
              <w:numPr>
                <w:ilvl w:val="0"/>
                <w:numId w:val="31"/>
              </w:numPr>
              <w:spacing w:after="120" w:line="240" w:lineRule="auto"/>
              <w:rPr>
                <w:rFonts w:ascii="Times New Roman" w:hAnsi="Times New Roman" w:cs="Times New Roman"/>
                <w:sz w:val="18"/>
                <w:szCs w:val="18"/>
              </w:rPr>
            </w:pPr>
            <w:r w:rsidRPr="00F36E7E">
              <w:rPr>
                <w:rFonts w:ascii="Times New Roman" w:eastAsia="Times New Roman" w:hAnsi="Times New Roman" w:cs="Times New Roman"/>
                <w:sz w:val="18"/>
                <w:szCs w:val="18"/>
              </w:rPr>
              <w:t>[RWE CTF] Abiraterone (</w:t>
            </w:r>
            <w:proofErr w:type="spellStart"/>
            <w:r w:rsidRPr="00F36E7E">
              <w:rPr>
                <w:rFonts w:ascii="Times New Roman" w:eastAsia="Times New Roman" w:hAnsi="Times New Roman" w:cs="Times New Roman"/>
                <w:sz w:val="18"/>
                <w:szCs w:val="18"/>
              </w:rPr>
              <w:t>Zytiga</w:t>
            </w:r>
            <w:proofErr w:type="spellEnd"/>
            <w:r w:rsidRPr="00F36E7E">
              <w:rPr>
                <w:rFonts w:ascii="Times New Roman" w:eastAsia="Times New Roman" w:hAnsi="Times New Roman" w:cs="Times New Roman"/>
                <w:sz w:val="18"/>
                <w:szCs w:val="18"/>
              </w:rPr>
              <w:t>)</w:t>
            </w:r>
          </w:p>
          <w:p w14:paraId="2B096FA4" w14:textId="77777777" w:rsidR="003D4A31" w:rsidRPr="00F36E7E" w:rsidRDefault="00E64EBB" w:rsidP="00F32CA7">
            <w:pPr>
              <w:pStyle w:val="ListParagraph"/>
              <w:numPr>
                <w:ilvl w:val="1"/>
                <w:numId w:val="31"/>
              </w:numPr>
              <w:spacing w:after="120" w:line="240" w:lineRule="auto"/>
              <w:rPr>
                <w:rFonts w:ascii="Times New Roman" w:hAnsi="Times New Roman" w:cs="Times New Roman"/>
                <w:sz w:val="18"/>
                <w:szCs w:val="18"/>
              </w:rPr>
            </w:pPr>
            <w:hyperlink r:id="rId16" w:anchor="/conceptset/3462/conceptset-expression" w:history="1">
              <w:r w:rsidR="003D4A31" w:rsidRPr="00F36E7E">
                <w:rPr>
                  <w:rStyle w:val="Hyperlink"/>
                  <w:rFonts w:ascii="Times New Roman" w:hAnsi="Times New Roman" w:cs="Times New Roman"/>
                  <w:sz w:val="18"/>
                  <w:szCs w:val="18"/>
                </w:rPr>
                <w:t>https://epi.jnj.com/atlas/#/conceptset/3462/conceptset-expression</w:t>
              </w:r>
            </w:hyperlink>
            <w:r w:rsidR="003D4A31" w:rsidRPr="00F36E7E">
              <w:rPr>
                <w:rFonts w:ascii="Times New Roman" w:hAnsi="Times New Roman" w:cs="Times New Roman"/>
                <w:sz w:val="18"/>
                <w:szCs w:val="18"/>
              </w:rPr>
              <w:t xml:space="preserve"> </w:t>
            </w:r>
          </w:p>
          <w:p w14:paraId="240CADB0" w14:textId="77777777" w:rsidR="003D4A31" w:rsidRPr="00F36E7E" w:rsidRDefault="003D4A31" w:rsidP="00F32CA7">
            <w:pPr>
              <w:pStyle w:val="ListParagraph"/>
              <w:numPr>
                <w:ilvl w:val="0"/>
                <w:numId w:val="31"/>
              </w:numPr>
              <w:spacing w:after="120" w:line="240" w:lineRule="auto"/>
              <w:rPr>
                <w:rFonts w:ascii="Times New Roman" w:hAnsi="Times New Roman" w:cs="Times New Roman"/>
                <w:sz w:val="18"/>
                <w:szCs w:val="18"/>
              </w:rPr>
            </w:pPr>
            <w:r w:rsidRPr="00F36E7E">
              <w:rPr>
                <w:rFonts w:ascii="Times New Roman" w:hAnsi="Times New Roman" w:cs="Times New Roman"/>
                <w:sz w:val="18"/>
                <w:szCs w:val="18"/>
              </w:rPr>
              <w:t>Enzalutamide</w:t>
            </w:r>
          </w:p>
          <w:p w14:paraId="156FFAE1" w14:textId="77777777" w:rsidR="003D4A31" w:rsidRPr="00F36E7E" w:rsidRDefault="00E64EBB" w:rsidP="00F32CA7">
            <w:pPr>
              <w:pStyle w:val="ListParagraph"/>
              <w:numPr>
                <w:ilvl w:val="1"/>
                <w:numId w:val="31"/>
              </w:numPr>
              <w:spacing w:after="120" w:line="240" w:lineRule="auto"/>
              <w:rPr>
                <w:rFonts w:ascii="Times New Roman" w:hAnsi="Times New Roman" w:cs="Times New Roman"/>
                <w:sz w:val="18"/>
                <w:szCs w:val="18"/>
              </w:rPr>
            </w:pPr>
            <w:hyperlink r:id="rId17" w:anchor="/conceptset/2806/conceptset-expression" w:history="1">
              <w:r w:rsidR="003D4A31" w:rsidRPr="00F36E7E">
                <w:rPr>
                  <w:rStyle w:val="Hyperlink"/>
                  <w:rFonts w:ascii="Times New Roman" w:hAnsi="Times New Roman" w:cs="Times New Roman"/>
                  <w:sz w:val="18"/>
                  <w:szCs w:val="18"/>
                </w:rPr>
                <w:t>https://epi.jnj.com/atlas/#/conceptset/2806/conceptset-expression</w:t>
              </w:r>
            </w:hyperlink>
            <w:r w:rsidR="003D4A31" w:rsidRPr="00F36E7E">
              <w:rPr>
                <w:rFonts w:ascii="Times New Roman" w:hAnsi="Times New Roman" w:cs="Times New Roman"/>
                <w:sz w:val="18"/>
                <w:szCs w:val="18"/>
              </w:rPr>
              <w:t xml:space="preserve"> </w:t>
            </w:r>
          </w:p>
          <w:p w14:paraId="03F83739" w14:textId="77777777" w:rsidR="003D4A31" w:rsidRPr="00F36E7E" w:rsidRDefault="003D4A31" w:rsidP="00F32CA7">
            <w:pPr>
              <w:pStyle w:val="ListParagraph"/>
              <w:numPr>
                <w:ilvl w:val="0"/>
                <w:numId w:val="31"/>
              </w:numPr>
              <w:spacing w:after="120" w:line="240" w:lineRule="auto"/>
              <w:rPr>
                <w:rFonts w:ascii="Times New Roman" w:hAnsi="Times New Roman" w:cs="Times New Roman"/>
                <w:sz w:val="18"/>
                <w:szCs w:val="18"/>
              </w:rPr>
            </w:pPr>
            <w:r w:rsidRPr="00F36E7E">
              <w:rPr>
                <w:rFonts w:ascii="Times New Roman" w:hAnsi="Times New Roman" w:cs="Times New Roman"/>
                <w:color w:val="333333"/>
                <w:sz w:val="18"/>
                <w:szCs w:val="18"/>
                <w:shd w:val="clear" w:color="auto" w:fill="FFFFFF"/>
              </w:rPr>
              <w:t xml:space="preserve">[EPI_693] Oral </w:t>
            </w:r>
            <w:proofErr w:type="spellStart"/>
            <w:r w:rsidRPr="00F36E7E">
              <w:rPr>
                <w:rFonts w:ascii="Times New Roman" w:hAnsi="Times New Roman" w:cs="Times New Roman"/>
                <w:color w:val="333333"/>
                <w:sz w:val="18"/>
                <w:szCs w:val="18"/>
                <w:shd w:val="clear" w:color="auto" w:fill="FFFFFF"/>
              </w:rPr>
              <w:t>predniso</w:t>
            </w:r>
            <w:proofErr w:type="spellEnd"/>
            <w:r w:rsidRPr="00F36E7E">
              <w:rPr>
                <w:rFonts w:ascii="Times New Roman" w:hAnsi="Times New Roman" w:cs="Times New Roman"/>
                <w:color w:val="333333"/>
                <w:sz w:val="18"/>
                <w:szCs w:val="18"/>
                <w:shd w:val="clear" w:color="auto" w:fill="FFFFFF"/>
              </w:rPr>
              <w:t>(lo)ne</w:t>
            </w:r>
          </w:p>
          <w:p w14:paraId="646B42FF" w14:textId="77777777" w:rsidR="003D4A31" w:rsidRPr="00F36E7E" w:rsidRDefault="00E64EBB" w:rsidP="00F32CA7">
            <w:pPr>
              <w:pStyle w:val="ListParagraph"/>
              <w:numPr>
                <w:ilvl w:val="1"/>
                <w:numId w:val="31"/>
              </w:numPr>
              <w:spacing w:after="120" w:line="240" w:lineRule="auto"/>
              <w:rPr>
                <w:rFonts w:ascii="Times New Roman" w:hAnsi="Times New Roman" w:cs="Times New Roman"/>
                <w:sz w:val="18"/>
                <w:szCs w:val="18"/>
              </w:rPr>
            </w:pPr>
            <w:hyperlink r:id="rId18" w:anchor="/conceptset/9617/conceptset-expression" w:history="1">
              <w:r w:rsidR="003D4A31" w:rsidRPr="00F36E7E">
                <w:rPr>
                  <w:rStyle w:val="Hyperlink"/>
                  <w:rFonts w:ascii="Times New Roman" w:hAnsi="Times New Roman" w:cs="Times New Roman"/>
                  <w:sz w:val="18"/>
                  <w:szCs w:val="18"/>
                </w:rPr>
                <w:t>https://epi.jnj.com/atlas/#/conceptset/9617/conceptset-expression</w:t>
              </w:r>
            </w:hyperlink>
            <w:r w:rsidR="003D4A31" w:rsidRPr="00F36E7E">
              <w:rPr>
                <w:rFonts w:ascii="Times New Roman" w:hAnsi="Times New Roman" w:cs="Times New Roman"/>
                <w:sz w:val="18"/>
                <w:szCs w:val="18"/>
              </w:rPr>
              <w:t xml:space="preserve"> </w:t>
            </w:r>
          </w:p>
          <w:p w14:paraId="01F620CF" w14:textId="77777777" w:rsidR="003D4A31" w:rsidRPr="00F36E7E" w:rsidRDefault="003D4A31" w:rsidP="00F32CA7">
            <w:pPr>
              <w:pStyle w:val="ListParagraph"/>
              <w:numPr>
                <w:ilvl w:val="0"/>
                <w:numId w:val="31"/>
              </w:numPr>
              <w:spacing w:after="120" w:line="240" w:lineRule="auto"/>
              <w:rPr>
                <w:rFonts w:ascii="Times New Roman" w:hAnsi="Times New Roman" w:cs="Times New Roman"/>
                <w:sz w:val="18"/>
                <w:szCs w:val="18"/>
              </w:rPr>
            </w:pPr>
            <w:r w:rsidRPr="00F36E7E">
              <w:rPr>
                <w:rFonts w:ascii="Times New Roman" w:hAnsi="Times New Roman" w:cs="Times New Roman"/>
                <w:color w:val="333333"/>
                <w:sz w:val="18"/>
                <w:szCs w:val="18"/>
                <w:shd w:val="clear" w:color="auto" w:fill="FFFFFF"/>
              </w:rPr>
              <w:t>Primary malignant neoplasm of prostate</w:t>
            </w:r>
          </w:p>
          <w:p w14:paraId="5A555574" w14:textId="77777777" w:rsidR="003D4A31" w:rsidRPr="00F36E7E" w:rsidRDefault="00E64EBB" w:rsidP="00F32CA7">
            <w:pPr>
              <w:pStyle w:val="ListParagraph"/>
              <w:numPr>
                <w:ilvl w:val="1"/>
                <w:numId w:val="31"/>
              </w:numPr>
              <w:spacing w:after="120" w:line="240" w:lineRule="auto"/>
              <w:rPr>
                <w:rFonts w:ascii="Times New Roman" w:hAnsi="Times New Roman" w:cs="Times New Roman"/>
                <w:sz w:val="18"/>
                <w:szCs w:val="18"/>
              </w:rPr>
            </w:pPr>
            <w:hyperlink r:id="rId19" w:anchor="/conceptset/9071/conceptset-expression" w:history="1">
              <w:r w:rsidR="003D4A31" w:rsidRPr="00F36E7E">
                <w:rPr>
                  <w:rStyle w:val="Hyperlink"/>
                  <w:rFonts w:ascii="Times New Roman" w:hAnsi="Times New Roman" w:cs="Times New Roman"/>
                  <w:sz w:val="18"/>
                  <w:szCs w:val="18"/>
                </w:rPr>
                <w:t>https://epi.jnj.com/atlas/#/conceptset/9071/conceptset-expression</w:t>
              </w:r>
            </w:hyperlink>
          </w:p>
          <w:p w14:paraId="16BC1C16" w14:textId="77777777" w:rsidR="003D4A31" w:rsidRPr="00F36E7E" w:rsidRDefault="003D4A31" w:rsidP="00F32CA7">
            <w:pPr>
              <w:pStyle w:val="ListParagraph"/>
              <w:numPr>
                <w:ilvl w:val="0"/>
                <w:numId w:val="31"/>
              </w:numPr>
              <w:spacing w:after="120" w:line="240" w:lineRule="auto"/>
              <w:rPr>
                <w:rFonts w:ascii="Times New Roman" w:hAnsi="Times New Roman" w:cs="Times New Roman"/>
                <w:sz w:val="18"/>
                <w:szCs w:val="18"/>
              </w:rPr>
            </w:pPr>
            <w:r w:rsidRPr="00F36E7E">
              <w:rPr>
                <w:rFonts w:ascii="Times New Roman" w:hAnsi="Times New Roman" w:cs="Times New Roman"/>
                <w:sz w:val="18"/>
                <w:szCs w:val="18"/>
              </w:rPr>
              <w:t>CPRC Definition Androgen Deprivation Therapy</w:t>
            </w:r>
          </w:p>
          <w:p w14:paraId="498E3369" w14:textId="77777777" w:rsidR="003D4A31" w:rsidRPr="00F36E7E" w:rsidRDefault="00E64EBB" w:rsidP="00F32CA7">
            <w:pPr>
              <w:pStyle w:val="ListParagraph"/>
              <w:numPr>
                <w:ilvl w:val="1"/>
                <w:numId w:val="31"/>
              </w:numPr>
              <w:spacing w:after="120" w:line="240" w:lineRule="auto"/>
              <w:rPr>
                <w:rStyle w:val="Hyperlink"/>
                <w:rFonts w:ascii="Times New Roman" w:hAnsi="Times New Roman" w:cs="Times New Roman"/>
                <w:color w:val="auto"/>
                <w:sz w:val="18"/>
                <w:szCs w:val="18"/>
              </w:rPr>
            </w:pPr>
            <w:hyperlink r:id="rId20" w:anchor="/conceptset/10186/conceptset-expression" w:history="1">
              <w:r w:rsidR="003D4A31" w:rsidRPr="00F36E7E">
                <w:rPr>
                  <w:rStyle w:val="Hyperlink"/>
                  <w:rFonts w:ascii="Times New Roman" w:hAnsi="Times New Roman" w:cs="Times New Roman"/>
                  <w:sz w:val="18"/>
                  <w:szCs w:val="18"/>
                </w:rPr>
                <w:t>https://epi.jnj.com/atlas/#/conceptset/10186/conceptset-expression</w:t>
              </w:r>
            </w:hyperlink>
          </w:p>
          <w:p w14:paraId="6F571E8E" w14:textId="77777777" w:rsidR="003D4A31" w:rsidRDefault="003D4A31" w:rsidP="00F32CA7">
            <w:pPr>
              <w:pStyle w:val="ListParagraph"/>
              <w:numPr>
                <w:ilvl w:val="0"/>
                <w:numId w:val="31"/>
              </w:numPr>
              <w:spacing w:after="120" w:line="240" w:lineRule="auto"/>
              <w:rPr>
                <w:rFonts w:ascii="Times New Roman" w:hAnsi="Times New Roman" w:cs="Times New Roman"/>
                <w:sz w:val="18"/>
                <w:szCs w:val="18"/>
              </w:rPr>
            </w:pPr>
            <w:r w:rsidRPr="00F36E7E">
              <w:rPr>
                <w:rFonts w:ascii="Times New Roman" w:hAnsi="Times New Roman" w:cs="Times New Roman"/>
                <w:sz w:val="18"/>
                <w:szCs w:val="18"/>
              </w:rPr>
              <w:t>[EPI_720] Conditions indicating established CVD (strata)</w:t>
            </w:r>
          </w:p>
          <w:p w14:paraId="7C3C1E80" w14:textId="77777777" w:rsidR="003D4A31" w:rsidRDefault="00E64EBB" w:rsidP="00F32CA7">
            <w:pPr>
              <w:pStyle w:val="ListParagraph"/>
              <w:numPr>
                <w:ilvl w:val="1"/>
                <w:numId w:val="31"/>
              </w:numPr>
              <w:spacing w:after="120" w:line="240" w:lineRule="auto"/>
              <w:rPr>
                <w:rFonts w:ascii="Times New Roman" w:hAnsi="Times New Roman" w:cs="Times New Roman"/>
                <w:sz w:val="18"/>
                <w:szCs w:val="18"/>
              </w:rPr>
            </w:pPr>
            <w:hyperlink r:id="rId21" w:anchor="/conceptset/9762/conceptset-expression" w:history="1">
              <w:r w:rsidR="003D4A31" w:rsidRPr="008D189D">
                <w:rPr>
                  <w:rStyle w:val="Hyperlink"/>
                  <w:rFonts w:ascii="Times New Roman" w:hAnsi="Times New Roman" w:cs="Times New Roman"/>
                  <w:sz w:val="18"/>
                  <w:szCs w:val="18"/>
                </w:rPr>
                <w:t>https://epi.jnj.com/atlas/#/conceptset/9762/conceptset-expression</w:t>
              </w:r>
            </w:hyperlink>
            <w:r w:rsidR="003D4A31">
              <w:rPr>
                <w:rFonts w:ascii="Times New Roman" w:hAnsi="Times New Roman" w:cs="Times New Roman"/>
                <w:sz w:val="18"/>
                <w:szCs w:val="18"/>
              </w:rPr>
              <w:t xml:space="preserve"> </w:t>
            </w:r>
          </w:p>
          <w:p w14:paraId="296B0A84" w14:textId="77777777" w:rsidR="003D4A31" w:rsidRDefault="003D4A31" w:rsidP="00F32CA7">
            <w:pPr>
              <w:pStyle w:val="ListParagraph"/>
              <w:numPr>
                <w:ilvl w:val="0"/>
                <w:numId w:val="31"/>
              </w:numPr>
              <w:spacing w:after="120" w:line="240" w:lineRule="auto"/>
              <w:rPr>
                <w:rFonts w:ascii="Times New Roman" w:hAnsi="Times New Roman" w:cs="Times New Roman"/>
                <w:sz w:val="18"/>
                <w:szCs w:val="18"/>
              </w:rPr>
            </w:pPr>
            <w:r w:rsidRPr="00F36E7E">
              <w:rPr>
                <w:rFonts w:ascii="Times New Roman" w:hAnsi="Times New Roman" w:cs="Times New Roman"/>
                <w:sz w:val="18"/>
                <w:szCs w:val="18"/>
              </w:rPr>
              <w:t>[EPI_720] Procedures indicating established CVD (strata)</w:t>
            </w:r>
          </w:p>
          <w:p w14:paraId="0A7F20BB" w14:textId="77777777" w:rsidR="003D4A31" w:rsidRPr="00F36E7E" w:rsidRDefault="00E64EBB" w:rsidP="00F32CA7">
            <w:pPr>
              <w:pStyle w:val="ListParagraph"/>
              <w:numPr>
                <w:ilvl w:val="1"/>
                <w:numId w:val="31"/>
              </w:numPr>
              <w:spacing w:after="120" w:line="240" w:lineRule="auto"/>
              <w:rPr>
                <w:rFonts w:ascii="Times New Roman" w:hAnsi="Times New Roman" w:cs="Times New Roman"/>
                <w:sz w:val="18"/>
                <w:szCs w:val="18"/>
              </w:rPr>
            </w:pPr>
            <w:hyperlink r:id="rId22" w:anchor="/conceptset/9764/conceptset-expression" w:history="1">
              <w:r w:rsidR="003D4A31" w:rsidRPr="008D189D">
                <w:rPr>
                  <w:rStyle w:val="Hyperlink"/>
                  <w:rFonts w:ascii="Times New Roman" w:hAnsi="Times New Roman" w:cs="Times New Roman"/>
                  <w:sz w:val="18"/>
                  <w:szCs w:val="18"/>
                </w:rPr>
                <w:t>https://epi.jnj.com/atlas/#/conceptset/9764/conceptset-expression</w:t>
              </w:r>
            </w:hyperlink>
            <w:r w:rsidR="003D4A31">
              <w:rPr>
                <w:rFonts w:ascii="Times New Roman" w:hAnsi="Times New Roman" w:cs="Times New Roman"/>
                <w:sz w:val="18"/>
                <w:szCs w:val="18"/>
              </w:rPr>
              <w:t xml:space="preserve"> </w:t>
            </w:r>
          </w:p>
        </w:tc>
      </w:tr>
      <w:tr w:rsidR="003D4A31" w:rsidRPr="00F36E7E" w14:paraId="13DD4EC9" w14:textId="77777777" w:rsidTr="000B60B2">
        <w:tc>
          <w:tcPr>
            <w:tcW w:w="18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hideMark/>
          </w:tcPr>
          <w:p w14:paraId="7B89116D" w14:textId="77777777" w:rsidR="003D4A31" w:rsidRPr="00F36E7E" w:rsidRDefault="003D4A31" w:rsidP="000B60B2">
            <w:pPr>
              <w:spacing w:after="120"/>
              <w:rPr>
                <w:b/>
                <w:bCs/>
                <w:sz w:val="18"/>
                <w:szCs w:val="18"/>
              </w:rPr>
            </w:pPr>
            <w:r w:rsidRPr="00F36E7E">
              <w:rPr>
                <w:b/>
                <w:bCs/>
                <w:sz w:val="18"/>
                <w:szCs w:val="18"/>
              </w:rPr>
              <w:t>Initial Event Criteria</w:t>
            </w:r>
          </w:p>
        </w:tc>
        <w:tc>
          <w:tcPr>
            <w:tcW w:w="81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vAlign w:val="center"/>
          </w:tcPr>
          <w:p w14:paraId="546E87AB" w14:textId="77777777" w:rsidR="003D4A31" w:rsidRPr="00F36E7E" w:rsidRDefault="003D4A31" w:rsidP="000B60B2">
            <w:pPr>
              <w:shd w:val="clear" w:color="auto" w:fill="FFFFFF"/>
              <w:spacing w:after="120"/>
              <w:rPr>
                <w:color w:val="333333"/>
                <w:sz w:val="18"/>
                <w:szCs w:val="18"/>
              </w:rPr>
            </w:pPr>
            <w:r w:rsidRPr="00F36E7E">
              <w:rPr>
                <w:color w:val="333333"/>
                <w:sz w:val="18"/>
                <w:szCs w:val="18"/>
              </w:rPr>
              <w:t xml:space="preserve">People with a drug era of </w:t>
            </w:r>
            <w:r w:rsidRPr="00F36E7E">
              <w:rPr>
                <w:i/>
                <w:iCs/>
                <w:color w:val="333333"/>
                <w:sz w:val="18"/>
                <w:szCs w:val="18"/>
              </w:rPr>
              <w:t>[RWE CTF] Abiraterone (</w:t>
            </w:r>
            <w:proofErr w:type="spellStart"/>
            <w:r w:rsidRPr="00F36E7E">
              <w:rPr>
                <w:i/>
                <w:iCs/>
                <w:color w:val="333333"/>
                <w:sz w:val="18"/>
                <w:szCs w:val="18"/>
              </w:rPr>
              <w:t>Zytiga</w:t>
            </w:r>
            <w:proofErr w:type="spellEnd"/>
            <w:r w:rsidRPr="00F36E7E">
              <w:rPr>
                <w:i/>
                <w:iCs/>
                <w:color w:val="333333"/>
                <w:sz w:val="18"/>
                <w:szCs w:val="18"/>
              </w:rPr>
              <w:t>) or Enzalutamide</w:t>
            </w:r>
            <w:r w:rsidRPr="00F36E7E">
              <w:rPr>
                <w:color w:val="333333"/>
                <w:sz w:val="18"/>
                <w:szCs w:val="18"/>
              </w:rPr>
              <w:t xml:space="preserve"> for the first time in the person's history who have</w:t>
            </w:r>
          </w:p>
          <w:p w14:paraId="2F579BBD" w14:textId="77777777" w:rsidR="003D4A31" w:rsidRPr="00F36E7E" w:rsidRDefault="003D4A31" w:rsidP="00F32CA7">
            <w:pPr>
              <w:pStyle w:val="ListParagraph"/>
              <w:numPr>
                <w:ilvl w:val="0"/>
                <w:numId w:val="33"/>
              </w:numPr>
              <w:shd w:val="clear" w:color="auto" w:fill="FFFFFF"/>
              <w:spacing w:after="120" w:line="240" w:lineRule="auto"/>
              <w:rPr>
                <w:rFonts w:ascii="Times New Roman" w:hAnsi="Times New Roman" w:cs="Times New Roman"/>
                <w:color w:val="333333"/>
                <w:sz w:val="18"/>
                <w:szCs w:val="18"/>
              </w:rPr>
            </w:pPr>
            <w:r w:rsidRPr="00F36E7E">
              <w:rPr>
                <w:rFonts w:ascii="Times New Roman" w:hAnsi="Times New Roman" w:cs="Times New Roman"/>
                <w:color w:val="333333"/>
                <w:sz w:val="18"/>
                <w:szCs w:val="18"/>
              </w:rPr>
              <w:t>continuous observation of at least 365 days prior and 0 days after event index date</w:t>
            </w:r>
          </w:p>
          <w:p w14:paraId="4EFE7BB9" w14:textId="77777777" w:rsidR="003D4A31" w:rsidRPr="00F36E7E" w:rsidRDefault="003D4A31" w:rsidP="00F32CA7">
            <w:pPr>
              <w:pStyle w:val="ListParagraph"/>
              <w:numPr>
                <w:ilvl w:val="0"/>
                <w:numId w:val="33"/>
              </w:numPr>
              <w:shd w:val="clear" w:color="auto" w:fill="FFFFFF"/>
              <w:spacing w:after="120" w:line="240" w:lineRule="auto"/>
              <w:rPr>
                <w:rFonts w:ascii="Times New Roman" w:hAnsi="Times New Roman" w:cs="Times New Roman"/>
                <w:color w:val="333333"/>
                <w:sz w:val="18"/>
                <w:szCs w:val="18"/>
              </w:rPr>
            </w:pPr>
            <w:r w:rsidRPr="00F36E7E">
              <w:rPr>
                <w:rFonts w:ascii="Times New Roman" w:hAnsi="Times New Roman" w:cs="Times New Roman"/>
                <w:color w:val="333333"/>
                <w:sz w:val="18"/>
                <w:szCs w:val="18"/>
              </w:rPr>
              <w:t xml:space="preserve">limit initial events to: </w:t>
            </w:r>
            <w:r w:rsidRPr="00F36E7E">
              <w:rPr>
                <w:rFonts w:ascii="Times New Roman" w:hAnsi="Times New Roman" w:cs="Times New Roman"/>
                <w:b/>
                <w:bCs/>
                <w:color w:val="333333"/>
                <w:sz w:val="18"/>
                <w:szCs w:val="18"/>
              </w:rPr>
              <w:t>earliest event per person</w:t>
            </w:r>
            <w:r w:rsidRPr="00F36E7E">
              <w:rPr>
                <w:rFonts w:ascii="Times New Roman" w:hAnsi="Times New Roman" w:cs="Times New Roman"/>
                <w:color w:val="333333"/>
                <w:sz w:val="18"/>
                <w:szCs w:val="18"/>
              </w:rPr>
              <w:t>.</w:t>
            </w:r>
          </w:p>
        </w:tc>
      </w:tr>
      <w:tr w:rsidR="003D4A31" w:rsidRPr="00F36E7E" w:rsidDel="00A14507" w14:paraId="37DAB496" w14:textId="77777777" w:rsidTr="000B60B2">
        <w:tc>
          <w:tcPr>
            <w:tcW w:w="18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tcPr>
          <w:p w14:paraId="2C24420C" w14:textId="77777777" w:rsidR="003D4A31" w:rsidRPr="00F36E7E" w:rsidRDefault="003D4A31" w:rsidP="000B60B2">
            <w:pPr>
              <w:spacing w:after="120"/>
              <w:rPr>
                <w:b/>
                <w:bCs/>
                <w:sz w:val="18"/>
                <w:szCs w:val="18"/>
              </w:rPr>
            </w:pPr>
            <w:r w:rsidRPr="00F36E7E">
              <w:rPr>
                <w:b/>
                <w:bCs/>
                <w:sz w:val="18"/>
                <w:szCs w:val="18"/>
              </w:rPr>
              <w:t>Initial Event Inclusion Criteria or Additional Qualifying Inclusion Criteria</w:t>
            </w:r>
          </w:p>
        </w:tc>
        <w:tc>
          <w:tcPr>
            <w:tcW w:w="81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vAlign w:val="center"/>
          </w:tcPr>
          <w:p w14:paraId="060695B6" w14:textId="77777777" w:rsidR="003D4A31" w:rsidRPr="00F36E7E" w:rsidRDefault="003D4A31" w:rsidP="000B60B2">
            <w:pPr>
              <w:shd w:val="clear" w:color="auto" w:fill="FFFFFF"/>
              <w:spacing w:after="120"/>
              <w:rPr>
                <w:color w:val="333333"/>
                <w:sz w:val="18"/>
                <w:szCs w:val="18"/>
              </w:rPr>
            </w:pPr>
            <w:r w:rsidRPr="00F36E7E">
              <w:rPr>
                <w:color w:val="333333"/>
                <w:sz w:val="18"/>
                <w:szCs w:val="18"/>
              </w:rPr>
              <w:t xml:space="preserve">For people matching the Primary Events, include patients who meet </w:t>
            </w:r>
            <w:proofErr w:type="gramStart"/>
            <w:r w:rsidRPr="00F36E7E">
              <w:rPr>
                <w:color w:val="333333"/>
                <w:sz w:val="18"/>
                <w:szCs w:val="18"/>
              </w:rPr>
              <w:t>all of</w:t>
            </w:r>
            <w:proofErr w:type="gramEnd"/>
            <w:r w:rsidRPr="00F36E7E">
              <w:rPr>
                <w:color w:val="333333"/>
                <w:sz w:val="18"/>
                <w:szCs w:val="18"/>
              </w:rPr>
              <w:t xml:space="preserve"> the criteria below:</w:t>
            </w:r>
          </w:p>
          <w:p w14:paraId="45AA284E" w14:textId="77777777" w:rsidR="003D4A31" w:rsidRPr="00F36E7E" w:rsidRDefault="003D4A31" w:rsidP="00F32CA7">
            <w:pPr>
              <w:numPr>
                <w:ilvl w:val="0"/>
                <w:numId w:val="30"/>
              </w:numPr>
              <w:spacing w:after="120"/>
              <w:rPr>
                <w:sz w:val="18"/>
                <w:szCs w:val="18"/>
              </w:rPr>
            </w:pPr>
            <w:r w:rsidRPr="00F36E7E">
              <w:rPr>
                <w:sz w:val="18"/>
                <w:szCs w:val="18"/>
              </w:rPr>
              <w:t xml:space="preserve">at least 1 occurrences of a condition occurrence of </w:t>
            </w:r>
            <w:r w:rsidRPr="00F36E7E">
              <w:rPr>
                <w:i/>
                <w:iCs/>
                <w:sz w:val="18"/>
                <w:szCs w:val="18"/>
              </w:rPr>
              <w:t xml:space="preserve">Primary malignant neoplasm of prostate </w:t>
            </w:r>
            <w:r w:rsidRPr="00F36E7E">
              <w:rPr>
                <w:sz w:val="18"/>
                <w:szCs w:val="18"/>
              </w:rPr>
              <w:t>where event starts between all days Before and 0 days Before index start date</w:t>
            </w:r>
          </w:p>
          <w:p w14:paraId="2BD9133A" w14:textId="77777777" w:rsidR="003D4A31" w:rsidRPr="00F36E7E" w:rsidRDefault="003D4A31" w:rsidP="00F32CA7">
            <w:pPr>
              <w:numPr>
                <w:ilvl w:val="0"/>
                <w:numId w:val="30"/>
              </w:numPr>
              <w:spacing w:after="120"/>
              <w:rPr>
                <w:sz w:val="18"/>
                <w:szCs w:val="18"/>
              </w:rPr>
            </w:pPr>
            <w:r w:rsidRPr="00F36E7E">
              <w:rPr>
                <w:sz w:val="18"/>
                <w:szCs w:val="18"/>
              </w:rPr>
              <w:t>Having any of the following criteria:</w:t>
            </w:r>
          </w:p>
          <w:p w14:paraId="41C35836" w14:textId="77777777" w:rsidR="003D4A31" w:rsidRPr="00F36E7E" w:rsidRDefault="003D4A31" w:rsidP="00F32CA7">
            <w:pPr>
              <w:numPr>
                <w:ilvl w:val="1"/>
                <w:numId w:val="30"/>
              </w:numPr>
              <w:spacing w:after="120"/>
              <w:rPr>
                <w:sz w:val="18"/>
                <w:szCs w:val="18"/>
              </w:rPr>
            </w:pPr>
            <w:r w:rsidRPr="00F36E7E">
              <w:rPr>
                <w:sz w:val="18"/>
                <w:szCs w:val="18"/>
              </w:rPr>
              <w:lastRenderedPageBreak/>
              <w:t xml:space="preserve">at least 1 occurrences of a drug exposure of </w:t>
            </w:r>
            <w:r w:rsidRPr="00F36E7E">
              <w:rPr>
                <w:i/>
                <w:iCs/>
                <w:sz w:val="18"/>
                <w:szCs w:val="18"/>
              </w:rPr>
              <w:t xml:space="preserve">CPRC Definition Androgen Deprivation Therapy </w:t>
            </w:r>
            <w:r w:rsidRPr="00F36E7E">
              <w:rPr>
                <w:sz w:val="18"/>
                <w:szCs w:val="18"/>
              </w:rPr>
              <w:t>where event starts between all days Before and 0 days Before index start date</w:t>
            </w:r>
          </w:p>
          <w:p w14:paraId="7E1BD5AC" w14:textId="77777777" w:rsidR="003D4A31" w:rsidRPr="00F36E7E" w:rsidRDefault="003D4A31" w:rsidP="00F32CA7">
            <w:pPr>
              <w:numPr>
                <w:ilvl w:val="1"/>
                <w:numId w:val="30"/>
              </w:numPr>
              <w:spacing w:after="120"/>
              <w:rPr>
                <w:sz w:val="18"/>
                <w:szCs w:val="18"/>
              </w:rPr>
            </w:pPr>
            <w:r w:rsidRPr="00F36E7E">
              <w:rPr>
                <w:sz w:val="18"/>
                <w:szCs w:val="18"/>
              </w:rPr>
              <w:t xml:space="preserve">at least 1 occurrences of a procedure of </w:t>
            </w:r>
            <w:r w:rsidRPr="00F36E7E">
              <w:rPr>
                <w:i/>
                <w:iCs/>
                <w:sz w:val="18"/>
                <w:szCs w:val="18"/>
              </w:rPr>
              <w:t>CPRC Definition Androgen Deprivation Therapy</w:t>
            </w:r>
            <w:r w:rsidRPr="00F36E7E">
              <w:rPr>
                <w:sz w:val="18"/>
                <w:szCs w:val="18"/>
              </w:rPr>
              <w:t xml:space="preserve"> where event starts between all days Before and 0 days Before index start date</w:t>
            </w:r>
          </w:p>
          <w:p w14:paraId="0CE12152" w14:textId="77777777" w:rsidR="003D4A31" w:rsidRPr="00F36E7E" w:rsidRDefault="003D4A31" w:rsidP="00F32CA7">
            <w:pPr>
              <w:numPr>
                <w:ilvl w:val="0"/>
                <w:numId w:val="30"/>
              </w:numPr>
              <w:spacing w:after="120"/>
              <w:rPr>
                <w:sz w:val="18"/>
                <w:szCs w:val="18"/>
              </w:rPr>
            </w:pPr>
            <w:r w:rsidRPr="00F36E7E">
              <w:rPr>
                <w:sz w:val="18"/>
                <w:szCs w:val="18"/>
              </w:rPr>
              <w:t xml:space="preserve">at least 1 occurrences of a drug exposure of </w:t>
            </w:r>
            <w:r w:rsidRPr="00F36E7E">
              <w:rPr>
                <w:i/>
                <w:iCs/>
                <w:sz w:val="18"/>
                <w:szCs w:val="18"/>
              </w:rPr>
              <w:t xml:space="preserve">[EPI_693] Oral </w:t>
            </w:r>
            <w:proofErr w:type="spellStart"/>
            <w:r w:rsidRPr="00F36E7E">
              <w:rPr>
                <w:i/>
                <w:iCs/>
                <w:sz w:val="18"/>
                <w:szCs w:val="18"/>
              </w:rPr>
              <w:t>predniso</w:t>
            </w:r>
            <w:proofErr w:type="spellEnd"/>
            <w:r w:rsidRPr="00F36E7E">
              <w:rPr>
                <w:i/>
                <w:iCs/>
                <w:sz w:val="18"/>
                <w:szCs w:val="18"/>
              </w:rPr>
              <w:t>(lo)ne</w:t>
            </w:r>
            <w:r w:rsidRPr="00F36E7E">
              <w:rPr>
                <w:sz w:val="18"/>
                <w:szCs w:val="18"/>
              </w:rPr>
              <w:t xml:space="preserve"> where event starts between 30 days Before and 30 days After index start date</w:t>
            </w:r>
          </w:p>
          <w:p w14:paraId="33C807C1" w14:textId="77777777" w:rsidR="003D4A31" w:rsidRPr="00F36E7E" w:rsidRDefault="003D4A31" w:rsidP="00F32CA7">
            <w:pPr>
              <w:numPr>
                <w:ilvl w:val="1"/>
                <w:numId w:val="30"/>
              </w:numPr>
              <w:spacing w:after="120"/>
              <w:rPr>
                <w:sz w:val="18"/>
                <w:szCs w:val="18"/>
              </w:rPr>
            </w:pPr>
            <w:r w:rsidRPr="00F36E7E">
              <w:rPr>
                <w:sz w:val="18"/>
                <w:szCs w:val="18"/>
              </w:rPr>
              <w:t>This requirement only applies to the abiraterone cohorts and is not applied for the enzalutamide cohorts</w:t>
            </w:r>
          </w:p>
          <w:p w14:paraId="1BDE3D19" w14:textId="77777777" w:rsidR="003D4A31" w:rsidRPr="00F36E7E" w:rsidDel="00A14507" w:rsidRDefault="003D4A31" w:rsidP="000B60B2">
            <w:pPr>
              <w:spacing w:after="120"/>
              <w:rPr>
                <w:sz w:val="18"/>
                <w:szCs w:val="18"/>
              </w:rPr>
            </w:pPr>
            <w:r w:rsidRPr="00F36E7E">
              <w:rPr>
                <w:color w:val="333333"/>
                <w:sz w:val="18"/>
                <w:szCs w:val="18"/>
              </w:rPr>
              <w:t>Limit initial events to: </w:t>
            </w:r>
            <w:r w:rsidRPr="00F36E7E">
              <w:rPr>
                <w:b/>
                <w:bCs/>
                <w:color w:val="333333"/>
                <w:sz w:val="18"/>
                <w:szCs w:val="18"/>
              </w:rPr>
              <w:t>earliest event per person</w:t>
            </w:r>
          </w:p>
        </w:tc>
      </w:tr>
      <w:tr w:rsidR="003D4A31" w:rsidRPr="00F36E7E" w:rsidDel="00A14507" w14:paraId="4DCBD77C" w14:textId="77777777" w:rsidTr="000B60B2">
        <w:tc>
          <w:tcPr>
            <w:tcW w:w="18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tcPr>
          <w:p w14:paraId="5C4EA36D" w14:textId="77777777" w:rsidR="003D4A31" w:rsidRPr="00F36E7E" w:rsidRDefault="003D4A31" w:rsidP="000B60B2">
            <w:pPr>
              <w:shd w:val="clear" w:color="auto" w:fill="FFFFFF"/>
              <w:spacing w:after="120"/>
              <w:rPr>
                <w:b/>
                <w:bCs/>
                <w:color w:val="000000"/>
                <w:sz w:val="18"/>
                <w:szCs w:val="18"/>
              </w:rPr>
            </w:pPr>
            <w:r w:rsidRPr="00F36E7E">
              <w:rPr>
                <w:b/>
                <w:bCs/>
                <w:color w:val="000000"/>
                <w:sz w:val="18"/>
                <w:szCs w:val="18"/>
              </w:rPr>
              <w:lastRenderedPageBreak/>
              <w:t>Inclusion Rules</w:t>
            </w:r>
          </w:p>
          <w:p w14:paraId="4FE06AA2" w14:textId="77777777" w:rsidR="003D4A31" w:rsidRPr="00F36E7E" w:rsidRDefault="003D4A31" w:rsidP="000B60B2">
            <w:pPr>
              <w:spacing w:after="120"/>
              <w:rPr>
                <w:b/>
                <w:bCs/>
                <w:sz w:val="18"/>
                <w:szCs w:val="18"/>
              </w:rPr>
            </w:pPr>
          </w:p>
        </w:tc>
        <w:tc>
          <w:tcPr>
            <w:tcW w:w="81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vAlign w:val="center"/>
          </w:tcPr>
          <w:p w14:paraId="6F67A11D" w14:textId="77777777" w:rsidR="003D4A31" w:rsidRPr="003D4A31" w:rsidRDefault="003D4A31" w:rsidP="000B60B2">
            <w:pPr>
              <w:shd w:val="clear" w:color="auto" w:fill="FFFFFF"/>
              <w:spacing w:after="120"/>
              <w:rPr>
                <w:color w:val="333333"/>
                <w:sz w:val="18"/>
                <w:szCs w:val="18"/>
                <w:u w:val="single"/>
              </w:rPr>
            </w:pPr>
            <w:r w:rsidRPr="003D4A31">
              <w:rPr>
                <w:color w:val="333333"/>
                <w:sz w:val="18"/>
                <w:szCs w:val="18"/>
                <w:u w:val="single"/>
              </w:rPr>
              <w:t>Cohort: general</w:t>
            </w:r>
          </w:p>
          <w:p w14:paraId="759CD4AF" w14:textId="77777777" w:rsidR="003D4A31" w:rsidRPr="003D4A31" w:rsidRDefault="003D4A31" w:rsidP="000B60B2">
            <w:pPr>
              <w:shd w:val="clear" w:color="auto" w:fill="FFFFFF"/>
              <w:spacing w:after="120"/>
              <w:rPr>
                <w:color w:val="333333"/>
                <w:sz w:val="18"/>
                <w:szCs w:val="18"/>
              </w:rPr>
            </w:pPr>
            <w:r w:rsidRPr="003D4A31">
              <w:rPr>
                <w:color w:val="333333"/>
                <w:sz w:val="18"/>
                <w:szCs w:val="18"/>
              </w:rPr>
              <w:t>In the un-stratified cohort, no additional inclusion rules are applied.</w:t>
            </w:r>
          </w:p>
          <w:p w14:paraId="1C984738" w14:textId="77777777" w:rsidR="003D4A31" w:rsidRPr="003D4A31" w:rsidRDefault="003D4A31" w:rsidP="000B60B2">
            <w:pPr>
              <w:shd w:val="clear" w:color="auto" w:fill="FFFFFF"/>
              <w:spacing w:after="120"/>
              <w:rPr>
                <w:color w:val="333333"/>
                <w:sz w:val="18"/>
                <w:szCs w:val="18"/>
                <w:u w:val="single"/>
              </w:rPr>
            </w:pPr>
          </w:p>
          <w:p w14:paraId="18F0FCBF" w14:textId="77777777" w:rsidR="003D4A31" w:rsidRPr="00F36E7E" w:rsidRDefault="003D4A31" w:rsidP="000B60B2">
            <w:pPr>
              <w:shd w:val="clear" w:color="auto" w:fill="FFFFFF"/>
              <w:spacing w:after="120"/>
              <w:rPr>
                <w:color w:val="000000"/>
                <w:sz w:val="18"/>
                <w:szCs w:val="18"/>
                <w:u w:val="single"/>
              </w:rPr>
            </w:pPr>
            <w:r w:rsidRPr="003D4A31">
              <w:rPr>
                <w:color w:val="000000"/>
                <w:sz w:val="18"/>
                <w:szCs w:val="18"/>
                <w:u w:val="single"/>
              </w:rPr>
              <w:t>Cohort: no CVD in prior 6-mo</w:t>
            </w:r>
          </w:p>
          <w:p w14:paraId="701CF736" w14:textId="77777777" w:rsidR="003D4A31" w:rsidRPr="00F36E7E" w:rsidRDefault="003D4A31" w:rsidP="000B60B2">
            <w:pPr>
              <w:shd w:val="clear" w:color="auto" w:fill="FFFFFF"/>
              <w:spacing w:after="120"/>
              <w:rPr>
                <w:color w:val="333333"/>
                <w:sz w:val="18"/>
                <w:szCs w:val="18"/>
              </w:rPr>
            </w:pPr>
            <w:r w:rsidRPr="00F36E7E">
              <w:rPr>
                <w:color w:val="333333"/>
                <w:sz w:val="18"/>
                <w:szCs w:val="18"/>
              </w:rPr>
              <w:t>Having </w:t>
            </w:r>
            <w:proofErr w:type="gramStart"/>
            <w:r w:rsidRPr="003D4A31">
              <w:rPr>
                <w:color w:val="333333"/>
                <w:sz w:val="18"/>
                <w:szCs w:val="18"/>
              </w:rPr>
              <w:t>ALL</w:t>
            </w:r>
            <w:r w:rsidRPr="00F36E7E">
              <w:rPr>
                <w:color w:val="333333"/>
                <w:sz w:val="18"/>
                <w:szCs w:val="18"/>
              </w:rPr>
              <w:t> of</w:t>
            </w:r>
            <w:proofErr w:type="gramEnd"/>
            <w:r w:rsidRPr="00F36E7E">
              <w:rPr>
                <w:color w:val="333333"/>
                <w:sz w:val="18"/>
                <w:szCs w:val="18"/>
              </w:rPr>
              <w:t xml:space="preserve"> the following criteria:</w:t>
            </w:r>
          </w:p>
          <w:p w14:paraId="2244CBEE" w14:textId="77777777" w:rsidR="003D4A31" w:rsidRPr="00F36E7E" w:rsidRDefault="003D4A31" w:rsidP="00F32CA7">
            <w:pPr>
              <w:numPr>
                <w:ilvl w:val="0"/>
                <w:numId w:val="34"/>
              </w:numPr>
              <w:shd w:val="clear" w:color="auto" w:fill="FFFFFF"/>
              <w:spacing w:after="120"/>
              <w:rPr>
                <w:i/>
                <w:iCs/>
                <w:color w:val="333333"/>
                <w:sz w:val="18"/>
                <w:szCs w:val="18"/>
              </w:rPr>
            </w:pPr>
            <w:r w:rsidRPr="00F36E7E">
              <w:rPr>
                <w:color w:val="333333"/>
                <w:sz w:val="18"/>
                <w:szCs w:val="18"/>
              </w:rPr>
              <w:t>exactly 0 occurrences of a condition occurrence of </w:t>
            </w:r>
            <w:r w:rsidRPr="00F36E7E">
              <w:rPr>
                <w:i/>
                <w:iCs/>
                <w:color w:val="333333"/>
                <w:sz w:val="18"/>
                <w:szCs w:val="18"/>
              </w:rPr>
              <w:t>[EPI_720] Conditions indicating established CVD (strata)</w:t>
            </w:r>
            <w:r w:rsidRPr="003D4A31">
              <w:rPr>
                <w:i/>
                <w:iCs/>
                <w:color w:val="333333"/>
                <w:sz w:val="18"/>
                <w:szCs w:val="18"/>
              </w:rPr>
              <w:t xml:space="preserve"> </w:t>
            </w:r>
            <w:r w:rsidRPr="00F36E7E">
              <w:rPr>
                <w:color w:val="333333"/>
                <w:sz w:val="18"/>
                <w:szCs w:val="18"/>
              </w:rPr>
              <w:t>where event starts between 180 days Before and 0 days Before index start date</w:t>
            </w:r>
          </w:p>
          <w:p w14:paraId="44501FEF" w14:textId="77777777" w:rsidR="003D4A31" w:rsidRPr="00F36E7E" w:rsidRDefault="003D4A31" w:rsidP="00F32CA7">
            <w:pPr>
              <w:numPr>
                <w:ilvl w:val="0"/>
                <w:numId w:val="34"/>
              </w:numPr>
              <w:shd w:val="clear" w:color="auto" w:fill="FFFFFF"/>
              <w:spacing w:after="120"/>
              <w:rPr>
                <w:color w:val="333333"/>
                <w:sz w:val="18"/>
                <w:szCs w:val="18"/>
              </w:rPr>
            </w:pPr>
            <w:r w:rsidRPr="00F36E7E">
              <w:rPr>
                <w:color w:val="333333"/>
                <w:sz w:val="18"/>
                <w:szCs w:val="18"/>
              </w:rPr>
              <w:t>exactly 0 occurrences of a procedure of </w:t>
            </w:r>
            <w:r w:rsidRPr="00F36E7E">
              <w:rPr>
                <w:i/>
                <w:iCs/>
                <w:color w:val="333333"/>
                <w:sz w:val="18"/>
                <w:szCs w:val="18"/>
              </w:rPr>
              <w:t>[EPI_720] Procedures indicating established CVD (strata)</w:t>
            </w:r>
            <w:r w:rsidRPr="003D4A31">
              <w:rPr>
                <w:color w:val="333333"/>
                <w:sz w:val="18"/>
                <w:szCs w:val="18"/>
              </w:rPr>
              <w:t xml:space="preserve"> </w:t>
            </w:r>
            <w:r w:rsidRPr="00F36E7E">
              <w:rPr>
                <w:color w:val="333333"/>
                <w:sz w:val="18"/>
                <w:szCs w:val="18"/>
              </w:rPr>
              <w:t>where event starts between 180 days Before and 0 days Before index start date</w:t>
            </w:r>
          </w:p>
          <w:p w14:paraId="50E5EFB0" w14:textId="77777777" w:rsidR="003D4A31" w:rsidRPr="003D4A31" w:rsidRDefault="003D4A31" w:rsidP="000B60B2">
            <w:pPr>
              <w:shd w:val="clear" w:color="auto" w:fill="FFFFFF"/>
              <w:spacing w:after="120"/>
              <w:rPr>
                <w:b/>
                <w:bCs/>
                <w:color w:val="333333"/>
                <w:sz w:val="18"/>
                <w:szCs w:val="18"/>
              </w:rPr>
            </w:pPr>
            <w:r w:rsidRPr="00F36E7E">
              <w:rPr>
                <w:color w:val="333333"/>
                <w:sz w:val="18"/>
                <w:szCs w:val="18"/>
              </w:rPr>
              <w:t xml:space="preserve">Limit qualifying cohort </w:t>
            </w:r>
            <w:proofErr w:type="gramStart"/>
            <w:r w:rsidRPr="00F36E7E">
              <w:rPr>
                <w:color w:val="333333"/>
                <w:sz w:val="18"/>
                <w:szCs w:val="18"/>
              </w:rPr>
              <w:t>to:</w:t>
            </w:r>
            <w:proofErr w:type="gramEnd"/>
            <w:r w:rsidRPr="00F36E7E">
              <w:rPr>
                <w:color w:val="333333"/>
                <w:sz w:val="18"/>
                <w:szCs w:val="18"/>
              </w:rPr>
              <w:t> </w:t>
            </w:r>
            <w:r w:rsidRPr="00F36E7E">
              <w:rPr>
                <w:b/>
                <w:bCs/>
                <w:color w:val="333333"/>
                <w:sz w:val="18"/>
                <w:szCs w:val="18"/>
              </w:rPr>
              <w:t>earliest event per person.</w:t>
            </w:r>
          </w:p>
          <w:p w14:paraId="202900F1" w14:textId="77777777" w:rsidR="003D4A31" w:rsidRPr="003D4A31" w:rsidRDefault="003D4A31" w:rsidP="000B60B2">
            <w:pPr>
              <w:shd w:val="clear" w:color="auto" w:fill="FFFFFF"/>
              <w:spacing w:after="120"/>
              <w:rPr>
                <w:b/>
                <w:bCs/>
                <w:color w:val="333333"/>
                <w:sz w:val="18"/>
                <w:szCs w:val="18"/>
              </w:rPr>
            </w:pPr>
          </w:p>
          <w:p w14:paraId="6015D466" w14:textId="77777777" w:rsidR="003D4A31" w:rsidRPr="00F36E7E" w:rsidRDefault="003D4A31" w:rsidP="000B60B2">
            <w:pPr>
              <w:shd w:val="clear" w:color="auto" w:fill="FFFFFF"/>
              <w:spacing w:after="120"/>
              <w:rPr>
                <w:color w:val="000000"/>
                <w:sz w:val="18"/>
                <w:szCs w:val="18"/>
                <w:u w:val="single"/>
              </w:rPr>
            </w:pPr>
            <w:r w:rsidRPr="003D4A31">
              <w:rPr>
                <w:color w:val="000000"/>
                <w:sz w:val="18"/>
                <w:szCs w:val="18"/>
                <w:u w:val="single"/>
              </w:rPr>
              <w:t>Cohort: any CVD in prior 6-mo</w:t>
            </w:r>
          </w:p>
          <w:p w14:paraId="40822565" w14:textId="77777777" w:rsidR="003D4A31" w:rsidRPr="00F36E7E" w:rsidRDefault="003D4A31" w:rsidP="000B60B2">
            <w:pPr>
              <w:shd w:val="clear" w:color="auto" w:fill="FFFFFF"/>
              <w:spacing w:after="120"/>
              <w:rPr>
                <w:color w:val="333333"/>
                <w:sz w:val="18"/>
                <w:szCs w:val="18"/>
              </w:rPr>
            </w:pPr>
            <w:r w:rsidRPr="00F36E7E">
              <w:rPr>
                <w:color w:val="333333"/>
                <w:sz w:val="18"/>
                <w:szCs w:val="18"/>
              </w:rPr>
              <w:t>Having </w:t>
            </w:r>
            <w:r w:rsidRPr="003D4A31">
              <w:rPr>
                <w:color w:val="333333"/>
                <w:sz w:val="18"/>
                <w:szCs w:val="18"/>
              </w:rPr>
              <w:t>ANY</w:t>
            </w:r>
            <w:r w:rsidRPr="00F36E7E">
              <w:rPr>
                <w:color w:val="333333"/>
                <w:sz w:val="18"/>
                <w:szCs w:val="18"/>
              </w:rPr>
              <w:t> of the following criteria:</w:t>
            </w:r>
          </w:p>
          <w:p w14:paraId="5BE17373" w14:textId="77777777" w:rsidR="003D4A31" w:rsidRPr="00F36E7E" w:rsidRDefault="003D4A31" w:rsidP="00F32CA7">
            <w:pPr>
              <w:numPr>
                <w:ilvl w:val="0"/>
                <w:numId w:val="34"/>
              </w:numPr>
              <w:shd w:val="clear" w:color="auto" w:fill="FFFFFF"/>
              <w:spacing w:after="120"/>
              <w:rPr>
                <w:i/>
                <w:iCs/>
                <w:color w:val="333333"/>
                <w:sz w:val="18"/>
                <w:szCs w:val="18"/>
              </w:rPr>
            </w:pPr>
            <w:r w:rsidRPr="003D4A31">
              <w:rPr>
                <w:color w:val="333333"/>
                <w:sz w:val="18"/>
                <w:szCs w:val="18"/>
              </w:rPr>
              <w:t>at least 1</w:t>
            </w:r>
            <w:r w:rsidRPr="00F36E7E">
              <w:rPr>
                <w:color w:val="333333"/>
                <w:sz w:val="18"/>
                <w:szCs w:val="18"/>
              </w:rPr>
              <w:t> occurrence of a condition occurrence of </w:t>
            </w:r>
            <w:r w:rsidRPr="00F36E7E">
              <w:rPr>
                <w:i/>
                <w:iCs/>
                <w:color w:val="333333"/>
                <w:sz w:val="18"/>
                <w:szCs w:val="18"/>
              </w:rPr>
              <w:t>[EPI_720] Conditions indicating established CVD (strata)</w:t>
            </w:r>
            <w:r w:rsidRPr="003D4A31">
              <w:rPr>
                <w:i/>
                <w:iCs/>
                <w:color w:val="333333"/>
                <w:sz w:val="18"/>
                <w:szCs w:val="18"/>
              </w:rPr>
              <w:t xml:space="preserve"> </w:t>
            </w:r>
            <w:r w:rsidRPr="00F36E7E">
              <w:rPr>
                <w:color w:val="333333"/>
                <w:sz w:val="18"/>
                <w:szCs w:val="18"/>
              </w:rPr>
              <w:t>where event starts between 180 days Before and 0 days Before index start date</w:t>
            </w:r>
          </w:p>
          <w:p w14:paraId="7316E1DC" w14:textId="77777777" w:rsidR="003D4A31" w:rsidRPr="00F36E7E" w:rsidRDefault="003D4A31" w:rsidP="00F32CA7">
            <w:pPr>
              <w:numPr>
                <w:ilvl w:val="0"/>
                <w:numId w:val="34"/>
              </w:numPr>
              <w:shd w:val="clear" w:color="auto" w:fill="FFFFFF"/>
              <w:spacing w:after="120"/>
              <w:rPr>
                <w:color w:val="333333"/>
                <w:sz w:val="18"/>
                <w:szCs w:val="18"/>
              </w:rPr>
            </w:pPr>
            <w:r w:rsidRPr="003D4A31">
              <w:rPr>
                <w:color w:val="333333"/>
                <w:sz w:val="18"/>
                <w:szCs w:val="18"/>
              </w:rPr>
              <w:t>at least 1</w:t>
            </w:r>
            <w:r w:rsidRPr="00F36E7E">
              <w:rPr>
                <w:color w:val="333333"/>
                <w:sz w:val="18"/>
                <w:szCs w:val="18"/>
              </w:rPr>
              <w:t> occurrence of a procedure of </w:t>
            </w:r>
            <w:r w:rsidRPr="00F36E7E">
              <w:rPr>
                <w:i/>
                <w:iCs/>
                <w:color w:val="333333"/>
                <w:sz w:val="18"/>
                <w:szCs w:val="18"/>
              </w:rPr>
              <w:t>[EPI_720] Procedures indicating established CVD (strata)</w:t>
            </w:r>
            <w:r w:rsidRPr="003D4A31">
              <w:rPr>
                <w:color w:val="333333"/>
                <w:sz w:val="18"/>
                <w:szCs w:val="18"/>
              </w:rPr>
              <w:t xml:space="preserve"> </w:t>
            </w:r>
            <w:r w:rsidRPr="00F36E7E">
              <w:rPr>
                <w:color w:val="333333"/>
                <w:sz w:val="18"/>
                <w:szCs w:val="18"/>
              </w:rPr>
              <w:t>where event starts between 180 days Before and 0 days Before index start date</w:t>
            </w:r>
          </w:p>
          <w:p w14:paraId="4FE3A204" w14:textId="77777777" w:rsidR="003D4A31" w:rsidRPr="003D4A31" w:rsidRDefault="003D4A31" w:rsidP="000B60B2">
            <w:pPr>
              <w:shd w:val="clear" w:color="auto" w:fill="FFFFFF"/>
              <w:spacing w:after="120"/>
              <w:rPr>
                <w:b/>
                <w:bCs/>
                <w:color w:val="333333"/>
                <w:sz w:val="18"/>
                <w:szCs w:val="18"/>
              </w:rPr>
            </w:pPr>
            <w:r w:rsidRPr="00F36E7E">
              <w:rPr>
                <w:color w:val="333333"/>
                <w:sz w:val="18"/>
                <w:szCs w:val="18"/>
              </w:rPr>
              <w:t xml:space="preserve">Limit qualifying cohort </w:t>
            </w:r>
            <w:proofErr w:type="gramStart"/>
            <w:r w:rsidRPr="00F36E7E">
              <w:rPr>
                <w:color w:val="333333"/>
                <w:sz w:val="18"/>
                <w:szCs w:val="18"/>
              </w:rPr>
              <w:t>to:</w:t>
            </w:r>
            <w:proofErr w:type="gramEnd"/>
            <w:r w:rsidRPr="00F36E7E">
              <w:rPr>
                <w:color w:val="333333"/>
                <w:sz w:val="18"/>
                <w:szCs w:val="18"/>
              </w:rPr>
              <w:t> </w:t>
            </w:r>
            <w:r w:rsidRPr="00F36E7E">
              <w:rPr>
                <w:b/>
                <w:bCs/>
                <w:color w:val="333333"/>
                <w:sz w:val="18"/>
                <w:szCs w:val="18"/>
              </w:rPr>
              <w:t>earliest event per person.</w:t>
            </w:r>
          </w:p>
          <w:p w14:paraId="6ACB5F46" w14:textId="77777777" w:rsidR="003D4A31" w:rsidRPr="003D4A31" w:rsidRDefault="003D4A31" w:rsidP="000B60B2">
            <w:pPr>
              <w:shd w:val="clear" w:color="auto" w:fill="FFFFFF"/>
              <w:spacing w:after="120"/>
              <w:rPr>
                <w:b/>
                <w:bCs/>
                <w:color w:val="333333"/>
                <w:sz w:val="18"/>
                <w:szCs w:val="18"/>
              </w:rPr>
            </w:pPr>
          </w:p>
          <w:p w14:paraId="1712E8E2" w14:textId="77777777" w:rsidR="003D4A31" w:rsidRPr="00F36E7E" w:rsidRDefault="003D4A31" w:rsidP="000B60B2">
            <w:pPr>
              <w:shd w:val="clear" w:color="auto" w:fill="FFFFFF"/>
              <w:spacing w:after="120"/>
              <w:rPr>
                <w:color w:val="000000"/>
                <w:sz w:val="18"/>
                <w:szCs w:val="18"/>
                <w:u w:val="single"/>
              </w:rPr>
            </w:pPr>
            <w:r w:rsidRPr="003D4A31">
              <w:rPr>
                <w:color w:val="000000"/>
                <w:sz w:val="18"/>
                <w:szCs w:val="18"/>
                <w:u w:val="single"/>
              </w:rPr>
              <w:t>Cohort: less severe CVD in prior 6-mo</w:t>
            </w:r>
          </w:p>
          <w:p w14:paraId="4B7CE1AB" w14:textId="77777777" w:rsidR="003D4A31" w:rsidRPr="00F36E7E" w:rsidRDefault="003D4A31" w:rsidP="000B60B2">
            <w:pPr>
              <w:shd w:val="clear" w:color="auto" w:fill="FFFFFF"/>
              <w:spacing w:after="120"/>
              <w:rPr>
                <w:color w:val="333333"/>
                <w:sz w:val="18"/>
                <w:szCs w:val="18"/>
              </w:rPr>
            </w:pPr>
            <w:r w:rsidRPr="00F36E7E">
              <w:rPr>
                <w:color w:val="333333"/>
                <w:sz w:val="18"/>
                <w:szCs w:val="18"/>
              </w:rPr>
              <w:t>Having </w:t>
            </w:r>
            <w:r w:rsidRPr="003D4A31">
              <w:rPr>
                <w:color w:val="333333"/>
                <w:sz w:val="18"/>
                <w:szCs w:val="18"/>
              </w:rPr>
              <w:t>ANY</w:t>
            </w:r>
            <w:r w:rsidRPr="00F36E7E">
              <w:rPr>
                <w:color w:val="333333"/>
                <w:sz w:val="18"/>
                <w:szCs w:val="18"/>
              </w:rPr>
              <w:t> of the following criteria:</w:t>
            </w:r>
          </w:p>
          <w:p w14:paraId="10EA4679" w14:textId="77777777" w:rsidR="003D4A31" w:rsidRPr="00F36E7E" w:rsidRDefault="003D4A31" w:rsidP="00F32CA7">
            <w:pPr>
              <w:numPr>
                <w:ilvl w:val="0"/>
                <w:numId w:val="34"/>
              </w:numPr>
              <w:shd w:val="clear" w:color="auto" w:fill="FFFFFF"/>
              <w:spacing w:after="120"/>
              <w:rPr>
                <w:i/>
                <w:iCs/>
                <w:color w:val="333333"/>
                <w:sz w:val="18"/>
                <w:szCs w:val="18"/>
              </w:rPr>
            </w:pPr>
            <w:r w:rsidRPr="003D4A31">
              <w:rPr>
                <w:color w:val="333333"/>
                <w:sz w:val="18"/>
                <w:szCs w:val="18"/>
              </w:rPr>
              <w:t>at least 1 and at most 2</w:t>
            </w:r>
            <w:r w:rsidRPr="00F36E7E">
              <w:rPr>
                <w:color w:val="333333"/>
                <w:sz w:val="18"/>
                <w:szCs w:val="18"/>
              </w:rPr>
              <w:t> occurrences of a condition occurrence of </w:t>
            </w:r>
            <w:r w:rsidRPr="00F36E7E">
              <w:rPr>
                <w:i/>
                <w:iCs/>
                <w:color w:val="333333"/>
                <w:sz w:val="18"/>
                <w:szCs w:val="18"/>
              </w:rPr>
              <w:t>[EPI_720] Conditions indicating established CVD (strata)</w:t>
            </w:r>
            <w:r w:rsidRPr="003D4A31">
              <w:rPr>
                <w:i/>
                <w:iCs/>
                <w:color w:val="333333"/>
                <w:sz w:val="18"/>
                <w:szCs w:val="18"/>
              </w:rPr>
              <w:t xml:space="preserve"> </w:t>
            </w:r>
            <w:r w:rsidRPr="00F36E7E">
              <w:rPr>
                <w:color w:val="333333"/>
                <w:sz w:val="18"/>
                <w:szCs w:val="18"/>
              </w:rPr>
              <w:t>where event starts between 180 days Before and 0 days Before index start date</w:t>
            </w:r>
          </w:p>
          <w:p w14:paraId="069E5246" w14:textId="77777777" w:rsidR="003D4A31" w:rsidRPr="00F36E7E" w:rsidRDefault="003D4A31" w:rsidP="00F32CA7">
            <w:pPr>
              <w:numPr>
                <w:ilvl w:val="0"/>
                <w:numId w:val="34"/>
              </w:numPr>
              <w:shd w:val="clear" w:color="auto" w:fill="FFFFFF"/>
              <w:spacing w:after="120"/>
              <w:rPr>
                <w:color w:val="333333"/>
                <w:sz w:val="18"/>
                <w:szCs w:val="18"/>
              </w:rPr>
            </w:pPr>
            <w:r w:rsidRPr="003D4A31">
              <w:rPr>
                <w:color w:val="333333"/>
                <w:sz w:val="18"/>
                <w:szCs w:val="18"/>
              </w:rPr>
              <w:t>at least 1 and at most 2</w:t>
            </w:r>
            <w:r w:rsidRPr="00F36E7E">
              <w:rPr>
                <w:color w:val="333333"/>
                <w:sz w:val="18"/>
                <w:szCs w:val="18"/>
              </w:rPr>
              <w:t> occurrences of a procedure of </w:t>
            </w:r>
            <w:r w:rsidRPr="00F36E7E">
              <w:rPr>
                <w:i/>
                <w:iCs/>
                <w:color w:val="333333"/>
                <w:sz w:val="18"/>
                <w:szCs w:val="18"/>
              </w:rPr>
              <w:t>[EPI_720] Procedures indicating established CVD (strata)</w:t>
            </w:r>
            <w:r w:rsidRPr="003D4A31">
              <w:rPr>
                <w:color w:val="333333"/>
                <w:sz w:val="18"/>
                <w:szCs w:val="18"/>
              </w:rPr>
              <w:t xml:space="preserve"> </w:t>
            </w:r>
            <w:r w:rsidRPr="00F36E7E">
              <w:rPr>
                <w:color w:val="333333"/>
                <w:sz w:val="18"/>
                <w:szCs w:val="18"/>
              </w:rPr>
              <w:t>where event starts between 180 days Before and 0 days Before index start date</w:t>
            </w:r>
          </w:p>
          <w:p w14:paraId="02C6F165" w14:textId="77777777" w:rsidR="003D4A31" w:rsidRPr="003D4A31" w:rsidRDefault="003D4A31" w:rsidP="000B60B2">
            <w:pPr>
              <w:shd w:val="clear" w:color="auto" w:fill="FFFFFF"/>
              <w:spacing w:after="120"/>
              <w:rPr>
                <w:b/>
                <w:bCs/>
                <w:color w:val="333333"/>
                <w:sz w:val="18"/>
                <w:szCs w:val="18"/>
              </w:rPr>
            </w:pPr>
            <w:r w:rsidRPr="00F36E7E">
              <w:rPr>
                <w:color w:val="333333"/>
                <w:sz w:val="18"/>
                <w:szCs w:val="18"/>
              </w:rPr>
              <w:t xml:space="preserve">Limit qualifying cohort </w:t>
            </w:r>
            <w:proofErr w:type="gramStart"/>
            <w:r w:rsidRPr="00F36E7E">
              <w:rPr>
                <w:color w:val="333333"/>
                <w:sz w:val="18"/>
                <w:szCs w:val="18"/>
              </w:rPr>
              <w:t>to:</w:t>
            </w:r>
            <w:proofErr w:type="gramEnd"/>
            <w:r w:rsidRPr="00F36E7E">
              <w:rPr>
                <w:color w:val="333333"/>
                <w:sz w:val="18"/>
                <w:szCs w:val="18"/>
              </w:rPr>
              <w:t> </w:t>
            </w:r>
            <w:r w:rsidRPr="00F36E7E">
              <w:rPr>
                <w:b/>
                <w:bCs/>
                <w:color w:val="333333"/>
                <w:sz w:val="18"/>
                <w:szCs w:val="18"/>
              </w:rPr>
              <w:t>earliest event per person.</w:t>
            </w:r>
          </w:p>
          <w:p w14:paraId="25275861" w14:textId="77777777" w:rsidR="003D4A31" w:rsidRPr="003D4A31" w:rsidRDefault="003D4A31" w:rsidP="000B60B2">
            <w:pPr>
              <w:shd w:val="clear" w:color="auto" w:fill="FFFFFF"/>
              <w:spacing w:after="120"/>
              <w:rPr>
                <w:b/>
                <w:bCs/>
                <w:color w:val="333333"/>
                <w:sz w:val="18"/>
                <w:szCs w:val="18"/>
              </w:rPr>
            </w:pPr>
          </w:p>
          <w:p w14:paraId="71764CEA" w14:textId="77777777" w:rsidR="003D4A31" w:rsidRPr="00F36E7E" w:rsidRDefault="003D4A31" w:rsidP="000B60B2">
            <w:pPr>
              <w:shd w:val="clear" w:color="auto" w:fill="FFFFFF"/>
              <w:spacing w:after="120"/>
              <w:rPr>
                <w:color w:val="000000"/>
                <w:sz w:val="18"/>
                <w:szCs w:val="18"/>
                <w:u w:val="single"/>
              </w:rPr>
            </w:pPr>
            <w:r w:rsidRPr="003D4A31">
              <w:rPr>
                <w:color w:val="000000"/>
                <w:sz w:val="18"/>
                <w:szCs w:val="18"/>
                <w:u w:val="single"/>
              </w:rPr>
              <w:t>Cohort: more severe CVD in prior 6-mo</w:t>
            </w:r>
          </w:p>
          <w:p w14:paraId="6271AF62" w14:textId="77777777" w:rsidR="003D4A31" w:rsidRPr="00F36E7E" w:rsidRDefault="003D4A31" w:rsidP="000B60B2">
            <w:pPr>
              <w:shd w:val="clear" w:color="auto" w:fill="FFFFFF"/>
              <w:spacing w:after="120"/>
              <w:rPr>
                <w:color w:val="333333"/>
                <w:sz w:val="18"/>
                <w:szCs w:val="18"/>
              </w:rPr>
            </w:pPr>
            <w:r w:rsidRPr="00F36E7E">
              <w:rPr>
                <w:color w:val="333333"/>
                <w:sz w:val="18"/>
                <w:szCs w:val="18"/>
              </w:rPr>
              <w:t>Having </w:t>
            </w:r>
            <w:r w:rsidRPr="003D4A31">
              <w:rPr>
                <w:color w:val="333333"/>
                <w:sz w:val="18"/>
                <w:szCs w:val="18"/>
              </w:rPr>
              <w:t>ANY</w:t>
            </w:r>
            <w:r w:rsidRPr="00F36E7E">
              <w:rPr>
                <w:color w:val="333333"/>
                <w:sz w:val="18"/>
                <w:szCs w:val="18"/>
              </w:rPr>
              <w:t> of the following criteria:</w:t>
            </w:r>
          </w:p>
          <w:p w14:paraId="3E621E8A" w14:textId="77777777" w:rsidR="003D4A31" w:rsidRPr="00F36E7E" w:rsidRDefault="003D4A31" w:rsidP="00F32CA7">
            <w:pPr>
              <w:numPr>
                <w:ilvl w:val="0"/>
                <w:numId w:val="34"/>
              </w:numPr>
              <w:shd w:val="clear" w:color="auto" w:fill="FFFFFF"/>
              <w:spacing w:after="120"/>
              <w:rPr>
                <w:i/>
                <w:iCs/>
                <w:color w:val="333333"/>
                <w:sz w:val="18"/>
                <w:szCs w:val="18"/>
              </w:rPr>
            </w:pPr>
            <w:r w:rsidRPr="003D4A31">
              <w:rPr>
                <w:color w:val="333333"/>
                <w:sz w:val="18"/>
                <w:szCs w:val="18"/>
              </w:rPr>
              <w:t>at least 3</w:t>
            </w:r>
            <w:r w:rsidRPr="00F36E7E">
              <w:rPr>
                <w:color w:val="333333"/>
                <w:sz w:val="18"/>
                <w:szCs w:val="18"/>
              </w:rPr>
              <w:t> occurrences of a condition occurrence of </w:t>
            </w:r>
            <w:r w:rsidRPr="00F36E7E">
              <w:rPr>
                <w:i/>
                <w:iCs/>
                <w:color w:val="333333"/>
                <w:sz w:val="18"/>
                <w:szCs w:val="18"/>
              </w:rPr>
              <w:t>[EPI_720] Conditions indicating established CVD (strata)</w:t>
            </w:r>
            <w:r w:rsidRPr="003D4A31">
              <w:rPr>
                <w:i/>
                <w:iCs/>
                <w:color w:val="333333"/>
                <w:sz w:val="18"/>
                <w:szCs w:val="18"/>
              </w:rPr>
              <w:t xml:space="preserve"> </w:t>
            </w:r>
            <w:r w:rsidRPr="00F36E7E">
              <w:rPr>
                <w:color w:val="333333"/>
                <w:sz w:val="18"/>
                <w:szCs w:val="18"/>
              </w:rPr>
              <w:t>where event starts between 180 days Before and 0 days Before index start date</w:t>
            </w:r>
          </w:p>
          <w:p w14:paraId="553A691A" w14:textId="77777777" w:rsidR="003D4A31" w:rsidRPr="00F36E7E" w:rsidRDefault="003D4A31" w:rsidP="00F32CA7">
            <w:pPr>
              <w:numPr>
                <w:ilvl w:val="0"/>
                <w:numId w:val="34"/>
              </w:numPr>
              <w:shd w:val="clear" w:color="auto" w:fill="FFFFFF"/>
              <w:spacing w:after="120"/>
              <w:rPr>
                <w:color w:val="333333"/>
                <w:sz w:val="18"/>
                <w:szCs w:val="18"/>
              </w:rPr>
            </w:pPr>
            <w:r w:rsidRPr="003D4A31">
              <w:rPr>
                <w:color w:val="333333"/>
                <w:sz w:val="18"/>
                <w:szCs w:val="18"/>
              </w:rPr>
              <w:t>at least 3</w:t>
            </w:r>
            <w:r w:rsidRPr="00F36E7E">
              <w:rPr>
                <w:color w:val="333333"/>
                <w:sz w:val="18"/>
                <w:szCs w:val="18"/>
              </w:rPr>
              <w:t> occurrences of a procedure of </w:t>
            </w:r>
            <w:r w:rsidRPr="00F36E7E">
              <w:rPr>
                <w:i/>
                <w:iCs/>
                <w:color w:val="333333"/>
                <w:sz w:val="18"/>
                <w:szCs w:val="18"/>
              </w:rPr>
              <w:t>[EPI_720] Procedures indicating established CVD (strata)</w:t>
            </w:r>
            <w:r w:rsidRPr="003D4A31">
              <w:rPr>
                <w:color w:val="333333"/>
                <w:sz w:val="18"/>
                <w:szCs w:val="18"/>
              </w:rPr>
              <w:t xml:space="preserve"> </w:t>
            </w:r>
            <w:r w:rsidRPr="00F36E7E">
              <w:rPr>
                <w:color w:val="333333"/>
                <w:sz w:val="18"/>
                <w:szCs w:val="18"/>
              </w:rPr>
              <w:t>where event starts between 180 days Before and 0 days Before index start date</w:t>
            </w:r>
          </w:p>
          <w:p w14:paraId="3CDEE389" w14:textId="77777777" w:rsidR="003D4A31" w:rsidRPr="00F36E7E" w:rsidRDefault="003D4A31" w:rsidP="000B60B2">
            <w:pPr>
              <w:shd w:val="clear" w:color="auto" w:fill="FFFFFF"/>
              <w:spacing w:after="120"/>
              <w:rPr>
                <w:color w:val="333333"/>
                <w:sz w:val="18"/>
                <w:szCs w:val="18"/>
              </w:rPr>
            </w:pPr>
            <w:r w:rsidRPr="00F36E7E">
              <w:rPr>
                <w:color w:val="333333"/>
                <w:sz w:val="18"/>
                <w:szCs w:val="18"/>
              </w:rPr>
              <w:t xml:space="preserve">Limit qualifying cohort </w:t>
            </w:r>
            <w:proofErr w:type="gramStart"/>
            <w:r w:rsidRPr="00F36E7E">
              <w:rPr>
                <w:color w:val="333333"/>
                <w:sz w:val="18"/>
                <w:szCs w:val="18"/>
              </w:rPr>
              <w:t>to:</w:t>
            </w:r>
            <w:proofErr w:type="gramEnd"/>
            <w:r w:rsidRPr="00F36E7E">
              <w:rPr>
                <w:color w:val="333333"/>
                <w:sz w:val="18"/>
                <w:szCs w:val="18"/>
              </w:rPr>
              <w:t> </w:t>
            </w:r>
            <w:r w:rsidRPr="00F36E7E">
              <w:rPr>
                <w:b/>
                <w:bCs/>
                <w:color w:val="333333"/>
                <w:sz w:val="18"/>
                <w:szCs w:val="18"/>
              </w:rPr>
              <w:t>earliest event per person.</w:t>
            </w:r>
          </w:p>
        </w:tc>
      </w:tr>
      <w:tr w:rsidR="003D4A31" w:rsidRPr="00F36E7E" w14:paraId="1ECC2792" w14:textId="77777777" w:rsidTr="000B60B2">
        <w:tc>
          <w:tcPr>
            <w:tcW w:w="18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tcPr>
          <w:p w14:paraId="20168C49" w14:textId="77777777" w:rsidR="003D4A31" w:rsidRPr="00F36E7E" w:rsidRDefault="003D4A31" w:rsidP="000B60B2">
            <w:pPr>
              <w:spacing w:after="120"/>
              <w:rPr>
                <w:b/>
                <w:bCs/>
                <w:sz w:val="18"/>
                <w:szCs w:val="18"/>
              </w:rPr>
            </w:pPr>
            <w:r w:rsidRPr="00F36E7E">
              <w:rPr>
                <w:b/>
                <w:bCs/>
                <w:sz w:val="18"/>
                <w:szCs w:val="18"/>
              </w:rPr>
              <w:lastRenderedPageBreak/>
              <w:t>Event Persistence Criteria</w:t>
            </w:r>
          </w:p>
        </w:tc>
        <w:tc>
          <w:tcPr>
            <w:tcW w:w="81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vAlign w:val="center"/>
          </w:tcPr>
          <w:p w14:paraId="1C109700" w14:textId="77777777" w:rsidR="003D4A31" w:rsidRPr="00F36E7E" w:rsidRDefault="003D4A31" w:rsidP="000B60B2">
            <w:pPr>
              <w:shd w:val="clear" w:color="auto" w:fill="FFFFFF"/>
              <w:spacing w:after="120"/>
              <w:rPr>
                <w:color w:val="000000"/>
                <w:sz w:val="18"/>
                <w:szCs w:val="18"/>
              </w:rPr>
            </w:pPr>
            <w:r w:rsidRPr="00D547DE">
              <w:rPr>
                <w:color w:val="000000"/>
                <w:sz w:val="18"/>
                <w:szCs w:val="18"/>
              </w:rPr>
              <w:t>Custom Drug Era Exit Criteria</w:t>
            </w:r>
          </w:p>
          <w:p w14:paraId="437DA39B" w14:textId="77777777" w:rsidR="003D4A31" w:rsidRPr="00F36E7E" w:rsidRDefault="003D4A31" w:rsidP="00F32CA7">
            <w:pPr>
              <w:pStyle w:val="ListParagraph"/>
              <w:numPr>
                <w:ilvl w:val="0"/>
                <w:numId w:val="32"/>
              </w:numPr>
              <w:spacing w:after="120" w:line="240" w:lineRule="auto"/>
              <w:rPr>
                <w:rFonts w:ascii="Times New Roman" w:hAnsi="Times New Roman" w:cs="Times New Roman"/>
                <w:sz w:val="18"/>
                <w:szCs w:val="18"/>
              </w:rPr>
            </w:pPr>
            <w:r w:rsidRPr="00F36E7E">
              <w:rPr>
                <w:rFonts w:ascii="Times New Roman" w:hAnsi="Times New Roman" w:cs="Times New Roman"/>
                <w:sz w:val="18"/>
                <w:szCs w:val="18"/>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45FA4B86" w14:textId="77777777" w:rsidR="003D4A31" w:rsidRPr="00F36E7E" w:rsidRDefault="003D4A31" w:rsidP="00F32CA7">
            <w:pPr>
              <w:pStyle w:val="ListParagraph"/>
              <w:numPr>
                <w:ilvl w:val="0"/>
                <w:numId w:val="32"/>
              </w:numPr>
              <w:spacing w:after="120" w:line="240" w:lineRule="auto"/>
              <w:rPr>
                <w:rFonts w:ascii="Times New Roman" w:hAnsi="Times New Roman" w:cs="Times New Roman"/>
                <w:sz w:val="18"/>
                <w:szCs w:val="18"/>
              </w:rPr>
            </w:pPr>
            <w:r w:rsidRPr="00F36E7E">
              <w:rPr>
                <w:rFonts w:ascii="Times New Roman" w:hAnsi="Times New Roman" w:cs="Times New Roman"/>
                <w:color w:val="333333"/>
                <w:sz w:val="18"/>
                <w:szCs w:val="18"/>
                <w:shd w:val="clear" w:color="auto" w:fill="FFFFFF"/>
              </w:rPr>
              <w:t>Use the era end date of </w:t>
            </w:r>
            <w:r w:rsidRPr="00F36E7E">
              <w:rPr>
                <w:rFonts w:ascii="Times New Roman" w:hAnsi="Times New Roman" w:cs="Times New Roman"/>
                <w:i/>
                <w:iCs/>
                <w:color w:val="333333"/>
                <w:sz w:val="18"/>
                <w:szCs w:val="18"/>
              </w:rPr>
              <w:t>[RWE CTF] Abiraterone (</w:t>
            </w:r>
            <w:proofErr w:type="spellStart"/>
            <w:r w:rsidRPr="00F36E7E">
              <w:rPr>
                <w:rFonts w:ascii="Times New Roman" w:hAnsi="Times New Roman" w:cs="Times New Roman"/>
                <w:i/>
                <w:iCs/>
                <w:color w:val="333333"/>
                <w:sz w:val="18"/>
                <w:szCs w:val="18"/>
              </w:rPr>
              <w:t>Zytiga</w:t>
            </w:r>
            <w:proofErr w:type="spellEnd"/>
            <w:r w:rsidRPr="00F36E7E">
              <w:rPr>
                <w:rFonts w:ascii="Times New Roman" w:hAnsi="Times New Roman" w:cs="Times New Roman"/>
                <w:i/>
                <w:iCs/>
                <w:color w:val="333333"/>
                <w:sz w:val="18"/>
                <w:szCs w:val="18"/>
              </w:rPr>
              <w:t>) or Enzalutamide</w:t>
            </w:r>
          </w:p>
          <w:p w14:paraId="2E3021D5" w14:textId="77777777" w:rsidR="003D4A31" w:rsidRPr="00D547DE" w:rsidRDefault="003D4A31" w:rsidP="00F32CA7">
            <w:pPr>
              <w:numPr>
                <w:ilvl w:val="1"/>
                <w:numId w:val="32"/>
              </w:numPr>
              <w:shd w:val="clear" w:color="auto" w:fill="FFFFFF"/>
              <w:spacing w:after="120"/>
              <w:rPr>
                <w:color w:val="333333"/>
                <w:sz w:val="18"/>
                <w:szCs w:val="18"/>
              </w:rPr>
            </w:pPr>
            <w:r w:rsidRPr="00D547DE">
              <w:rPr>
                <w:color w:val="333333"/>
                <w:sz w:val="18"/>
                <w:szCs w:val="18"/>
              </w:rPr>
              <w:t>allowing 30 days between exposures</w:t>
            </w:r>
          </w:p>
          <w:p w14:paraId="078EAD2B" w14:textId="77777777" w:rsidR="003D4A31" w:rsidRPr="00D547DE" w:rsidRDefault="003D4A31" w:rsidP="00F32CA7">
            <w:pPr>
              <w:numPr>
                <w:ilvl w:val="1"/>
                <w:numId w:val="32"/>
              </w:numPr>
              <w:shd w:val="clear" w:color="auto" w:fill="FFFFFF"/>
              <w:spacing w:after="120"/>
              <w:rPr>
                <w:color w:val="333333"/>
                <w:sz w:val="18"/>
                <w:szCs w:val="18"/>
              </w:rPr>
            </w:pPr>
            <w:r w:rsidRPr="00D547DE">
              <w:rPr>
                <w:color w:val="333333"/>
                <w:sz w:val="18"/>
                <w:szCs w:val="18"/>
              </w:rPr>
              <w:t>adding 0 days after exposure end</w:t>
            </w:r>
          </w:p>
          <w:p w14:paraId="0795F45C" w14:textId="77777777" w:rsidR="003D4A31" w:rsidRPr="00F36E7E" w:rsidRDefault="003D4A31" w:rsidP="00F32CA7">
            <w:pPr>
              <w:numPr>
                <w:ilvl w:val="1"/>
                <w:numId w:val="32"/>
              </w:numPr>
              <w:shd w:val="clear" w:color="auto" w:fill="FFFFFF"/>
              <w:spacing w:after="120"/>
              <w:rPr>
                <w:color w:val="333333"/>
                <w:sz w:val="18"/>
                <w:szCs w:val="18"/>
              </w:rPr>
            </w:pPr>
            <w:r w:rsidRPr="00D547DE">
              <w:rPr>
                <w:color w:val="333333"/>
                <w:sz w:val="18"/>
                <w:szCs w:val="18"/>
              </w:rPr>
              <w:t xml:space="preserve">using </w:t>
            </w:r>
            <w:proofErr w:type="spellStart"/>
            <w:r w:rsidRPr="00D547DE">
              <w:rPr>
                <w:color w:val="333333"/>
                <w:sz w:val="18"/>
                <w:szCs w:val="18"/>
              </w:rPr>
              <w:t>days</w:t>
            </w:r>
            <w:proofErr w:type="spellEnd"/>
            <w:r w:rsidRPr="00D547DE">
              <w:rPr>
                <w:color w:val="333333"/>
                <w:sz w:val="18"/>
                <w:szCs w:val="18"/>
              </w:rPr>
              <w:t xml:space="preserve"> supply and exposure end date for exposure duration.</w:t>
            </w:r>
          </w:p>
        </w:tc>
      </w:tr>
      <w:tr w:rsidR="003D4A31" w:rsidRPr="00F36E7E" w14:paraId="74F77223" w14:textId="77777777" w:rsidTr="000B60B2">
        <w:tc>
          <w:tcPr>
            <w:tcW w:w="18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tcPr>
          <w:p w14:paraId="1916BDB8" w14:textId="77777777" w:rsidR="003D4A31" w:rsidRPr="00F36E7E" w:rsidRDefault="003D4A31" w:rsidP="000B60B2">
            <w:pPr>
              <w:spacing w:after="120"/>
              <w:rPr>
                <w:b/>
                <w:bCs/>
                <w:sz w:val="18"/>
                <w:szCs w:val="18"/>
              </w:rPr>
            </w:pPr>
            <w:r w:rsidRPr="00F36E7E">
              <w:rPr>
                <w:b/>
                <w:bCs/>
                <w:sz w:val="18"/>
                <w:szCs w:val="18"/>
              </w:rPr>
              <w:t>Censoring Events</w:t>
            </w:r>
          </w:p>
        </w:tc>
        <w:tc>
          <w:tcPr>
            <w:tcW w:w="81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left w:w="108" w:type="dxa"/>
              <w:bottom w:w="0" w:type="dxa"/>
              <w:right w:w="108" w:type="dxa"/>
            </w:tcMar>
            <w:vAlign w:val="center"/>
          </w:tcPr>
          <w:p w14:paraId="1878FFBB" w14:textId="77777777" w:rsidR="003D4A31" w:rsidRPr="00F36E7E" w:rsidRDefault="003D4A31" w:rsidP="00F32CA7">
            <w:pPr>
              <w:pStyle w:val="ListParagraph"/>
              <w:numPr>
                <w:ilvl w:val="0"/>
                <w:numId w:val="32"/>
              </w:numPr>
              <w:spacing w:after="120" w:line="240" w:lineRule="auto"/>
              <w:contextualSpacing w:val="0"/>
              <w:rPr>
                <w:rFonts w:ascii="Times New Roman" w:hAnsi="Times New Roman" w:cs="Times New Roman"/>
                <w:iCs/>
                <w:sz w:val="18"/>
                <w:szCs w:val="18"/>
              </w:rPr>
            </w:pPr>
            <w:r w:rsidRPr="00F36E7E">
              <w:rPr>
                <w:rFonts w:ascii="Times New Roman" w:hAnsi="Times New Roman" w:cs="Times New Roman"/>
                <w:iCs/>
                <w:sz w:val="18"/>
                <w:szCs w:val="18"/>
              </w:rPr>
              <w:t>No censoring events</w:t>
            </w:r>
          </w:p>
        </w:tc>
      </w:tr>
      <w:tr w:rsidR="003D4A31" w:rsidRPr="00F36E7E" w14:paraId="3231EC74" w14:textId="77777777" w:rsidTr="000B60B2">
        <w:tc>
          <w:tcPr>
            <w:tcW w:w="1823"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shd w:val="clear" w:color="auto" w:fill="auto"/>
            <w:tcMar>
              <w:top w:w="0" w:type="dxa"/>
              <w:left w:w="108" w:type="dxa"/>
              <w:bottom w:w="0" w:type="dxa"/>
              <w:right w:w="108" w:type="dxa"/>
            </w:tcMar>
          </w:tcPr>
          <w:p w14:paraId="53E29450" w14:textId="77777777" w:rsidR="003D4A31" w:rsidRPr="00F36E7E" w:rsidRDefault="003D4A31" w:rsidP="000B60B2">
            <w:pPr>
              <w:spacing w:after="120"/>
              <w:rPr>
                <w:b/>
                <w:bCs/>
                <w:sz w:val="18"/>
                <w:szCs w:val="18"/>
              </w:rPr>
            </w:pPr>
            <w:r w:rsidRPr="00F36E7E">
              <w:rPr>
                <w:b/>
                <w:bCs/>
                <w:sz w:val="18"/>
                <w:szCs w:val="18"/>
              </w:rPr>
              <w:t>Cohort Eras</w:t>
            </w:r>
          </w:p>
        </w:tc>
        <w:tc>
          <w:tcPr>
            <w:tcW w:w="8162"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shd w:val="clear" w:color="auto" w:fill="auto"/>
            <w:tcMar>
              <w:top w:w="0" w:type="dxa"/>
              <w:left w:w="108" w:type="dxa"/>
              <w:bottom w:w="0" w:type="dxa"/>
              <w:right w:w="108" w:type="dxa"/>
            </w:tcMar>
            <w:vAlign w:val="center"/>
          </w:tcPr>
          <w:p w14:paraId="3660949C" w14:textId="77777777" w:rsidR="003D4A31" w:rsidRPr="00F36E7E" w:rsidRDefault="003D4A31" w:rsidP="00F32CA7">
            <w:pPr>
              <w:pStyle w:val="ListParagraph"/>
              <w:numPr>
                <w:ilvl w:val="0"/>
                <w:numId w:val="32"/>
              </w:numPr>
              <w:spacing w:after="120" w:line="240" w:lineRule="auto"/>
              <w:rPr>
                <w:rFonts w:ascii="Times New Roman" w:hAnsi="Times New Roman" w:cs="Times New Roman"/>
                <w:iCs/>
                <w:sz w:val="18"/>
                <w:szCs w:val="18"/>
              </w:rPr>
            </w:pPr>
            <w:r w:rsidRPr="00F36E7E">
              <w:rPr>
                <w:rFonts w:ascii="Times New Roman" w:hAnsi="Times New Roman" w:cs="Times New Roman"/>
                <w:iCs/>
                <w:sz w:val="18"/>
                <w:szCs w:val="18"/>
              </w:rPr>
              <w:t>Collapse cohort by era with a gap size of 0 days.</w:t>
            </w:r>
          </w:p>
        </w:tc>
      </w:tr>
    </w:tbl>
    <w:p w14:paraId="1635D3BF" w14:textId="77777777" w:rsidR="003D4A31" w:rsidRDefault="003D4A31" w:rsidP="00162DB4">
      <w:pPr>
        <w:rPr>
          <w:b/>
          <w:szCs w:val="24"/>
        </w:rPr>
      </w:pPr>
    </w:p>
    <w:p w14:paraId="7C0FBC4B" w14:textId="0809EAA4" w:rsidR="00162DB4" w:rsidRPr="009F07DD" w:rsidRDefault="00162DB4" w:rsidP="00F32CA7">
      <w:pPr>
        <w:spacing w:after="240"/>
        <w:rPr>
          <w:szCs w:val="24"/>
        </w:rPr>
      </w:pPr>
      <w:r w:rsidRPr="009F07DD">
        <w:rPr>
          <w:b/>
          <w:szCs w:val="24"/>
        </w:rPr>
        <w:t xml:space="preserve">Table </w:t>
      </w:r>
      <w:r w:rsidR="003D4A31">
        <w:rPr>
          <w:b/>
          <w:szCs w:val="24"/>
        </w:rPr>
        <w:t>2</w:t>
      </w:r>
      <w:r w:rsidRPr="009F07DD">
        <w:rPr>
          <w:szCs w:val="24"/>
        </w:rPr>
        <w:t xml:space="preserve">. </w:t>
      </w:r>
      <w:r w:rsidR="004874A5">
        <w:rPr>
          <w:szCs w:val="24"/>
        </w:rPr>
        <w:t>17</w:t>
      </w:r>
      <w:r w:rsidRPr="009F07DD">
        <w:rPr>
          <w:szCs w:val="24"/>
        </w:rPr>
        <w:t xml:space="preserve"> Atlas cohorts (</w:t>
      </w:r>
      <w:r>
        <w:rPr>
          <w:szCs w:val="24"/>
        </w:rPr>
        <w:t>six</w:t>
      </w:r>
      <w:r w:rsidRPr="009F07DD">
        <w:rPr>
          <w:szCs w:val="24"/>
        </w:rPr>
        <w:t xml:space="preserve"> target cohorts, seven outcome cohorts)</w:t>
      </w:r>
    </w:p>
    <w:tbl>
      <w:tblPr>
        <w:tblW w:w="9445" w:type="dxa"/>
        <w:tblBorders>
          <w:top w:val="single" w:sz="4" w:space="0" w:color="auto"/>
          <w:bottom w:val="single" w:sz="4" w:space="0" w:color="auto"/>
        </w:tblBorders>
        <w:tblLook w:val="04A0" w:firstRow="1" w:lastRow="0" w:firstColumn="1" w:lastColumn="0" w:noHBand="0" w:noVBand="1"/>
      </w:tblPr>
      <w:tblGrid>
        <w:gridCol w:w="2245"/>
        <w:gridCol w:w="7200"/>
      </w:tblGrid>
      <w:tr w:rsidR="00162DB4" w:rsidRPr="00737A24" w14:paraId="2B0335C9" w14:textId="77777777" w:rsidTr="00494716">
        <w:trPr>
          <w:trHeight w:val="288"/>
        </w:trPr>
        <w:tc>
          <w:tcPr>
            <w:tcW w:w="2245" w:type="dxa"/>
            <w:tcBorders>
              <w:top w:val="single" w:sz="4" w:space="0" w:color="auto"/>
              <w:bottom w:val="single" w:sz="4" w:space="0" w:color="auto"/>
            </w:tcBorders>
            <w:shd w:val="clear" w:color="auto" w:fill="D9D9D9" w:themeFill="background1" w:themeFillShade="D9"/>
            <w:noWrap/>
          </w:tcPr>
          <w:p w14:paraId="02B779DE" w14:textId="77777777" w:rsidR="00162DB4" w:rsidRPr="00737A24" w:rsidRDefault="00162DB4" w:rsidP="00494716">
            <w:pPr>
              <w:rPr>
                <w:color w:val="0563C1"/>
                <w:szCs w:val="24"/>
                <w:u w:val="single"/>
              </w:rPr>
            </w:pPr>
            <w:r w:rsidRPr="00737A24">
              <w:rPr>
                <w:b/>
                <w:szCs w:val="24"/>
              </w:rPr>
              <w:t>Cohort ID</w:t>
            </w:r>
          </w:p>
        </w:tc>
        <w:tc>
          <w:tcPr>
            <w:tcW w:w="7200" w:type="dxa"/>
            <w:tcBorders>
              <w:top w:val="single" w:sz="4" w:space="0" w:color="auto"/>
              <w:bottom w:val="single" w:sz="4" w:space="0" w:color="auto"/>
            </w:tcBorders>
            <w:shd w:val="clear" w:color="auto" w:fill="D9D9D9" w:themeFill="background1" w:themeFillShade="D9"/>
            <w:noWrap/>
          </w:tcPr>
          <w:p w14:paraId="53CAED6C" w14:textId="77777777" w:rsidR="00162DB4" w:rsidRPr="00737A24" w:rsidRDefault="00162DB4" w:rsidP="00494716">
            <w:pPr>
              <w:rPr>
                <w:color w:val="000000"/>
                <w:szCs w:val="24"/>
              </w:rPr>
            </w:pPr>
            <w:r w:rsidRPr="00737A24">
              <w:rPr>
                <w:b/>
                <w:szCs w:val="24"/>
              </w:rPr>
              <w:t>Cohort Title</w:t>
            </w:r>
          </w:p>
        </w:tc>
      </w:tr>
      <w:tr w:rsidR="00162DB4" w:rsidRPr="00737A24" w14:paraId="3B5C1FBC" w14:textId="77777777" w:rsidTr="00494716">
        <w:trPr>
          <w:trHeight w:val="288"/>
        </w:trPr>
        <w:tc>
          <w:tcPr>
            <w:tcW w:w="2245" w:type="dxa"/>
            <w:tcBorders>
              <w:top w:val="single" w:sz="4" w:space="0" w:color="auto"/>
            </w:tcBorders>
            <w:shd w:val="clear" w:color="auto" w:fill="auto"/>
            <w:noWrap/>
          </w:tcPr>
          <w:p w14:paraId="35331991" w14:textId="77777777" w:rsidR="00162DB4" w:rsidRPr="00F00F48" w:rsidRDefault="00162DB4" w:rsidP="00494716">
            <w:pPr>
              <w:rPr>
                <w:i/>
                <w:szCs w:val="24"/>
              </w:rPr>
            </w:pPr>
            <w:r w:rsidRPr="00F00F48">
              <w:rPr>
                <w:i/>
                <w:szCs w:val="24"/>
              </w:rPr>
              <w:t xml:space="preserve">Target </w:t>
            </w:r>
            <w:r>
              <w:rPr>
                <w:i/>
                <w:szCs w:val="24"/>
              </w:rPr>
              <w:t>c</w:t>
            </w:r>
            <w:r w:rsidRPr="00F00F48">
              <w:rPr>
                <w:i/>
                <w:szCs w:val="24"/>
              </w:rPr>
              <w:t>ohort</w:t>
            </w:r>
            <w:r>
              <w:rPr>
                <w:i/>
                <w:szCs w:val="24"/>
              </w:rPr>
              <w:t>s</w:t>
            </w:r>
          </w:p>
        </w:tc>
        <w:tc>
          <w:tcPr>
            <w:tcW w:w="7200" w:type="dxa"/>
            <w:tcBorders>
              <w:top w:val="single" w:sz="4" w:space="0" w:color="auto"/>
            </w:tcBorders>
            <w:shd w:val="clear" w:color="auto" w:fill="auto"/>
            <w:noWrap/>
          </w:tcPr>
          <w:p w14:paraId="04689656" w14:textId="77777777" w:rsidR="00162DB4" w:rsidRPr="00737A24" w:rsidRDefault="00162DB4" w:rsidP="00494716">
            <w:pPr>
              <w:rPr>
                <w:color w:val="000000"/>
                <w:szCs w:val="24"/>
              </w:rPr>
            </w:pPr>
          </w:p>
        </w:tc>
      </w:tr>
      <w:tr w:rsidR="00162DB4" w:rsidRPr="00737A24" w14:paraId="07A37101" w14:textId="77777777" w:rsidTr="00494716">
        <w:trPr>
          <w:trHeight w:val="288"/>
        </w:trPr>
        <w:tc>
          <w:tcPr>
            <w:tcW w:w="2245" w:type="dxa"/>
            <w:shd w:val="clear" w:color="auto" w:fill="auto"/>
            <w:noWrap/>
            <w:hideMark/>
          </w:tcPr>
          <w:p w14:paraId="583A3581" w14:textId="77777777" w:rsidR="00162DB4" w:rsidRPr="00737A24" w:rsidRDefault="00E64EBB" w:rsidP="00494716">
            <w:pPr>
              <w:rPr>
                <w:color w:val="0563C1"/>
                <w:szCs w:val="24"/>
                <w:u w:val="single"/>
              </w:rPr>
            </w:pPr>
            <w:hyperlink r:id="rId23" w:anchor="/cohortdefinition/13186" w:tgtFrame="_parent" w:history="1">
              <w:r w:rsidR="00162DB4" w:rsidRPr="00737A24">
                <w:rPr>
                  <w:rStyle w:val="Hyperlink"/>
                  <w:szCs w:val="24"/>
                </w:rPr>
                <w:t>13186</w:t>
              </w:r>
            </w:hyperlink>
          </w:p>
        </w:tc>
        <w:tc>
          <w:tcPr>
            <w:tcW w:w="7200" w:type="dxa"/>
            <w:shd w:val="clear" w:color="auto" w:fill="auto"/>
            <w:noWrap/>
            <w:hideMark/>
          </w:tcPr>
          <w:p w14:paraId="4C237745" w14:textId="77777777" w:rsidR="00162DB4" w:rsidRPr="00737A24" w:rsidRDefault="00162DB4" w:rsidP="00494716">
            <w:pPr>
              <w:rPr>
                <w:color w:val="000000"/>
                <w:szCs w:val="24"/>
              </w:rPr>
            </w:pPr>
            <w:r w:rsidRPr="00737A24">
              <w:rPr>
                <w:color w:val="000000"/>
                <w:szCs w:val="24"/>
              </w:rPr>
              <w:t>[EPI_720 - T01] New Users of abiraterone + prednisone with CRPC</w:t>
            </w:r>
          </w:p>
        </w:tc>
      </w:tr>
      <w:tr w:rsidR="00162DB4" w:rsidRPr="00737A24" w14:paraId="5928E4EB" w14:textId="77777777" w:rsidTr="00494716">
        <w:trPr>
          <w:trHeight w:val="288"/>
        </w:trPr>
        <w:tc>
          <w:tcPr>
            <w:tcW w:w="2245" w:type="dxa"/>
            <w:shd w:val="clear" w:color="auto" w:fill="auto"/>
            <w:noWrap/>
            <w:hideMark/>
          </w:tcPr>
          <w:p w14:paraId="2432EC29" w14:textId="77777777" w:rsidR="00162DB4" w:rsidRPr="00737A24" w:rsidRDefault="00E64EBB" w:rsidP="00494716">
            <w:pPr>
              <w:rPr>
                <w:color w:val="0563C1"/>
                <w:szCs w:val="24"/>
                <w:u w:val="single"/>
              </w:rPr>
            </w:pPr>
            <w:hyperlink r:id="rId24" w:anchor="/cohortdefinition/13248" w:tgtFrame="_parent" w:history="1">
              <w:r w:rsidR="00162DB4" w:rsidRPr="00737A24">
                <w:rPr>
                  <w:rStyle w:val="Hyperlink"/>
                  <w:szCs w:val="24"/>
                </w:rPr>
                <w:t>13248</w:t>
              </w:r>
            </w:hyperlink>
          </w:p>
        </w:tc>
        <w:tc>
          <w:tcPr>
            <w:tcW w:w="7200" w:type="dxa"/>
            <w:shd w:val="clear" w:color="auto" w:fill="auto"/>
            <w:noWrap/>
            <w:hideMark/>
          </w:tcPr>
          <w:p w14:paraId="509AAE98" w14:textId="77777777" w:rsidR="00162DB4" w:rsidRPr="00737A24" w:rsidRDefault="00162DB4" w:rsidP="00494716">
            <w:pPr>
              <w:rPr>
                <w:color w:val="000000"/>
                <w:szCs w:val="24"/>
              </w:rPr>
            </w:pPr>
            <w:r w:rsidRPr="00737A24">
              <w:rPr>
                <w:color w:val="000000"/>
                <w:szCs w:val="24"/>
              </w:rPr>
              <w:t>[EPI_720 - T01] New Users of abiraterone + prednisone with CRPC (no CVD in prior 6-mo)</w:t>
            </w:r>
          </w:p>
        </w:tc>
      </w:tr>
      <w:tr w:rsidR="00162DB4" w:rsidRPr="00737A24" w14:paraId="53801C67" w14:textId="77777777" w:rsidTr="00494716">
        <w:trPr>
          <w:trHeight w:val="288"/>
        </w:trPr>
        <w:tc>
          <w:tcPr>
            <w:tcW w:w="2245" w:type="dxa"/>
            <w:shd w:val="clear" w:color="auto" w:fill="auto"/>
            <w:noWrap/>
            <w:hideMark/>
          </w:tcPr>
          <w:p w14:paraId="10E2F433" w14:textId="77777777" w:rsidR="00162DB4" w:rsidRPr="00737A24" w:rsidRDefault="00E64EBB" w:rsidP="00494716">
            <w:pPr>
              <w:rPr>
                <w:color w:val="0563C1"/>
                <w:szCs w:val="24"/>
                <w:u w:val="single"/>
              </w:rPr>
            </w:pPr>
            <w:hyperlink r:id="rId25" w:anchor="/cohortdefinition/13185" w:tgtFrame="_parent" w:history="1">
              <w:r w:rsidR="00162DB4" w:rsidRPr="00737A24">
                <w:rPr>
                  <w:rStyle w:val="Hyperlink"/>
                  <w:szCs w:val="24"/>
                </w:rPr>
                <w:t>13185</w:t>
              </w:r>
            </w:hyperlink>
          </w:p>
        </w:tc>
        <w:tc>
          <w:tcPr>
            <w:tcW w:w="7200" w:type="dxa"/>
            <w:shd w:val="clear" w:color="auto" w:fill="auto"/>
            <w:noWrap/>
            <w:hideMark/>
          </w:tcPr>
          <w:p w14:paraId="6DBF006C" w14:textId="77777777" w:rsidR="00162DB4" w:rsidRPr="00737A24" w:rsidRDefault="00162DB4" w:rsidP="00494716">
            <w:pPr>
              <w:rPr>
                <w:color w:val="000000"/>
                <w:szCs w:val="24"/>
              </w:rPr>
            </w:pPr>
            <w:r w:rsidRPr="00737A24">
              <w:rPr>
                <w:color w:val="000000"/>
                <w:szCs w:val="24"/>
              </w:rPr>
              <w:t>[EPI_720 - T01] New Users of abiraterone + prednisone with CRPC (any CVD in prior 6-mo)</w:t>
            </w:r>
          </w:p>
        </w:tc>
      </w:tr>
      <w:tr w:rsidR="00162DB4" w:rsidRPr="00737A24" w14:paraId="1E9C7F2E" w14:textId="77777777" w:rsidTr="00494716">
        <w:trPr>
          <w:trHeight w:val="288"/>
        </w:trPr>
        <w:tc>
          <w:tcPr>
            <w:tcW w:w="2245" w:type="dxa"/>
            <w:shd w:val="clear" w:color="auto" w:fill="auto"/>
            <w:noWrap/>
            <w:hideMark/>
          </w:tcPr>
          <w:p w14:paraId="74CE8E48" w14:textId="77777777" w:rsidR="00162DB4" w:rsidRPr="00737A24" w:rsidRDefault="00E64EBB" w:rsidP="00494716">
            <w:pPr>
              <w:rPr>
                <w:color w:val="0563C1"/>
                <w:szCs w:val="24"/>
                <w:u w:val="single"/>
              </w:rPr>
            </w:pPr>
            <w:hyperlink r:id="rId26" w:anchor="/cohortdefinition/13187" w:tgtFrame="_parent" w:history="1">
              <w:r w:rsidR="00162DB4" w:rsidRPr="00737A24">
                <w:rPr>
                  <w:rStyle w:val="Hyperlink"/>
                  <w:szCs w:val="24"/>
                </w:rPr>
                <w:t>13187</w:t>
              </w:r>
            </w:hyperlink>
          </w:p>
        </w:tc>
        <w:tc>
          <w:tcPr>
            <w:tcW w:w="7200" w:type="dxa"/>
            <w:shd w:val="clear" w:color="auto" w:fill="auto"/>
            <w:noWrap/>
            <w:hideMark/>
          </w:tcPr>
          <w:p w14:paraId="33354B74" w14:textId="7F7B4CCC" w:rsidR="00162DB4" w:rsidRPr="00737A24" w:rsidRDefault="00162DB4" w:rsidP="00494716">
            <w:pPr>
              <w:rPr>
                <w:color w:val="000000"/>
                <w:szCs w:val="24"/>
              </w:rPr>
            </w:pPr>
            <w:r w:rsidRPr="00737A24">
              <w:rPr>
                <w:color w:val="000000"/>
                <w:szCs w:val="24"/>
              </w:rPr>
              <w:t>[EPI_720 - T01] New Users of abiraterone + prednisone with CRPC (</w:t>
            </w:r>
            <w:r w:rsidR="00F92F7C">
              <w:rPr>
                <w:color w:val="000000"/>
                <w:szCs w:val="24"/>
              </w:rPr>
              <w:t>less severe</w:t>
            </w:r>
            <w:r w:rsidR="00F92F7C" w:rsidRPr="00737A24">
              <w:rPr>
                <w:color w:val="000000"/>
                <w:szCs w:val="24"/>
              </w:rPr>
              <w:t xml:space="preserve"> </w:t>
            </w:r>
            <w:r w:rsidRPr="00737A24">
              <w:rPr>
                <w:color w:val="000000"/>
                <w:szCs w:val="24"/>
              </w:rPr>
              <w:t>CVD in prior 6-mo)</w:t>
            </w:r>
          </w:p>
        </w:tc>
      </w:tr>
      <w:tr w:rsidR="00162DB4" w:rsidRPr="00737A24" w14:paraId="08E245F0" w14:textId="77777777" w:rsidTr="00494716">
        <w:trPr>
          <w:trHeight w:val="312"/>
        </w:trPr>
        <w:tc>
          <w:tcPr>
            <w:tcW w:w="2245" w:type="dxa"/>
            <w:shd w:val="clear" w:color="auto" w:fill="auto"/>
            <w:noWrap/>
            <w:hideMark/>
          </w:tcPr>
          <w:p w14:paraId="74C7B99C" w14:textId="77777777" w:rsidR="00162DB4" w:rsidRPr="00737A24" w:rsidRDefault="00E64EBB" w:rsidP="00494716">
            <w:pPr>
              <w:rPr>
                <w:color w:val="0563C1"/>
                <w:szCs w:val="24"/>
                <w:u w:val="single"/>
              </w:rPr>
            </w:pPr>
            <w:hyperlink r:id="rId27" w:anchor="/cohortdefinition/13191" w:tgtFrame="_parent" w:history="1">
              <w:r w:rsidR="00162DB4" w:rsidRPr="00737A24">
                <w:rPr>
                  <w:rStyle w:val="Hyperlink"/>
                  <w:szCs w:val="24"/>
                </w:rPr>
                <w:t>13191</w:t>
              </w:r>
            </w:hyperlink>
          </w:p>
        </w:tc>
        <w:tc>
          <w:tcPr>
            <w:tcW w:w="7200" w:type="dxa"/>
            <w:shd w:val="clear" w:color="auto" w:fill="auto"/>
            <w:noWrap/>
            <w:hideMark/>
          </w:tcPr>
          <w:p w14:paraId="2D2894D4" w14:textId="383E294B" w:rsidR="00162DB4" w:rsidRPr="00737A24" w:rsidRDefault="00162DB4" w:rsidP="00494716">
            <w:pPr>
              <w:rPr>
                <w:color w:val="000000"/>
                <w:szCs w:val="24"/>
              </w:rPr>
            </w:pPr>
            <w:r w:rsidRPr="00737A24">
              <w:rPr>
                <w:color w:val="000000"/>
                <w:szCs w:val="24"/>
              </w:rPr>
              <w:t>[EPI_720 - T01] New Users of abiraterone + prednisone with CRPC (</w:t>
            </w:r>
            <w:r w:rsidR="00F92F7C">
              <w:rPr>
                <w:color w:val="000000"/>
                <w:szCs w:val="24"/>
              </w:rPr>
              <w:t>more severe</w:t>
            </w:r>
            <w:r w:rsidR="00F92F7C" w:rsidRPr="00737A24">
              <w:rPr>
                <w:color w:val="000000"/>
                <w:szCs w:val="24"/>
              </w:rPr>
              <w:t xml:space="preserve"> </w:t>
            </w:r>
            <w:r w:rsidRPr="00737A24">
              <w:rPr>
                <w:color w:val="000000"/>
                <w:szCs w:val="24"/>
              </w:rPr>
              <w:t>CVD in prior 6-mo)</w:t>
            </w:r>
          </w:p>
        </w:tc>
      </w:tr>
      <w:tr w:rsidR="00162DB4" w:rsidRPr="00737A24" w14:paraId="254453B0" w14:textId="77777777" w:rsidTr="00494716">
        <w:trPr>
          <w:trHeight w:val="288"/>
        </w:trPr>
        <w:tc>
          <w:tcPr>
            <w:tcW w:w="2245" w:type="dxa"/>
            <w:shd w:val="clear" w:color="auto" w:fill="auto"/>
            <w:noWrap/>
          </w:tcPr>
          <w:p w14:paraId="6BA1AF26" w14:textId="77777777" w:rsidR="00162DB4" w:rsidRPr="00737A24" w:rsidRDefault="00162DB4" w:rsidP="00494716">
            <w:pPr>
              <w:rPr>
                <w:color w:val="0563C1"/>
                <w:szCs w:val="24"/>
                <w:u w:val="single"/>
              </w:rPr>
            </w:pPr>
            <w:r>
              <w:rPr>
                <w:i/>
                <w:szCs w:val="24"/>
              </w:rPr>
              <w:t>Comparator</w:t>
            </w:r>
            <w:r w:rsidRPr="00F00F48">
              <w:rPr>
                <w:i/>
                <w:szCs w:val="24"/>
              </w:rPr>
              <w:t xml:space="preserve"> </w:t>
            </w:r>
            <w:r>
              <w:rPr>
                <w:i/>
                <w:szCs w:val="24"/>
              </w:rPr>
              <w:t>c</w:t>
            </w:r>
            <w:r w:rsidRPr="00F00F48">
              <w:rPr>
                <w:i/>
                <w:szCs w:val="24"/>
              </w:rPr>
              <w:t>ohort</w:t>
            </w:r>
            <w:r>
              <w:rPr>
                <w:i/>
                <w:szCs w:val="24"/>
              </w:rPr>
              <w:t>s</w:t>
            </w:r>
          </w:p>
        </w:tc>
        <w:tc>
          <w:tcPr>
            <w:tcW w:w="7200" w:type="dxa"/>
            <w:shd w:val="clear" w:color="auto" w:fill="auto"/>
            <w:noWrap/>
          </w:tcPr>
          <w:p w14:paraId="34C93007" w14:textId="77777777" w:rsidR="00162DB4" w:rsidRPr="00737A24" w:rsidRDefault="00162DB4" w:rsidP="00494716">
            <w:pPr>
              <w:rPr>
                <w:color w:val="000000"/>
                <w:szCs w:val="24"/>
              </w:rPr>
            </w:pPr>
          </w:p>
        </w:tc>
      </w:tr>
      <w:tr w:rsidR="00162DB4" w:rsidRPr="00737A24" w14:paraId="480A3437" w14:textId="77777777" w:rsidTr="00494716">
        <w:trPr>
          <w:trHeight w:val="288"/>
        </w:trPr>
        <w:tc>
          <w:tcPr>
            <w:tcW w:w="2245" w:type="dxa"/>
            <w:shd w:val="clear" w:color="auto" w:fill="auto"/>
            <w:noWrap/>
            <w:hideMark/>
          </w:tcPr>
          <w:p w14:paraId="494B43EE" w14:textId="77777777" w:rsidR="00162DB4" w:rsidRPr="00737A24" w:rsidRDefault="00E64EBB" w:rsidP="00494716">
            <w:pPr>
              <w:rPr>
                <w:color w:val="0563C1"/>
                <w:szCs w:val="24"/>
                <w:u w:val="single"/>
              </w:rPr>
            </w:pPr>
            <w:hyperlink r:id="rId28" w:anchor="/cohortdefinition/13245" w:tgtFrame="_parent" w:history="1">
              <w:r w:rsidR="00162DB4" w:rsidRPr="00737A24">
                <w:rPr>
                  <w:rStyle w:val="Hyperlink"/>
                  <w:szCs w:val="24"/>
                </w:rPr>
                <w:t>13245</w:t>
              </w:r>
            </w:hyperlink>
          </w:p>
        </w:tc>
        <w:tc>
          <w:tcPr>
            <w:tcW w:w="7200" w:type="dxa"/>
            <w:shd w:val="clear" w:color="auto" w:fill="auto"/>
            <w:noWrap/>
            <w:hideMark/>
          </w:tcPr>
          <w:p w14:paraId="6779D5C1" w14:textId="77777777" w:rsidR="00162DB4" w:rsidRPr="00737A24" w:rsidRDefault="00162DB4" w:rsidP="00494716">
            <w:pPr>
              <w:rPr>
                <w:color w:val="000000"/>
                <w:szCs w:val="24"/>
              </w:rPr>
            </w:pPr>
            <w:r w:rsidRPr="00737A24">
              <w:rPr>
                <w:color w:val="000000"/>
                <w:szCs w:val="24"/>
              </w:rPr>
              <w:t>[EPI_720 - C01] New users of enzalutamide with CRPC</w:t>
            </w:r>
          </w:p>
        </w:tc>
      </w:tr>
      <w:tr w:rsidR="00162DB4" w:rsidRPr="00737A24" w14:paraId="7FAE1240" w14:textId="77777777" w:rsidTr="00494716">
        <w:trPr>
          <w:trHeight w:val="288"/>
        </w:trPr>
        <w:tc>
          <w:tcPr>
            <w:tcW w:w="2245" w:type="dxa"/>
            <w:shd w:val="clear" w:color="auto" w:fill="auto"/>
            <w:noWrap/>
            <w:hideMark/>
          </w:tcPr>
          <w:p w14:paraId="4A81F96C" w14:textId="77777777" w:rsidR="00162DB4" w:rsidRPr="00737A24" w:rsidRDefault="00E64EBB" w:rsidP="00494716">
            <w:pPr>
              <w:rPr>
                <w:color w:val="0563C1"/>
                <w:szCs w:val="24"/>
                <w:u w:val="single"/>
              </w:rPr>
            </w:pPr>
            <w:hyperlink r:id="rId29" w:anchor="/cohortdefinition/13247" w:tgtFrame="_parent" w:history="1">
              <w:r w:rsidR="00162DB4" w:rsidRPr="00737A24">
                <w:rPr>
                  <w:rStyle w:val="Hyperlink"/>
                  <w:szCs w:val="24"/>
                </w:rPr>
                <w:t>13247</w:t>
              </w:r>
            </w:hyperlink>
          </w:p>
        </w:tc>
        <w:tc>
          <w:tcPr>
            <w:tcW w:w="7200" w:type="dxa"/>
            <w:shd w:val="clear" w:color="auto" w:fill="auto"/>
            <w:noWrap/>
            <w:hideMark/>
          </w:tcPr>
          <w:p w14:paraId="774A7D19" w14:textId="77777777" w:rsidR="00162DB4" w:rsidRPr="00737A24" w:rsidRDefault="00162DB4" w:rsidP="00494716">
            <w:pPr>
              <w:rPr>
                <w:color w:val="000000"/>
                <w:szCs w:val="24"/>
              </w:rPr>
            </w:pPr>
            <w:r w:rsidRPr="00737A24">
              <w:rPr>
                <w:color w:val="000000"/>
                <w:szCs w:val="24"/>
              </w:rPr>
              <w:t>[EPI_720 - C01] New users of enzalutamide with CRPC (no CVD in prior 6-mo)</w:t>
            </w:r>
          </w:p>
        </w:tc>
      </w:tr>
      <w:tr w:rsidR="00162DB4" w:rsidRPr="00737A24" w14:paraId="28DD3B2D" w14:textId="77777777" w:rsidTr="00494716">
        <w:trPr>
          <w:trHeight w:val="288"/>
        </w:trPr>
        <w:tc>
          <w:tcPr>
            <w:tcW w:w="2245" w:type="dxa"/>
            <w:shd w:val="clear" w:color="auto" w:fill="auto"/>
            <w:noWrap/>
            <w:hideMark/>
          </w:tcPr>
          <w:p w14:paraId="53FF304A" w14:textId="77777777" w:rsidR="00162DB4" w:rsidRPr="00737A24" w:rsidRDefault="00E64EBB" w:rsidP="00494716">
            <w:pPr>
              <w:rPr>
                <w:color w:val="0563C1"/>
                <w:szCs w:val="24"/>
                <w:u w:val="single"/>
              </w:rPr>
            </w:pPr>
            <w:hyperlink r:id="rId30" w:anchor="/cohortdefinition/13246" w:tgtFrame="_parent" w:history="1">
              <w:r w:rsidR="00162DB4" w:rsidRPr="00737A24">
                <w:rPr>
                  <w:rStyle w:val="Hyperlink"/>
                  <w:szCs w:val="24"/>
                </w:rPr>
                <w:t>13246</w:t>
              </w:r>
            </w:hyperlink>
          </w:p>
        </w:tc>
        <w:tc>
          <w:tcPr>
            <w:tcW w:w="7200" w:type="dxa"/>
            <w:shd w:val="clear" w:color="auto" w:fill="auto"/>
            <w:noWrap/>
            <w:hideMark/>
          </w:tcPr>
          <w:p w14:paraId="7FEC5747" w14:textId="77777777" w:rsidR="00162DB4" w:rsidRPr="00737A24" w:rsidRDefault="00162DB4" w:rsidP="00494716">
            <w:pPr>
              <w:rPr>
                <w:color w:val="000000"/>
                <w:szCs w:val="24"/>
              </w:rPr>
            </w:pPr>
            <w:r w:rsidRPr="00737A24">
              <w:rPr>
                <w:color w:val="000000"/>
                <w:szCs w:val="24"/>
              </w:rPr>
              <w:t>[EPI_720 - C01] New users of enzalutamide with CRPC (any CVD in prior 6-mo)</w:t>
            </w:r>
          </w:p>
        </w:tc>
      </w:tr>
      <w:tr w:rsidR="00162DB4" w:rsidRPr="00737A24" w14:paraId="33AFB43E" w14:textId="77777777" w:rsidTr="00494716">
        <w:trPr>
          <w:trHeight w:val="288"/>
        </w:trPr>
        <w:tc>
          <w:tcPr>
            <w:tcW w:w="2245" w:type="dxa"/>
            <w:shd w:val="clear" w:color="auto" w:fill="auto"/>
            <w:noWrap/>
            <w:hideMark/>
          </w:tcPr>
          <w:p w14:paraId="4A33F4E7" w14:textId="77777777" w:rsidR="00162DB4" w:rsidRPr="00737A24" w:rsidRDefault="00E64EBB" w:rsidP="00494716">
            <w:pPr>
              <w:rPr>
                <w:color w:val="0563C1"/>
                <w:szCs w:val="24"/>
                <w:u w:val="single"/>
              </w:rPr>
            </w:pPr>
            <w:hyperlink r:id="rId31" w:anchor="/cohortdefinition/13316" w:tgtFrame="_parent" w:history="1">
              <w:r w:rsidR="00162DB4" w:rsidRPr="00737A24">
                <w:rPr>
                  <w:rStyle w:val="Hyperlink"/>
                  <w:szCs w:val="24"/>
                </w:rPr>
                <w:t>13316</w:t>
              </w:r>
            </w:hyperlink>
          </w:p>
        </w:tc>
        <w:tc>
          <w:tcPr>
            <w:tcW w:w="7200" w:type="dxa"/>
            <w:shd w:val="clear" w:color="auto" w:fill="auto"/>
            <w:noWrap/>
            <w:hideMark/>
          </w:tcPr>
          <w:p w14:paraId="46472DAA" w14:textId="43C2ED66" w:rsidR="00162DB4" w:rsidRPr="00737A24" w:rsidRDefault="00162DB4" w:rsidP="00494716">
            <w:pPr>
              <w:rPr>
                <w:color w:val="000000"/>
                <w:szCs w:val="24"/>
              </w:rPr>
            </w:pPr>
            <w:r w:rsidRPr="00737A24">
              <w:rPr>
                <w:color w:val="000000"/>
                <w:szCs w:val="24"/>
              </w:rPr>
              <w:t>[EPI_720 - C01] New users of enzalutamide with CRPC (</w:t>
            </w:r>
            <w:r w:rsidR="00F92F7C">
              <w:rPr>
                <w:color w:val="000000"/>
                <w:szCs w:val="24"/>
              </w:rPr>
              <w:t>less severe</w:t>
            </w:r>
            <w:r w:rsidR="00F92F7C" w:rsidRPr="00737A24">
              <w:rPr>
                <w:color w:val="000000"/>
                <w:szCs w:val="24"/>
              </w:rPr>
              <w:t xml:space="preserve"> </w:t>
            </w:r>
            <w:r w:rsidRPr="00737A24">
              <w:rPr>
                <w:color w:val="000000"/>
                <w:szCs w:val="24"/>
              </w:rPr>
              <w:t>CVD in prior 6-mo)</w:t>
            </w:r>
          </w:p>
        </w:tc>
      </w:tr>
      <w:tr w:rsidR="00162DB4" w:rsidRPr="00737A24" w14:paraId="55F61758" w14:textId="77777777" w:rsidTr="00494716">
        <w:trPr>
          <w:trHeight w:val="288"/>
        </w:trPr>
        <w:tc>
          <w:tcPr>
            <w:tcW w:w="2245" w:type="dxa"/>
            <w:shd w:val="clear" w:color="auto" w:fill="auto"/>
            <w:noWrap/>
            <w:hideMark/>
          </w:tcPr>
          <w:p w14:paraId="76A26E0F" w14:textId="77777777" w:rsidR="00162DB4" w:rsidRPr="00737A24" w:rsidRDefault="00E64EBB" w:rsidP="00494716">
            <w:pPr>
              <w:rPr>
                <w:color w:val="0563C1"/>
                <w:szCs w:val="24"/>
                <w:u w:val="single"/>
              </w:rPr>
            </w:pPr>
            <w:hyperlink r:id="rId32" w:anchor="/cohortdefinition/13319" w:tgtFrame="_parent" w:history="1">
              <w:r w:rsidR="00162DB4" w:rsidRPr="00737A24">
                <w:rPr>
                  <w:rStyle w:val="Hyperlink"/>
                  <w:szCs w:val="24"/>
                </w:rPr>
                <w:t>13319</w:t>
              </w:r>
            </w:hyperlink>
          </w:p>
        </w:tc>
        <w:tc>
          <w:tcPr>
            <w:tcW w:w="7200" w:type="dxa"/>
            <w:shd w:val="clear" w:color="auto" w:fill="auto"/>
            <w:noWrap/>
            <w:hideMark/>
          </w:tcPr>
          <w:p w14:paraId="506536DA" w14:textId="281A4304" w:rsidR="00162DB4" w:rsidRPr="00737A24" w:rsidRDefault="00162DB4" w:rsidP="00494716">
            <w:pPr>
              <w:rPr>
                <w:color w:val="000000"/>
                <w:szCs w:val="24"/>
              </w:rPr>
            </w:pPr>
            <w:r w:rsidRPr="00737A24">
              <w:rPr>
                <w:color w:val="000000"/>
                <w:szCs w:val="24"/>
              </w:rPr>
              <w:t>[EPI_720 - C01] New users of enzalutamide with CRPC (</w:t>
            </w:r>
            <w:r w:rsidR="00F92F7C">
              <w:rPr>
                <w:color w:val="000000"/>
                <w:szCs w:val="24"/>
              </w:rPr>
              <w:t>more severe</w:t>
            </w:r>
            <w:r w:rsidR="00F92F7C" w:rsidRPr="00737A24">
              <w:rPr>
                <w:color w:val="000000"/>
                <w:szCs w:val="24"/>
              </w:rPr>
              <w:t xml:space="preserve"> </w:t>
            </w:r>
            <w:r w:rsidRPr="00737A24">
              <w:rPr>
                <w:color w:val="000000"/>
                <w:szCs w:val="24"/>
              </w:rPr>
              <w:t>CVD in prior 6-mo)</w:t>
            </w:r>
          </w:p>
        </w:tc>
      </w:tr>
      <w:tr w:rsidR="00162DB4" w:rsidRPr="00737A24" w14:paraId="19451326" w14:textId="77777777" w:rsidTr="00494716">
        <w:trPr>
          <w:trHeight w:val="288"/>
        </w:trPr>
        <w:tc>
          <w:tcPr>
            <w:tcW w:w="2245" w:type="dxa"/>
            <w:shd w:val="clear" w:color="auto" w:fill="auto"/>
            <w:noWrap/>
          </w:tcPr>
          <w:p w14:paraId="5CEA761D" w14:textId="77777777" w:rsidR="00162DB4" w:rsidRPr="00737A24" w:rsidRDefault="00162DB4" w:rsidP="00494716">
            <w:pPr>
              <w:rPr>
                <w:color w:val="0563C1"/>
                <w:szCs w:val="24"/>
                <w:u w:val="single"/>
              </w:rPr>
            </w:pPr>
            <w:r>
              <w:rPr>
                <w:i/>
                <w:szCs w:val="24"/>
              </w:rPr>
              <w:t>Outcome</w:t>
            </w:r>
            <w:r w:rsidRPr="00F00F48">
              <w:rPr>
                <w:i/>
                <w:szCs w:val="24"/>
              </w:rPr>
              <w:t xml:space="preserve"> </w:t>
            </w:r>
            <w:r>
              <w:rPr>
                <w:i/>
                <w:szCs w:val="24"/>
              </w:rPr>
              <w:t>c</w:t>
            </w:r>
            <w:r w:rsidRPr="00F00F48">
              <w:rPr>
                <w:i/>
                <w:szCs w:val="24"/>
              </w:rPr>
              <w:t>ohort</w:t>
            </w:r>
            <w:r>
              <w:rPr>
                <w:i/>
                <w:szCs w:val="24"/>
              </w:rPr>
              <w:t>s</w:t>
            </w:r>
          </w:p>
        </w:tc>
        <w:tc>
          <w:tcPr>
            <w:tcW w:w="7200" w:type="dxa"/>
            <w:shd w:val="clear" w:color="auto" w:fill="auto"/>
            <w:noWrap/>
          </w:tcPr>
          <w:p w14:paraId="29C22D00" w14:textId="77777777" w:rsidR="00162DB4" w:rsidRPr="00737A24" w:rsidRDefault="00162DB4" w:rsidP="00494716">
            <w:pPr>
              <w:rPr>
                <w:color w:val="000000"/>
                <w:szCs w:val="24"/>
              </w:rPr>
            </w:pPr>
          </w:p>
        </w:tc>
      </w:tr>
      <w:tr w:rsidR="00162DB4" w:rsidRPr="00737A24" w14:paraId="6C5BAC07" w14:textId="77777777" w:rsidTr="00494716">
        <w:trPr>
          <w:trHeight w:val="288"/>
        </w:trPr>
        <w:tc>
          <w:tcPr>
            <w:tcW w:w="2245" w:type="dxa"/>
            <w:shd w:val="clear" w:color="auto" w:fill="auto"/>
            <w:noWrap/>
            <w:hideMark/>
          </w:tcPr>
          <w:p w14:paraId="09FC4A7C" w14:textId="77777777" w:rsidR="00162DB4" w:rsidRPr="00737A24" w:rsidRDefault="00E64EBB" w:rsidP="00494716">
            <w:pPr>
              <w:rPr>
                <w:color w:val="0563C1"/>
                <w:szCs w:val="24"/>
                <w:u w:val="single"/>
              </w:rPr>
            </w:pPr>
            <w:hyperlink r:id="rId33" w:anchor="/cohortdefinition/13320" w:tgtFrame="_parent" w:history="1">
              <w:r w:rsidR="00162DB4" w:rsidRPr="00737A24">
                <w:rPr>
                  <w:rStyle w:val="Hyperlink"/>
                  <w:szCs w:val="24"/>
                </w:rPr>
                <w:t>13320</w:t>
              </w:r>
            </w:hyperlink>
          </w:p>
        </w:tc>
        <w:tc>
          <w:tcPr>
            <w:tcW w:w="7200" w:type="dxa"/>
            <w:shd w:val="clear" w:color="auto" w:fill="auto"/>
            <w:noWrap/>
            <w:hideMark/>
          </w:tcPr>
          <w:p w14:paraId="2EC23AEF" w14:textId="1289A595" w:rsidR="00162DB4" w:rsidRPr="00737A24" w:rsidRDefault="00162DB4" w:rsidP="00494716">
            <w:pPr>
              <w:rPr>
                <w:color w:val="000000"/>
                <w:szCs w:val="24"/>
              </w:rPr>
            </w:pPr>
            <w:r w:rsidRPr="00737A24">
              <w:rPr>
                <w:color w:val="000000"/>
                <w:szCs w:val="24"/>
              </w:rPr>
              <w:t>[EPI_720 - O01] Cardiovascular morbidity</w:t>
            </w:r>
            <w:r w:rsidR="00AF63AB">
              <w:rPr>
                <w:color w:val="000000"/>
                <w:szCs w:val="24"/>
              </w:rPr>
              <w:t xml:space="preserve"> </w:t>
            </w:r>
            <w:r w:rsidRPr="00737A24">
              <w:rPr>
                <w:color w:val="000000"/>
                <w:szCs w:val="24"/>
              </w:rPr>
              <w:t>(</w:t>
            </w:r>
            <w:r w:rsidR="00AF63AB">
              <w:rPr>
                <w:color w:val="000000"/>
                <w:szCs w:val="24"/>
              </w:rPr>
              <w:t xml:space="preserve">hospitalization for </w:t>
            </w:r>
            <w:r w:rsidRPr="00737A24">
              <w:rPr>
                <w:color w:val="000000"/>
                <w:szCs w:val="24"/>
              </w:rPr>
              <w:t>ischemic stroke, hemorrhagic stroke, heart failure, acute myocardial infarction or sudden cardiac death)</w:t>
            </w:r>
          </w:p>
        </w:tc>
      </w:tr>
      <w:tr w:rsidR="00162DB4" w:rsidRPr="00737A24" w14:paraId="3B4D2DE8" w14:textId="77777777" w:rsidTr="00494716">
        <w:trPr>
          <w:trHeight w:val="288"/>
        </w:trPr>
        <w:tc>
          <w:tcPr>
            <w:tcW w:w="2245" w:type="dxa"/>
            <w:shd w:val="clear" w:color="auto" w:fill="auto"/>
            <w:noWrap/>
            <w:hideMark/>
          </w:tcPr>
          <w:p w14:paraId="13E37425" w14:textId="77777777" w:rsidR="00162DB4" w:rsidRPr="00737A24" w:rsidRDefault="00E64EBB" w:rsidP="00494716">
            <w:pPr>
              <w:rPr>
                <w:color w:val="0563C1"/>
                <w:szCs w:val="24"/>
                <w:u w:val="single"/>
              </w:rPr>
            </w:pPr>
            <w:hyperlink r:id="rId34" w:anchor="/cohortdefinition/13321" w:tgtFrame="_parent" w:history="1">
              <w:r w:rsidR="00162DB4" w:rsidRPr="00737A24">
                <w:rPr>
                  <w:rStyle w:val="Hyperlink"/>
                  <w:szCs w:val="24"/>
                </w:rPr>
                <w:t>13321</w:t>
              </w:r>
            </w:hyperlink>
          </w:p>
        </w:tc>
        <w:tc>
          <w:tcPr>
            <w:tcW w:w="7200" w:type="dxa"/>
            <w:shd w:val="clear" w:color="auto" w:fill="auto"/>
            <w:noWrap/>
            <w:hideMark/>
          </w:tcPr>
          <w:p w14:paraId="17EB5CA0" w14:textId="06882FC5" w:rsidR="00162DB4" w:rsidRPr="00737A24" w:rsidRDefault="00162DB4" w:rsidP="00494716">
            <w:pPr>
              <w:rPr>
                <w:color w:val="000000"/>
                <w:szCs w:val="24"/>
              </w:rPr>
            </w:pPr>
            <w:r w:rsidRPr="00737A24">
              <w:rPr>
                <w:color w:val="000000"/>
                <w:szCs w:val="24"/>
              </w:rPr>
              <w:t>[EPI_720 - O02] Cardiovascular morbidity - ischemic stroke</w:t>
            </w:r>
            <w:r w:rsidR="00AF63AB">
              <w:rPr>
                <w:color w:val="000000"/>
                <w:szCs w:val="24"/>
              </w:rPr>
              <w:t xml:space="preserve"> hospitalization</w:t>
            </w:r>
          </w:p>
        </w:tc>
      </w:tr>
      <w:tr w:rsidR="00162DB4" w:rsidRPr="00737A24" w14:paraId="0A65F290" w14:textId="77777777" w:rsidTr="00494716">
        <w:trPr>
          <w:trHeight w:val="288"/>
        </w:trPr>
        <w:tc>
          <w:tcPr>
            <w:tcW w:w="2245" w:type="dxa"/>
            <w:shd w:val="clear" w:color="auto" w:fill="auto"/>
            <w:noWrap/>
            <w:hideMark/>
          </w:tcPr>
          <w:p w14:paraId="1AE6F793" w14:textId="77777777" w:rsidR="00162DB4" w:rsidRPr="00737A24" w:rsidRDefault="00E64EBB" w:rsidP="00494716">
            <w:pPr>
              <w:rPr>
                <w:color w:val="0563C1"/>
                <w:szCs w:val="24"/>
                <w:u w:val="single"/>
              </w:rPr>
            </w:pPr>
            <w:hyperlink r:id="rId35" w:anchor="/cohortdefinition/13323" w:tgtFrame="_parent" w:history="1">
              <w:r w:rsidR="00162DB4" w:rsidRPr="00737A24">
                <w:rPr>
                  <w:rStyle w:val="Hyperlink"/>
                  <w:szCs w:val="24"/>
                </w:rPr>
                <w:t>13323</w:t>
              </w:r>
            </w:hyperlink>
          </w:p>
        </w:tc>
        <w:tc>
          <w:tcPr>
            <w:tcW w:w="7200" w:type="dxa"/>
            <w:shd w:val="clear" w:color="auto" w:fill="auto"/>
            <w:noWrap/>
            <w:hideMark/>
          </w:tcPr>
          <w:p w14:paraId="29B47129" w14:textId="7F3605C7" w:rsidR="00162DB4" w:rsidRPr="00737A24" w:rsidRDefault="00162DB4" w:rsidP="00494716">
            <w:pPr>
              <w:rPr>
                <w:color w:val="000000"/>
                <w:szCs w:val="24"/>
              </w:rPr>
            </w:pPr>
            <w:r w:rsidRPr="00737A24">
              <w:rPr>
                <w:color w:val="000000"/>
                <w:szCs w:val="24"/>
              </w:rPr>
              <w:t>[EPI_720 - O03] Cardiovascular morbidity - hemorrhagic stroke</w:t>
            </w:r>
            <w:r w:rsidR="00AF63AB">
              <w:rPr>
                <w:color w:val="000000"/>
                <w:szCs w:val="24"/>
              </w:rPr>
              <w:t xml:space="preserve"> hospitalization</w:t>
            </w:r>
          </w:p>
        </w:tc>
      </w:tr>
      <w:tr w:rsidR="00162DB4" w:rsidRPr="00737A24" w14:paraId="6B211224" w14:textId="77777777" w:rsidTr="00494716">
        <w:trPr>
          <w:trHeight w:val="288"/>
        </w:trPr>
        <w:tc>
          <w:tcPr>
            <w:tcW w:w="2245" w:type="dxa"/>
            <w:shd w:val="clear" w:color="auto" w:fill="auto"/>
            <w:noWrap/>
            <w:hideMark/>
          </w:tcPr>
          <w:p w14:paraId="0417286D" w14:textId="77777777" w:rsidR="00162DB4" w:rsidRPr="00737A24" w:rsidRDefault="00E64EBB" w:rsidP="00494716">
            <w:pPr>
              <w:rPr>
                <w:color w:val="0563C1"/>
                <w:szCs w:val="24"/>
                <w:u w:val="single"/>
              </w:rPr>
            </w:pPr>
            <w:hyperlink r:id="rId36" w:anchor="/cohortdefinition/13324" w:tgtFrame="_parent" w:history="1">
              <w:r w:rsidR="00162DB4" w:rsidRPr="00737A24">
                <w:rPr>
                  <w:rStyle w:val="Hyperlink"/>
                  <w:szCs w:val="24"/>
                </w:rPr>
                <w:t>13324</w:t>
              </w:r>
            </w:hyperlink>
          </w:p>
        </w:tc>
        <w:tc>
          <w:tcPr>
            <w:tcW w:w="7200" w:type="dxa"/>
            <w:shd w:val="clear" w:color="auto" w:fill="auto"/>
            <w:noWrap/>
            <w:hideMark/>
          </w:tcPr>
          <w:p w14:paraId="07769439" w14:textId="1532EE85" w:rsidR="00162DB4" w:rsidRPr="00737A24" w:rsidRDefault="00162DB4" w:rsidP="00494716">
            <w:pPr>
              <w:rPr>
                <w:color w:val="000000"/>
                <w:szCs w:val="24"/>
              </w:rPr>
            </w:pPr>
            <w:r w:rsidRPr="00737A24">
              <w:rPr>
                <w:color w:val="000000"/>
                <w:szCs w:val="24"/>
              </w:rPr>
              <w:t>[EPI_720 - O04] Cardiovascular morbidity - heart failure</w:t>
            </w:r>
            <w:r w:rsidR="00AF63AB">
              <w:rPr>
                <w:color w:val="000000"/>
                <w:szCs w:val="24"/>
              </w:rPr>
              <w:t xml:space="preserve"> hospitalization</w:t>
            </w:r>
          </w:p>
        </w:tc>
      </w:tr>
      <w:tr w:rsidR="00162DB4" w:rsidRPr="00737A24" w14:paraId="76C599A6" w14:textId="77777777" w:rsidTr="00494716">
        <w:trPr>
          <w:trHeight w:val="288"/>
        </w:trPr>
        <w:tc>
          <w:tcPr>
            <w:tcW w:w="2245" w:type="dxa"/>
            <w:shd w:val="clear" w:color="auto" w:fill="auto"/>
            <w:noWrap/>
            <w:hideMark/>
          </w:tcPr>
          <w:p w14:paraId="6EC1DB32" w14:textId="77777777" w:rsidR="00162DB4" w:rsidRPr="00737A24" w:rsidRDefault="00E64EBB" w:rsidP="00494716">
            <w:pPr>
              <w:rPr>
                <w:color w:val="0563C1"/>
                <w:szCs w:val="24"/>
                <w:u w:val="single"/>
              </w:rPr>
            </w:pPr>
            <w:hyperlink r:id="rId37" w:anchor="/cohortdefinition/13325" w:tgtFrame="_parent" w:history="1">
              <w:r w:rsidR="00162DB4" w:rsidRPr="00737A24">
                <w:rPr>
                  <w:rStyle w:val="Hyperlink"/>
                  <w:szCs w:val="24"/>
                </w:rPr>
                <w:t>13325</w:t>
              </w:r>
            </w:hyperlink>
          </w:p>
        </w:tc>
        <w:tc>
          <w:tcPr>
            <w:tcW w:w="7200" w:type="dxa"/>
            <w:shd w:val="clear" w:color="auto" w:fill="auto"/>
            <w:noWrap/>
            <w:hideMark/>
          </w:tcPr>
          <w:p w14:paraId="1E031191" w14:textId="7CAF0A09" w:rsidR="00162DB4" w:rsidRPr="00737A24" w:rsidRDefault="00162DB4" w:rsidP="00494716">
            <w:pPr>
              <w:rPr>
                <w:color w:val="000000"/>
                <w:szCs w:val="24"/>
              </w:rPr>
            </w:pPr>
            <w:r w:rsidRPr="00737A24">
              <w:rPr>
                <w:color w:val="000000"/>
                <w:szCs w:val="24"/>
              </w:rPr>
              <w:t>[EPI_720 - O05] Cardiovascular morbidity - acute myocardial infarction (AMI)</w:t>
            </w:r>
            <w:r w:rsidR="00AF63AB">
              <w:rPr>
                <w:color w:val="000000"/>
                <w:szCs w:val="24"/>
              </w:rPr>
              <w:t xml:space="preserve"> hospitalization</w:t>
            </w:r>
          </w:p>
        </w:tc>
      </w:tr>
      <w:tr w:rsidR="00162DB4" w:rsidRPr="00737A24" w14:paraId="7C74370B" w14:textId="77777777" w:rsidTr="00494716">
        <w:trPr>
          <w:trHeight w:val="288"/>
        </w:trPr>
        <w:tc>
          <w:tcPr>
            <w:tcW w:w="2245" w:type="dxa"/>
            <w:shd w:val="clear" w:color="auto" w:fill="auto"/>
            <w:noWrap/>
            <w:hideMark/>
          </w:tcPr>
          <w:p w14:paraId="15A47B6E" w14:textId="77777777" w:rsidR="00162DB4" w:rsidRPr="00737A24" w:rsidRDefault="00E64EBB" w:rsidP="00494716">
            <w:pPr>
              <w:rPr>
                <w:color w:val="0563C1"/>
                <w:szCs w:val="24"/>
                <w:u w:val="single"/>
              </w:rPr>
            </w:pPr>
            <w:hyperlink r:id="rId38" w:anchor="/cohortdefinition/13326" w:tgtFrame="_parent" w:history="1">
              <w:r w:rsidR="00162DB4" w:rsidRPr="00737A24">
                <w:rPr>
                  <w:rStyle w:val="Hyperlink"/>
                  <w:szCs w:val="24"/>
                </w:rPr>
                <w:t>13326</w:t>
              </w:r>
            </w:hyperlink>
          </w:p>
        </w:tc>
        <w:tc>
          <w:tcPr>
            <w:tcW w:w="7200" w:type="dxa"/>
            <w:shd w:val="clear" w:color="auto" w:fill="auto"/>
            <w:noWrap/>
            <w:hideMark/>
          </w:tcPr>
          <w:p w14:paraId="621FE3D4" w14:textId="45A1F04A" w:rsidR="00162DB4" w:rsidRPr="00737A24" w:rsidRDefault="00162DB4" w:rsidP="00494716">
            <w:pPr>
              <w:rPr>
                <w:color w:val="000000"/>
                <w:szCs w:val="24"/>
              </w:rPr>
            </w:pPr>
            <w:r w:rsidRPr="00737A24">
              <w:rPr>
                <w:color w:val="000000"/>
                <w:szCs w:val="24"/>
              </w:rPr>
              <w:t xml:space="preserve">[EPI_720 - O06] Cardiovascular </w:t>
            </w:r>
            <w:r w:rsidR="00185D93">
              <w:rPr>
                <w:color w:val="000000"/>
                <w:szCs w:val="24"/>
              </w:rPr>
              <w:t>mortality</w:t>
            </w:r>
            <w:r w:rsidR="00185D93" w:rsidRPr="00737A24">
              <w:rPr>
                <w:color w:val="000000"/>
                <w:szCs w:val="24"/>
              </w:rPr>
              <w:t xml:space="preserve"> </w:t>
            </w:r>
            <w:r w:rsidRPr="00737A24">
              <w:rPr>
                <w:color w:val="000000"/>
                <w:szCs w:val="24"/>
              </w:rPr>
              <w:t>- sudden cardiac death</w:t>
            </w:r>
            <w:r w:rsidR="00AF63AB">
              <w:rPr>
                <w:color w:val="000000"/>
                <w:szCs w:val="24"/>
              </w:rPr>
              <w:t xml:space="preserve"> (in-hospital)</w:t>
            </w:r>
          </w:p>
        </w:tc>
      </w:tr>
    </w:tbl>
    <w:p w14:paraId="5A0CB091" w14:textId="7AF5D98D" w:rsidR="00162DB4" w:rsidRDefault="00162DB4" w:rsidP="00922AF2">
      <w:pPr>
        <w:pStyle w:val="BodyText12"/>
        <w:ind w:left="180" w:hanging="180"/>
      </w:pPr>
      <w:r w:rsidRPr="00803080">
        <w:rPr>
          <w:sz w:val="22"/>
        </w:rPr>
        <w:lastRenderedPageBreak/>
        <w:t>* Text descriptions of each cohort and code lists for each concept set can be found using the provided links then selecting the “export” tab and the “Text View” sub-menu.</w:t>
      </w:r>
      <w:r w:rsidR="00453830">
        <w:rPr>
          <w:sz w:val="22"/>
        </w:rPr>
        <w:t xml:space="preserve"> These text descriptions are also available in Annex Document 3 (see Section 15 of this document).</w:t>
      </w:r>
    </w:p>
    <w:p w14:paraId="27BA8943" w14:textId="116247DD" w:rsidR="001D11E0" w:rsidRPr="00B87A8B" w:rsidRDefault="00162DB4" w:rsidP="00922AF2">
      <w:pPr>
        <w:pStyle w:val="Heading2"/>
        <w:rPr>
          <w:rFonts w:ascii="Times New Roman" w:hAnsi="Times New Roman"/>
        </w:rPr>
      </w:pPr>
      <w:bookmarkStart w:id="21" w:name="_Toc35611427"/>
      <w:r w:rsidRPr="00B87A8B">
        <w:rPr>
          <w:rFonts w:ascii="Times New Roman" w:hAnsi="Times New Roman"/>
        </w:rPr>
        <w:t>Outcomes</w:t>
      </w:r>
      <w:r w:rsidR="00375618" w:rsidRPr="00B87A8B">
        <w:rPr>
          <w:rFonts w:ascii="Times New Roman" w:hAnsi="Times New Roman"/>
        </w:rPr>
        <w:t>, F</w:t>
      </w:r>
      <w:r w:rsidRPr="00B87A8B">
        <w:rPr>
          <w:rFonts w:ascii="Times New Roman" w:hAnsi="Times New Roman"/>
        </w:rPr>
        <w:t>ollow-</w:t>
      </w:r>
      <w:r w:rsidR="00375618" w:rsidRPr="00B87A8B">
        <w:rPr>
          <w:rFonts w:ascii="Times New Roman" w:hAnsi="Times New Roman"/>
        </w:rPr>
        <w:t>U</w:t>
      </w:r>
      <w:r w:rsidRPr="00B87A8B">
        <w:rPr>
          <w:rFonts w:ascii="Times New Roman" w:hAnsi="Times New Roman"/>
        </w:rPr>
        <w:t>p</w:t>
      </w:r>
      <w:r w:rsidR="00375618" w:rsidRPr="00B87A8B">
        <w:rPr>
          <w:rFonts w:ascii="Times New Roman" w:hAnsi="Times New Roman"/>
        </w:rPr>
        <w:t>, and Time-at-Risk</w:t>
      </w:r>
      <w:bookmarkEnd w:id="21"/>
    </w:p>
    <w:p w14:paraId="4E5A0D74" w14:textId="40E46585" w:rsidR="00646E61" w:rsidRDefault="032E9864" w:rsidP="00AE2BCB">
      <w:pPr>
        <w:pStyle w:val="BodyText12"/>
      </w:pPr>
      <w:r>
        <w:t xml:space="preserve">Following completion of </w:t>
      </w:r>
      <w:r w:rsidR="7AAB75AB">
        <w:t>a</w:t>
      </w:r>
      <w:r>
        <w:t xml:space="preserve"> feasibility analysis in which we will assess diagnostics to see whether comparisons between </w:t>
      </w:r>
      <w:proofErr w:type="spellStart"/>
      <w:r>
        <w:t>Zytiga</w:t>
      </w:r>
      <w:proofErr w:type="spellEnd"/>
      <w:r>
        <w:t xml:space="preserve"> and </w:t>
      </w:r>
      <w:proofErr w:type="spellStart"/>
      <w:r>
        <w:t>Xtandi</w:t>
      </w:r>
      <w:proofErr w:type="spellEnd"/>
      <w:r>
        <w:t xml:space="preserve"> are</w:t>
      </w:r>
      <w:r w:rsidR="3C6E2950">
        <w:t xml:space="preserve"> possible, w</w:t>
      </w:r>
      <w:r w:rsidR="001D11E0">
        <w:t xml:space="preserve">e </w:t>
      </w:r>
      <w:r w:rsidR="491A788B">
        <w:t xml:space="preserve">will </w:t>
      </w:r>
      <w:r w:rsidR="001D11E0">
        <w:t>compar</w:t>
      </w:r>
      <w:r w:rsidR="00E60D69">
        <w:t>e</w:t>
      </w:r>
      <w:r w:rsidR="001D11E0">
        <w:t xml:space="preserve"> incidence of various outcomes</w:t>
      </w:r>
      <w:r w:rsidR="00AE2BCB">
        <w:t xml:space="preserve"> including ischemic stroke, hemorrhagic stroke, heart failure, acute myocardial infarction, sudden cardiac death, </w:t>
      </w:r>
      <w:r w:rsidR="00922AF2">
        <w:t xml:space="preserve">and </w:t>
      </w:r>
      <w:r w:rsidR="00AE2BCB">
        <w:t>a composite of all of the aforementioned cardiovascular outcomes.</w:t>
      </w:r>
      <w:r w:rsidR="00646E61">
        <w:t xml:space="preserve"> The</w:t>
      </w:r>
      <w:r w:rsidR="3BC5D7B1">
        <w:t xml:space="preserve"> codes used to</w:t>
      </w:r>
      <w:r w:rsidR="00646E61">
        <w:t xml:space="preserve"> define </w:t>
      </w:r>
      <w:r w:rsidR="0BB96511">
        <w:t xml:space="preserve">these outcomes were developed </w:t>
      </w:r>
      <w:r w:rsidR="00646E61">
        <w:t>during a prior research effort which assessed safety outcomes across various comparisons of first-line antihypertensive medications (Suchard 2019).</w:t>
      </w:r>
      <w:r w:rsidR="00AE2BCB">
        <w:t xml:space="preserve"> F</w:t>
      </w:r>
      <w:r w:rsidR="00123B9F">
        <w:t>ollow-up for outcomes beg</w:t>
      </w:r>
      <w:r w:rsidR="0088071B">
        <w:t>i</w:t>
      </w:r>
      <w:r w:rsidR="00123B9F">
        <w:t>n</w:t>
      </w:r>
      <w:r w:rsidR="0088071B">
        <w:t>s</w:t>
      </w:r>
      <w:r w:rsidR="00123B9F">
        <w:t xml:space="preserve"> 30 days after the index date. This </w:t>
      </w:r>
      <w:r w:rsidR="0088071B">
        <w:t xml:space="preserve">is </w:t>
      </w:r>
      <w:r w:rsidR="00123B9F">
        <w:t>intended to reduce the possibility of immortal time bias sin</w:t>
      </w:r>
      <w:r w:rsidR="000D0D36">
        <w:t>c</w:t>
      </w:r>
      <w:r w:rsidR="00123B9F">
        <w:t>e</w:t>
      </w:r>
      <w:r w:rsidR="000D0D36">
        <w:t>,</w:t>
      </w:r>
      <w:r w:rsidR="00123B9F">
        <w:t xml:space="preserve"> to enter the cohort</w:t>
      </w:r>
      <w:r w:rsidR="000D0D36">
        <w:t>,</w:t>
      </w:r>
      <w:r w:rsidR="00123B9F">
        <w:t xml:space="preserve"> abiraterone users were required to have </w:t>
      </w:r>
      <w:r w:rsidR="000D0D36">
        <w:t xml:space="preserve">observed </w:t>
      </w:r>
      <w:proofErr w:type="spellStart"/>
      <w:r w:rsidR="000D0D36">
        <w:t>predniso</w:t>
      </w:r>
      <w:proofErr w:type="spellEnd"/>
      <w:r w:rsidR="000D0D36">
        <w:t>(lo)ne use within 30 days of their index date</w:t>
      </w:r>
      <w:r w:rsidR="004874A5">
        <w:t xml:space="preserve"> and no comparable requirement </w:t>
      </w:r>
      <w:r w:rsidR="0088071B">
        <w:t xml:space="preserve">is </w:t>
      </w:r>
      <w:r w:rsidR="004874A5">
        <w:t xml:space="preserve">applied to the enzalutamide group. </w:t>
      </w:r>
      <w:r w:rsidR="00294DA5">
        <w:t>Additionally,</w:t>
      </w:r>
      <w:r w:rsidR="00673573">
        <w:t xml:space="preserve"> we</w:t>
      </w:r>
      <w:r w:rsidR="00294DA5">
        <w:t xml:space="preserve"> requir</w:t>
      </w:r>
      <w:r w:rsidR="00F32CA7">
        <w:t>e</w:t>
      </w:r>
      <w:r w:rsidR="00294DA5">
        <w:t xml:space="preserve"> that patients </w:t>
      </w:r>
      <w:r w:rsidR="0088071B">
        <w:t xml:space="preserve">have </w:t>
      </w:r>
      <w:r w:rsidR="00294DA5">
        <w:t>at least one day at-risk during follow-up; in other words, we exclude</w:t>
      </w:r>
      <w:r w:rsidR="0088071B">
        <w:t xml:space="preserve"> </w:t>
      </w:r>
      <w:r w:rsidR="00294DA5">
        <w:t xml:space="preserve">any patients who exited the cohort before day 31. This restriction is intended to prevent the analysis from balancing potentially confounding variables in a population that includes patients who </w:t>
      </w:r>
      <w:r w:rsidR="00044390">
        <w:t xml:space="preserve">are </w:t>
      </w:r>
      <w:r w:rsidR="00294DA5">
        <w:t>never eligible to experience the outcome events being compared.</w:t>
      </w:r>
      <w:r w:rsidR="00F92F7C">
        <w:t xml:space="preserve"> </w:t>
      </w:r>
      <w:r w:rsidR="00AF63AB">
        <w:t>We are aware that this</w:t>
      </w:r>
      <w:r w:rsidR="00F92F7C">
        <w:t xml:space="preserve"> design feature limits our ability to study events that occur within </w:t>
      </w:r>
      <w:proofErr w:type="gramStart"/>
      <w:r w:rsidR="00F92F7C">
        <w:t>30  days</w:t>
      </w:r>
      <w:proofErr w:type="gramEnd"/>
      <w:r w:rsidR="00F92F7C">
        <w:t xml:space="preserve"> of treatment initiation. However, we believe that</w:t>
      </w:r>
      <w:r w:rsidR="00AF63AB">
        <w:t xml:space="preserve"> it is necessary to reduce the likelihood of immortal time bias and, furthermore,</w:t>
      </w:r>
      <w:r w:rsidR="00F92F7C">
        <w:t xml:space="preserve"> the short-term safety of these treatments have already been characterized by randomized clinical trials. </w:t>
      </w:r>
    </w:p>
    <w:p w14:paraId="36125524" w14:textId="1D4F3446" w:rsidR="00CC0BE5" w:rsidRDefault="004874A5" w:rsidP="00C32D29">
      <w:pPr>
        <w:pStyle w:val="BodyText12"/>
        <w:contextualSpacing/>
      </w:pPr>
      <w:r>
        <w:t xml:space="preserve">In the intent-to-treat analysis, follow-up time </w:t>
      </w:r>
      <w:r w:rsidR="00044390">
        <w:t xml:space="preserve">is </w:t>
      </w:r>
      <w:r>
        <w:t>only censored if the patient experience</w:t>
      </w:r>
      <w:r w:rsidR="00044390">
        <w:t>s</w:t>
      </w:r>
      <w:r>
        <w:t xml:space="preserve"> the outcome</w:t>
      </w:r>
      <w:r w:rsidR="004201B4">
        <w:t>,</w:t>
      </w:r>
      <w:r w:rsidR="00044390">
        <w:t xml:space="preserve"> </w:t>
      </w:r>
      <w:r w:rsidR="004201B4">
        <w:t>die</w:t>
      </w:r>
      <w:r w:rsidR="00044390">
        <w:t>s</w:t>
      </w:r>
      <w:r w:rsidR="004201B4">
        <w:t>, or</w:t>
      </w:r>
      <w:r w:rsidR="00E60D69">
        <w:t xml:space="preserve"> </w:t>
      </w:r>
      <w:r>
        <w:t>disenroll</w:t>
      </w:r>
      <w:r w:rsidR="00044390">
        <w:t>s</w:t>
      </w:r>
      <w:r>
        <w:t xml:space="preserve"> from the database. </w:t>
      </w:r>
      <w:r w:rsidR="00CC0BE5">
        <w:t>For the as-treated analysis, we</w:t>
      </w:r>
      <w:r>
        <w:t xml:space="preserve"> also</w:t>
      </w:r>
      <w:r w:rsidR="00CC0BE5">
        <w:t xml:space="preserve"> censor follow-up time when patients discontinue use of the study drug</w:t>
      </w:r>
      <w:r w:rsidR="00ED7FE6">
        <w:t>s</w:t>
      </w:r>
      <w:r w:rsidR="00CC0BE5">
        <w:t xml:space="preserve"> (i.e. either abiraterone or enzalutamide</w:t>
      </w:r>
      <w:r w:rsidR="00ED7FE6">
        <w:t>), both of which are daily oral medications</w:t>
      </w:r>
      <w:r w:rsidR="008841D9">
        <w:t>.</w:t>
      </w:r>
      <w:r w:rsidR="00044390">
        <w:t xml:space="preserve"> </w:t>
      </w:r>
      <w:r w:rsidR="008841D9">
        <w:t xml:space="preserve">To do so, we use the available </w:t>
      </w:r>
      <w:r w:rsidR="00ED7FE6">
        <w:t xml:space="preserve">prescribing data that accompanies pharmacy claims recorded in administrative claims data (pill count, </w:t>
      </w:r>
      <w:proofErr w:type="spellStart"/>
      <w:r w:rsidR="00ED7FE6">
        <w:t>days</w:t>
      </w:r>
      <w:proofErr w:type="spellEnd"/>
      <w:r w:rsidR="00ED7FE6">
        <w:t xml:space="preserve"> supply, number of refills). </w:t>
      </w:r>
      <w:r w:rsidR="00CC0BE5">
        <w:t xml:space="preserve">We define patients as having discontinued use when greater than 30 days </w:t>
      </w:r>
      <w:r w:rsidR="00044390">
        <w:t xml:space="preserve">is </w:t>
      </w:r>
      <w:r w:rsidR="00CC0BE5">
        <w:t xml:space="preserve">observed where the patient would be expected to have no </w:t>
      </w:r>
      <w:r w:rsidR="00123B9F">
        <w:t xml:space="preserve">supply of the study drug.  For example, a patient whose last observed abiraterone prescription </w:t>
      </w:r>
      <w:r w:rsidR="00044390">
        <w:t xml:space="preserve">has </w:t>
      </w:r>
      <w:r w:rsidR="00123B9F">
        <w:t xml:space="preserve">a </w:t>
      </w:r>
      <w:proofErr w:type="spellStart"/>
      <w:proofErr w:type="gramStart"/>
      <w:r w:rsidR="00123B9F">
        <w:t>days</w:t>
      </w:r>
      <w:proofErr w:type="spellEnd"/>
      <w:proofErr w:type="gramEnd"/>
      <w:r w:rsidR="00123B9F">
        <w:t xml:space="preserve"> supply of 20 would be censored on day 50. It is important to note that while abiraterone is indicated for concomitant use with </w:t>
      </w:r>
      <w:proofErr w:type="spellStart"/>
      <w:r w:rsidR="00123B9F">
        <w:t>predniso</w:t>
      </w:r>
      <w:proofErr w:type="spellEnd"/>
      <w:r w:rsidR="00123B9F">
        <w:t xml:space="preserve">(lo)ne, we </w:t>
      </w:r>
      <w:r w:rsidR="00044390">
        <w:t xml:space="preserve">do </w:t>
      </w:r>
      <w:r w:rsidR="00123B9F">
        <w:t xml:space="preserve">not censor patients if we failed to observe continuous use of </w:t>
      </w:r>
      <w:proofErr w:type="spellStart"/>
      <w:r w:rsidR="00123B9F">
        <w:t>predniso</w:t>
      </w:r>
      <w:proofErr w:type="spellEnd"/>
      <w:r w:rsidR="00123B9F">
        <w:t xml:space="preserve">(lo)ne. Since cheap generic forms of </w:t>
      </w:r>
      <w:proofErr w:type="spellStart"/>
      <w:r w:rsidR="00123B9F">
        <w:t>predniso</w:t>
      </w:r>
      <w:proofErr w:type="spellEnd"/>
      <w:r w:rsidR="00123B9F">
        <w:t xml:space="preserve">(lo)ne are available, it is likely that patients could continue to use it even if we do not observe it in our data (e.g. if they paid for their </w:t>
      </w:r>
      <w:proofErr w:type="spellStart"/>
      <w:r w:rsidR="00123B9F">
        <w:t>predniso</w:t>
      </w:r>
      <w:proofErr w:type="spellEnd"/>
      <w:r w:rsidR="00123B9F">
        <w:t xml:space="preserve">(lo)ne prescription in cash). </w:t>
      </w:r>
    </w:p>
    <w:p w14:paraId="2DDBBDFF" w14:textId="6214B7E7" w:rsidR="000D0D36" w:rsidRDefault="000D0D36" w:rsidP="00CC0BE5">
      <w:pPr>
        <w:pStyle w:val="BodyText12"/>
        <w:contextualSpacing/>
      </w:pPr>
    </w:p>
    <w:p w14:paraId="1C024CF6" w14:textId="68D7EB4B" w:rsidR="00375618" w:rsidRDefault="004874A5" w:rsidP="00922AF2">
      <w:pPr>
        <w:pStyle w:val="BodyText12"/>
      </w:pPr>
      <w:r>
        <w:t xml:space="preserve">Failure to censor follow-up in the case of treatment switching can bias results towards the null which would be particularly problematic in this study since bias towards the null has the potential to limit our ability to recognize important safety events. </w:t>
      </w:r>
      <w:r w:rsidR="00F41A74">
        <w:t xml:space="preserve">In all analyses, patients </w:t>
      </w:r>
      <w:r w:rsidR="00044390">
        <w:t xml:space="preserve">are </w:t>
      </w:r>
      <w:r w:rsidR="00F41A74">
        <w:t xml:space="preserve">not allowed to have overlapping follow-up time in the two cohorts being compared. We conduct three analyses that </w:t>
      </w:r>
      <w:r w:rsidR="00044390">
        <w:t xml:space="preserve">vary </w:t>
      </w:r>
      <w:r w:rsidR="00F41A74">
        <w:t xml:space="preserve">analytic choices about how to treat patients who </w:t>
      </w:r>
      <w:r w:rsidR="00044390">
        <w:t xml:space="preserve">appear </w:t>
      </w:r>
      <w:r w:rsidR="00F41A74">
        <w:t>in both exposure cohorts.</w:t>
      </w:r>
      <w:r w:rsidR="00BE467D">
        <w:t xml:space="preserve"> To be clear, the analyses varying these analytic choices are distinct from the analyses that vary censoring of follow-up based on as-treated vs. intent-to-treat designs.</w:t>
      </w:r>
      <w:r w:rsidR="00F41A74">
        <w:t xml:space="preserve"> In the </w:t>
      </w:r>
      <w:r w:rsidR="00BE467D">
        <w:t xml:space="preserve">first </w:t>
      </w:r>
      <w:r w:rsidR="00F41A74">
        <w:t xml:space="preserve">analysis, we </w:t>
      </w:r>
      <w:r w:rsidR="00044390">
        <w:t xml:space="preserve">keep </w:t>
      </w:r>
      <w:r w:rsidR="00F41A74">
        <w:t xml:space="preserve">only the </w:t>
      </w:r>
      <w:r w:rsidR="00F41A74">
        <w:lastRenderedPageBreak/>
        <w:t xml:space="preserve">first observed exposure such that patients who entered one exposure cohort </w:t>
      </w:r>
      <w:r w:rsidR="00044390">
        <w:t xml:space="preserve">are </w:t>
      </w:r>
      <w:r w:rsidR="00F41A74">
        <w:t xml:space="preserve">never eligible to enter the other exposure cohort. In a </w:t>
      </w:r>
      <w:r w:rsidR="00BE467D">
        <w:t xml:space="preserve">separate </w:t>
      </w:r>
      <w:r w:rsidR="00F41A74">
        <w:t>analysis, we allow patients to appear in both exposure cohorts, but censor follow-up time if at any point the patient enter</w:t>
      </w:r>
      <w:r w:rsidR="00BE467D">
        <w:t>s</w:t>
      </w:r>
      <w:r w:rsidR="00F41A74">
        <w:t xml:space="preserve"> the other exposure cohort.</w:t>
      </w:r>
      <w:r w:rsidR="006B3733">
        <w:t xml:space="preserve"> </w:t>
      </w:r>
      <w:r w:rsidR="00AE2BCB">
        <w:t xml:space="preserve">This </w:t>
      </w:r>
      <w:r w:rsidR="00BE467D">
        <w:t xml:space="preserve">approach </w:t>
      </w:r>
      <w:r w:rsidR="00044390">
        <w:t xml:space="preserve">is </w:t>
      </w:r>
      <w:r w:rsidR="00AE2BCB">
        <w:t>only applied for as-treated analys</w:t>
      </w:r>
      <w:r w:rsidR="00EF61CE">
        <w:t>es</w:t>
      </w:r>
      <w:r w:rsidR="00AE2BCB">
        <w:t xml:space="preserve"> since, in the intent-to-treat analysis</w:t>
      </w:r>
      <w:r w:rsidR="00044390">
        <w:t>,</w:t>
      </w:r>
      <w:r w:rsidR="00EF61CE">
        <w:t xml:space="preserve"> we follow-up until the end of available database time and allowing patients to appear in both exposure groups </w:t>
      </w:r>
      <w:r w:rsidR="00044390">
        <w:t>allows</w:t>
      </w:r>
      <w:r w:rsidR="00EF61CE">
        <w:t xml:space="preserve"> patients to have overlapping follow-up time in the two exposure cohorts.</w:t>
      </w:r>
      <w:r w:rsidR="00AE2BCB">
        <w:t xml:space="preserve"> </w:t>
      </w:r>
      <w:r w:rsidR="006B3733">
        <w:t xml:space="preserve">In another analysis, patients who appear in both exposure cohorts </w:t>
      </w:r>
      <w:r w:rsidR="00044390">
        <w:t xml:space="preserve">are </w:t>
      </w:r>
      <w:r w:rsidR="006B3733">
        <w:t xml:space="preserve">removed from </w:t>
      </w:r>
      <w:r w:rsidR="00EF61CE">
        <w:t xml:space="preserve">the analysis </w:t>
      </w:r>
      <w:r w:rsidR="006B3733">
        <w:t xml:space="preserve">entirely. It is important to </w:t>
      </w:r>
      <w:r w:rsidR="00685402">
        <w:t>emphasize</w:t>
      </w:r>
      <w:r w:rsidR="006B3733">
        <w:t xml:space="preserve"> that</w:t>
      </w:r>
      <w:r w:rsidR="00EF61CE">
        <w:t xml:space="preserve"> with this </w:t>
      </w:r>
      <w:proofErr w:type="gramStart"/>
      <w:r w:rsidR="00EF61CE">
        <w:t>design</w:t>
      </w:r>
      <w:r w:rsidR="006B3733">
        <w:t>,</w:t>
      </w:r>
      <w:proofErr w:type="gramEnd"/>
      <w:r w:rsidR="006B3733">
        <w:t xml:space="preserve"> cohort entry may be conditioned on events that take place in the future (i.e. whether or not they later went on to initiate the alternate exposure). Conditioning cohort entry on events that occur during follow-up can produce bias. As an illustrative example, it could be the case that such an exclusion increases observed mortality rate</w:t>
      </w:r>
      <w:r w:rsidR="00162DB4">
        <w:t xml:space="preserve">. This is because </w:t>
      </w:r>
      <w:r w:rsidR="006B3733">
        <w:t>patients who do not die are more likely to be included</w:t>
      </w:r>
      <w:r w:rsidR="00162DB4">
        <w:t xml:space="preserve"> because </w:t>
      </w:r>
      <w:r w:rsidR="006B3733">
        <w:t>they must live long enough to initiate the alternate exposure</w:t>
      </w:r>
      <w:r w:rsidR="0083524C">
        <w:t>.</w:t>
      </w:r>
    </w:p>
    <w:p w14:paraId="7004CD0B" w14:textId="0A593F6F" w:rsidR="00A40427" w:rsidRPr="00922AF2" w:rsidRDefault="00A40427" w:rsidP="00922AF2">
      <w:pPr>
        <w:pStyle w:val="Heading2"/>
        <w:numPr>
          <w:ilvl w:val="1"/>
          <w:numId w:val="11"/>
        </w:numPr>
        <w:tabs>
          <w:tab w:val="clear" w:pos="821"/>
        </w:tabs>
        <w:ind w:left="720" w:hanging="720"/>
        <w:rPr>
          <w:rFonts w:ascii="Times New Roman" w:hAnsi="Times New Roman"/>
          <w:sz w:val="28"/>
          <w:szCs w:val="28"/>
        </w:rPr>
      </w:pPr>
      <w:bookmarkStart w:id="22" w:name="_Toc24632057"/>
      <w:bookmarkStart w:id="23" w:name="_Toc35611428"/>
      <w:r w:rsidRPr="00922AF2">
        <w:rPr>
          <w:rFonts w:ascii="Times New Roman" w:hAnsi="Times New Roman"/>
          <w:sz w:val="28"/>
          <w:szCs w:val="28"/>
        </w:rPr>
        <w:t>Negative and Positive Control Outcomes</w:t>
      </w:r>
      <w:bookmarkEnd w:id="22"/>
      <w:bookmarkEnd w:id="23"/>
    </w:p>
    <w:p w14:paraId="033B14A3" w14:textId="3E6A9B8D" w:rsidR="00A40427" w:rsidRDefault="00A40427" w:rsidP="00A40427">
      <w:pPr>
        <w:pStyle w:val="BodyText12"/>
      </w:pPr>
      <w:r w:rsidRPr="00013AE8">
        <w:t>Negative control outcomes,</w:t>
      </w:r>
      <w:r>
        <w:t xml:space="preserve"> i.e.,</w:t>
      </w:r>
      <w:r w:rsidRPr="00013AE8">
        <w:t xml:space="preserve"> outcomes known not to be causally associated with any of the exposure cohorts </w:t>
      </w:r>
      <w:r w:rsidRPr="00013AE8">
        <w:fldChar w:fldCharType="begin"/>
      </w:r>
      <w:r>
        <w:instrText xml:space="preserve"> ADDIN EN.CITE &lt;EndNote&gt;&lt;Cite&gt;&lt;Author&gt;Ryan&lt;/Author&gt;&lt;Year&gt;2013&lt;/Year&gt;&lt;RecNum&gt;52&lt;/RecNum&gt;&lt;DisplayText&gt;[2]&lt;/DisplayText&gt;&lt;record&gt;&lt;rec-number&gt;52&lt;/rec-number&gt;&lt;foreign-keys&gt;&lt;key app="EN" db-id="9vvdz25toftepped2vkxs9epsdzxspsdz5xr" timestamp="1526676983"&gt;52&lt;/key&gt;&lt;/foreign-keys&gt;&lt;ref-type name="Journal Article"&gt;17&lt;/ref-type&gt;&lt;contributors&gt;&lt;authors&gt;&lt;author&gt;Ryan, P. B.&lt;/author&gt;&lt;author&gt;Schuemie, M. J.&lt;/author&gt;&lt;author&gt;Welebob, E.&lt;/author&gt;&lt;author&gt;Duke, J.&lt;/author&gt;&lt;author&gt;Valentine, S.&lt;/author&gt;&lt;author&gt;Hartzema, A. G.&lt;/author&gt;&lt;/authors&gt;&lt;/contributors&gt;&lt;auth-address&gt;Janssen Research and Development LLC, 1125 Trenton-Harbourton Road, Room K30205, PO Box 200, Titusville, NJ, 08560, USA, ryan@omop.org.&lt;/auth-address&gt;&lt;titles&gt;&lt;title&gt;Defining a reference set to support methodological research in drug safety&lt;/title&gt;&lt;secondary-title&gt;Drug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safety&lt;/abbr-1&gt;&lt;/alt-periodical&gt;&lt;pages&gt;S33-47&lt;/pages&gt;&lt;volume&gt;36 Suppl 1&lt;/volume&gt;&lt;edition&gt;2013/11/06&lt;/edition&gt;&lt;keywords&gt;&lt;keyword&gt;Acute Kidney Injury/chemically induced&lt;/keyword&gt;&lt;keyword&gt;Chemical and Drug Induced Liver Injury/diagnosis&lt;/keyword&gt;&lt;keyword&gt;Drug-Related Side Effects and Adverse Reactions/*diagnosis&lt;/keyword&gt;&lt;keyword&gt;Gastrointestinal Hemorrhage/chemically induced&lt;/keyword&gt;&lt;keyword&gt;Humans&lt;/keyword&gt;&lt;keyword&gt;Myocardial Infarction/chemically induced&lt;/keyword&gt;&lt;keyword&gt;Research Design/*standards&lt;/keyword&gt;&lt;/keywords&gt;&lt;dates&gt;&lt;year&gt;2013&lt;/year&gt;&lt;pub-dates&gt;&lt;date&gt;Oct&lt;/date&gt;&lt;/pub-dates&gt;&lt;/dates&gt;&lt;isbn&gt;0114-5916&lt;/isbn&gt;&lt;accession-num&gt;24166222&lt;/accession-num&gt;&lt;urls&gt;&lt;/urls&gt;&lt;electronic-resource-num&gt;10.1007/s40264-013-0097-8&lt;/electronic-resource-num&gt;&lt;remote-database-provider&gt;NLM&lt;/remote-database-provider&gt;&lt;language&gt;eng&lt;/language&gt;&lt;/record&gt;&lt;/Cite&gt;&lt;/EndNote&gt;</w:instrText>
      </w:r>
      <w:r w:rsidRPr="00013AE8">
        <w:fldChar w:fldCharType="separate"/>
      </w:r>
      <w:r>
        <w:rPr>
          <w:noProof/>
        </w:rPr>
        <w:t>[2]</w:t>
      </w:r>
      <w:r w:rsidRPr="00013AE8">
        <w:fldChar w:fldCharType="end"/>
      </w:r>
      <w:r w:rsidRPr="00013AE8">
        <w:t xml:space="preserve">, </w:t>
      </w:r>
      <w:r>
        <w:t>w</w:t>
      </w:r>
      <w:r w:rsidR="7F39EDAA">
        <w:t>ill be</w:t>
      </w:r>
      <w:r w:rsidRPr="00013AE8">
        <w:t xml:space="preserve"> used for empirical calibration </w:t>
      </w:r>
      <w:r w:rsidRPr="00013AE8">
        <w:fldChar w:fldCharType="begin">
          <w:fldData xml:space="preserve">PEVuZE5vdGU+PENpdGU+PEF1dGhvcj5TY2h1ZW1pZTwvQXV0aG9yPjxZZWFyPjIwMTg8L1llYXI+
PFJlY051bT40NzwvUmVjTnVtPjxEaXNwbGF5VGV4dD5bMywgNF08L0Rpc3BsYXlUZXh0PjxyZWNv
cmQ+PHJlYy1udW1iZXI+NDc8L3JlYy1udW1iZXI+PGZvcmVpZ24ta2V5cz48a2V5IGFwcD0iRU4i
IGRiLWlkPSI5dnZkejI1dG9mdGVwcGVkMnZreHM5ZXBzZHp4c3BzZHo1eHIiIHRpbWVzdGFtcD0i
MTUyNjY2NzgxOSI+NDc8L2tleT48L2ZvcmVpZ24ta2V5cz48cmVmLXR5cGUgbmFtZT0iSm91cm5h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bWJlcj48ZWRpdGlvbj4yMDE4LzAzLzE0PC9lZGl0aW9uPjxrZXl3b3Jkcz48a2V5d29yZD5jYWxp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</w:fldData>
        </w:fldChar>
      </w:r>
      <w:r>
        <w:instrText xml:space="preserve"> ADDIN EN.CITE </w:instrText>
      </w:r>
      <w:r>
        <w:fldChar w:fldCharType="begin">
          <w:fldData xml:space="preserve">PEVuZE5vdGU+PENpdGU+PEF1dGhvcj5TY2h1ZW1pZTwvQXV0aG9yPjxZZWFyPjIwMTg8L1llYXI+
PFJlY051bT40NzwvUmVjTnVtPjxEaXNwbGF5VGV4dD5bMywgNF08L0Rpc3BsYXlUZXh0PjxyZWNv
cmQ+PHJlYy1udW1iZXI+NDc8L3JlYy1udW1iZXI+PGZvcmVpZ24ta2V5cz48a2V5IGFwcD0iRU4i
IGRiLWlkPSI5dnZkejI1dG9mdGVwcGVkMnZreHM5ZXBzZHp4c3BzZHo1eHIiIHRpbWVzdGFtcD0i
MTUyNjY2NzgxOSI+NDc8L2tleT48L2ZvcmVpZ24ta2V5cz48cmVmLXR5cGUgbmFtZT0iSm91cm5h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bWJlcj48ZWRpdGlvbj4yMDE4LzAzLzE0PC9lZGl0aW9uPjxrZXl3b3Jkcz48a2V5d29yZD5jYWxp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</w:fldData>
        </w:fldChar>
      </w:r>
      <w:r>
        <w:instrText xml:space="preserve"> ADDIN EN.CITE.DATA </w:instrText>
      </w:r>
      <w:r>
        <w:fldChar w:fldCharType="end"/>
      </w:r>
      <w:r w:rsidRPr="00013AE8">
        <w:fldChar w:fldCharType="separate"/>
      </w:r>
      <w:r>
        <w:rPr>
          <w:noProof/>
        </w:rPr>
        <w:t>[3, 4]</w:t>
      </w:r>
      <w:r w:rsidRPr="00013AE8">
        <w:fldChar w:fldCharType="end"/>
      </w:r>
      <w:r w:rsidRPr="00013AE8">
        <w:t xml:space="preserve">. Conditions must meet the following requirements to be considered as negative controls </w:t>
      </w:r>
      <w:r w:rsidRPr="00013AE8">
        <w:fldChar w:fldCharType="begin">
          <w:fldData xml:space="preserve">PEVuZE5vdGU+PENpdGU+PEF1dGhvcj5Wb3NzPC9BdXRob3I+PFllYXI+MjAxNzwvWWVhcj48UmVj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=
</w:fldData>
        </w:fldChar>
      </w:r>
      <w:r>
        <w:instrText xml:space="preserve"> ADDIN EN.CITE </w:instrText>
      </w:r>
      <w:r>
        <w:fldChar w:fldCharType="begin">
          <w:fldData xml:space="preserve">PEVuZE5vdGU+PENpdGU+PEF1dGhvcj5Wb3NzPC9BdXRob3I+PFllYXI+MjAxNzwvWWVhcj48UmVj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=
</w:fldData>
        </w:fldChar>
      </w:r>
      <w:r>
        <w:instrText xml:space="preserve"> ADDIN EN.CITE.DATA </w:instrText>
      </w:r>
      <w:r>
        <w:fldChar w:fldCharType="end"/>
      </w:r>
      <w:r w:rsidRPr="00013AE8">
        <w:fldChar w:fldCharType="separate"/>
      </w:r>
      <w:r>
        <w:rPr>
          <w:noProof/>
        </w:rPr>
        <w:t>[5]</w:t>
      </w:r>
      <w:r w:rsidRPr="00013AE8">
        <w:fldChar w:fldCharType="end"/>
      </w:r>
      <w:r w:rsidRPr="00013AE8">
        <w:t xml:space="preserve">: (1) have no </w:t>
      </w:r>
      <w:r>
        <w:t xml:space="preserve">known </w:t>
      </w:r>
      <w:r w:rsidRPr="00013AE8">
        <w:t>drug-condition association</w:t>
      </w:r>
      <w:r>
        <w:t xml:space="preserve"> in </w:t>
      </w:r>
      <w:r w:rsidRPr="00013AE8">
        <w:t xml:space="preserve">published literature </w:t>
      </w:r>
      <w:r>
        <w:t xml:space="preserve">with any study exposure </w:t>
      </w:r>
      <w:r w:rsidRPr="00013AE8">
        <w:t xml:space="preserve"> (2) not </w:t>
      </w:r>
      <w:r>
        <w:t>listed</w:t>
      </w:r>
      <w:r w:rsidRPr="00013AE8">
        <w:t xml:space="preserve"> in the “Adverse Drug Reactions” or “Post-marketing” section</w:t>
      </w:r>
      <w:r w:rsidRPr="00C543F5">
        <w:t xml:space="preserve"> </w:t>
      </w:r>
      <w:r>
        <w:t>in</w:t>
      </w:r>
      <w:r w:rsidRPr="00013AE8">
        <w:t xml:space="preserve"> the US product label</w:t>
      </w:r>
      <w:r>
        <w:t>,</w:t>
      </w:r>
      <w:r w:rsidRPr="00013AE8">
        <w:t xml:space="preserve"> (3) not considered a FAERS signal [4], (4) have no indication or contraindication listed in the OMOP Vocabulary for the </w:t>
      </w:r>
      <w:r>
        <w:t xml:space="preserve">drug-condition </w:t>
      </w:r>
      <w:r w:rsidRPr="00013AE8">
        <w:t xml:space="preserve">pair, (5) are not </w:t>
      </w:r>
      <w:r>
        <w:t>general</w:t>
      </w:r>
      <w:r w:rsidRPr="00013AE8">
        <w:t xml:space="preserve"> concepts</w:t>
      </w:r>
      <w:r>
        <w:t xml:space="preserve"> (e.g. finding of trunk)</w:t>
      </w:r>
      <w:r w:rsidRPr="00013AE8">
        <w:t xml:space="preserve">, (6) are not considered a drug induced concept, or (7) not considered a pregnancy related concept. </w:t>
      </w:r>
    </w:p>
    <w:p w14:paraId="0C936B96" w14:textId="5A8A537A" w:rsidR="00A40427" w:rsidRDefault="00A40427" w:rsidP="00A40427">
      <w:pPr>
        <w:pStyle w:val="BodyText12"/>
        <w:rPr>
          <w:rFonts w:ascii="TimesNewRoman" w:hAnsi="TimesNewRoman" w:cs="TimesNewRoman"/>
        </w:rPr>
      </w:pPr>
      <w:r w:rsidRPr="00013AE8">
        <w:t xml:space="preserve">The same analysis </w:t>
      </w:r>
      <w:r>
        <w:t xml:space="preserve">that </w:t>
      </w:r>
      <w:r w:rsidR="00044390">
        <w:t xml:space="preserve">is </w:t>
      </w:r>
      <w:r w:rsidRPr="00013AE8">
        <w:t xml:space="preserve">performed for each pairwise comparison to assess the risk of </w:t>
      </w:r>
      <w:r>
        <w:t>SUB (see Sections 9.3, 9.4, 9.5)</w:t>
      </w:r>
      <w:r w:rsidRPr="00013AE8">
        <w:t xml:space="preserve"> </w:t>
      </w:r>
      <w:r w:rsidR="00044390">
        <w:t xml:space="preserve">is </w:t>
      </w:r>
      <w:r>
        <w:t>also</w:t>
      </w:r>
      <w:r w:rsidRPr="00013AE8">
        <w:t xml:space="preserve"> performed to assess the risk of each negative control outcome. Because </w:t>
      </w:r>
      <w:r>
        <w:t xml:space="preserve">the negative control qualifying criteria support </w:t>
      </w:r>
      <w:r w:rsidRPr="00013AE8">
        <w:t xml:space="preserve">the </w:t>
      </w:r>
      <w:r w:rsidRPr="00021727">
        <w:rPr>
          <w:i/>
        </w:rPr>
        <w:t>a priori</w:t>
      </w:r>
      <w:r w:rsidRPr="00013AE8">
        <w:t xml:space="preserve"> assertion of no effect, we assume the true relative risk</w:t>
      </w:r>
      <w:r>
        <w:t xml:space="preserve"> (RR)</w:t>
      </w:r>
      <w:r w:rsidRPr="00013AE8">
        <w:t xml:space="preserve"> for each negative control outcome is 1, and the </w:t>
      </w:r>
      <w:r>
        <w:t>difference</w:t>
      </w:r>
      <w:r w:rsidRPr="00013AE8">
        <w:t xml:space="preserve"> between RR=1 and the observed effect estimate </w:t>
      </w:r>
      <w:r>
        <w:t>is</w:t>
      </w:r>
      <w:r w:rsidRPr="00013AE8">
        <w:t xml:space="preserve"> considered error</w:t>
      </w:r>
      <w:r>
        <w:t>, encompassing both random and potentially systematic</w:t>
      </w:r>
      <w:r w:rsidRPr="00013AE8">
        <w:t xml:space="preserve">. </w:t>
      </w:r>
    </w:p>
    <w:p w14:paraId="0E932015" w14:textId="0A1FBDA0" w:rsidR="00A40427" w:rsidRDefault="00A40427" w:rsidP="00A40427">
      <w:pPr>
        <w:pStyle w:val="BodyText12"/>
        <w:rPr>
          <w:rFonts w:ascii="TimesNewRoman" w:hAnsi="TimesNewRoman" w:cs="TimesNewRoman"/>
        </w:rPr>
      </w:pPr>
      <w:r>
        <w:t xml:space="preserve">In addition to negative control outcomes, we also generate and include synthetic positive control outcomes. Positive control outcomes </w:t>
      </w:r>
      <w:r w:rsidR="00044390">
        <w:t xml:space="preserve">are </w:t>
      </w:r>
      <w:r>
        <w:t xml:space="preserve">developed on the basis the observed negative controls, but where the true effect size is artificially increased to a desired effect size by injection of additional, simulated outcomes </w:t>
      </w:r>
      <w:r>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 </w:instrText>
      </w:r>
      <w:r>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EN.CITE.DATA </w:instrText>
      </w:r>
      <w:r>
        <w:fldChar w:fldCharType="end"/>
      </w:r>
      <w:r>
        <w:fldChar w:fldCharType="separate"/>
      </w:r>
      <w:r>
        <w:rPr>
          <w:noProof/>
        </w:rPr>
        <w:t>[3]</w:t>
      </w:r>
      <w:r>
        <w:fldChar w:fldCharType="end"/>
      </w:r>
      <w:r>
        <w:t xml:space="preserve">. To preserve confounding, these additional outcomes are sampled from predicted probabilities generated using a predictive model fit to identify patients </w:t>
      </w:r>
      <w:proofErr w:type="gramStart"/>
      <w:r>
        <w:t>similar to</w:t>
      </w:r>
      <w:proofErr w:type="gramEnd"/>
      <w:r>
        <w:t xml:space="preserve"> those with observed negative control outcomes during the study time-at-risk. Synthetic positive control outcomes </w:t>
      </w:r>
      <w:r w:rsidR="00044390">
        <w:t>are</w:t>
      </w:r>
      <w:r>
        <w:t xml:space="preserve"> differentially inserted among target patients to artificially create positive control outcomes with true relative risks of 1.5, 2, and 4.</w:t>
      </w:r>
      <w:r w:rsidRPr="00D559D5">
        <w:t xml:space="preserve"> </w:t>
      </w:r>
      <w:r>
        <w:t xml:space="preserve">Using both negative and positive controls, we fit a systematic error model and with which we calibrated the hazard ratio, confidence interval, and p-value to account for residual error not addressed by other methods for confounding </w:t>
      </w:r>
      <w:r w:rsidRPr="00013AE8">
        <w:t xml:space="preserve">control (i.e. propensity score adjustment) </w:t>
      </w:r>
      <w:r w:rsidRPr="00013AE8">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 </w:instrText>
      </w:r>
      <w:r>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EN.CITE.DATA </w:instrText>
      </w:r>
      <w:r>
        <w:fldChar w:fldCharType="end"/>
      </w:r>
      <w:r w:rsidRPr="00013AE8">
        <w:fldChar w:fldCharType="separate"/>
      </w:r>
      <w:r>
        <w:rPr>
          <w:noProof/>
        </w:rPr>
        <w:t>[3]</w:t>
      </w:r>
      <w:r w:rsidRPr="00013AE8">
        <w:fldChar w:fldCharType="end"/>
      </w:r>
      <w:r w:rsidRPr="00013AE8">
        <w:t>.</w:t>
      </w:r>
      <w:r>
        <w:t xml:space="preserve"> </w:t>
      </w:r>
      <w:r w:rsidRPr="00013AE8">
        <w:t xml:space="preserve">The </w:t>
      </w:r>
      <w:r w:rsidR="00BE467D">
        <w:t xml:space="preserve">124 </w:t>
      </w:r>
      <w:r w:rsidRPr="00013AE8">
        <w:t xml:space="preserve">negative control outcomes used in this study are listed in the Table </w:t>
      </w:r>
      <w:r w:rsidR="003D4A31">
        <w:t>3</w:t>
      </w:r>
      <w:r w:rsidR="002A6328">
        <w:t xml:space="preserve"> </w:t>
      </w:r>
      <w:r w:rsidRPr="00013AE8">
        <w:t>below.</w:t>
      </w:r>
    </w:p>
    <w:p w14:paraId="0D8B5D68" w14:textId="4FB86B2D" w:rsidR="00BE467D" w:rsidRDefault="00A40427" w:rsidP="005C3FBA">
      <w:pPr>
        <w:pStyle w:val="BodyText12"/>
      </w:pPr>
      <w:r w:rsidRPr="00922AF2">
        <w:rPr>
          <w:b/>
          <w:sz w:val="22"/>
        </w:rPr>
        <w:lastRenderedPageBreak/>
        <w:t xml:space="preserve">Table </w:t>
      </w:r>
      <w:r w:rsidR="003D4A31">
        <w:rPr>
          <w:b/>
          <w:sz w:val="22"/>
        </w:rPr>
        <w:t>3</w:t>
      </w:r>
      <w:r w:rsidRPr="00922AF2">
        <w:rPr>
          <w:b/>
          <w:sz w:val="22"/>
        </w:rPr>
        <w:t>.</w:t>
      </w:r>
      <w:r>
        <w:rPr>
          <w:sz w:val="22"/>
        </w:rPr>
        <w:t xml:space="preserve"> 1</w:t>
      </w:r>
      <w:r w:rsidR="00BE467D">
        <w:rPr>
          <w:sz w:val="22"/>
        </w:rPr>
        <w:t>24</w:t>
      </w:r>
      <w:r>
        <w:rPr>
          <w:sz w:val="22"/>
        </w:rPr>
        <w:t xml:space="preserve"> conditions used as negative control outcomes for the empirical calibration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0"/>
        <w:gridCol w:w="3240"/>
        <w:gridCol w:w="2700"/>
      </w:tblGrid>
      <w:tr w:rsidR="00BE467D" w:rsidRPr="00BE467D" w14:paraId="04A233DF" w14:textId="77777777" w:rsidTr="00BE467D">
        <w:trPr>
          <w:trHeight w:val="300"/>
        </w:trPr>
        <w:tc>
          <w:tcPr>
            <w:tcW w:w="3410" w:type="dxa"/>
            <w:shd w:val="clear" w:color="auto" w:fill="auto"/>
            <w:noWrap/>
            <w:vAlign w:val="center"/>
            <w:hideMark/>
          </w:tcPr>
          <w:p w14:paraId="368B170E" w14:textId="77777777" w:rsidR="00BE467D" w:rsidRPr="00BE467D" w:rsidRDefault="00BE467D" w:rsidP="00BE467D">
            <w:pPr>
              <w:rPr>
                <w:color w:val="000000"/>
                <w:sz w:val="16"/>
                <w:szCs w:val="16"/>
              </w:rPr>
            </w:pPr>
            <w:r w:rsidRPr="00BE467D">
              <w:rPr>
                <w:color w:val="000000"/>
                <w:sz w:val="16"/>
                <w:szCs w:val="16"/>
              </w:rPr>
              <w:t>Abnormal posture</w:t>
            </w:r>
          </w:p>
        </w:tc>
        <w:tc>
          <w:tcPr>
            <w:tcW w:w="3240" w:type="dxa"/>
            <w:shd w:val="clear" w:color="auto" w:fill="auto"/>
            <w:noWrap/>
            <w:vAlign w:val="center"/>
            <w:hideMark/>
          </w:tcPr>
          <w:p w14:paraId="11003760" w14:textId="77777777" w:rsidR="00BE467D" w:rsidRPr="00BE467D" w:rsidRDefault="00BE467D" w:rsidP="00BE467D">
            <w:pPr>
              <w:rPr>
                <w:color w:val="000000"/>
                <w:sz w:val="16"/>
                <w:szCs w:val="16"/>
              </w:rPr>
            </w:pPr>
            <w:r w:rsidRPr="00BE467D">
              <w:rPr>
                <w:color w:val="000000"/>
                <w:sz w:val="16"/>
                <w:szCs w:val="16"/>
              </w:rPr>
              <w:t>Generalized hyperhidrosis</w:t>
            </w:r>
          </w:p>
        </w:tc>
        <w:tc>
          <w:tcPr>
            <w:tcW w:w="2700" w:type="dxa"/>
            <w:shd w:val="clear" w:color="auto" w:fill="auto"/>
            <w:noWrap/>
            <w:vAlign w:val="center"/>
            <w:hideMark/>
          </w:tcPr>
          <w:p w14:paraId="505915B2" w14:textId="77777777" w:rsidR="00BE467D" w:rsidRPr="00BE467D" w:rsidRDefault="00BE467D" w:rsidP="00BE467D">
            <w:pPr>
              <w:rPr>
                <w:color w:val="000000"/>
                <w:sz w:val="16"/>
                <w:szCs w:val="16"/>
              </w:rPr>
            </w:pPr>
            <w:r w:rsidRPr="00BE467D">
              <w:rPr>
                <w:color w:val="000000"/>
                <w:sz w:val="16"/>
                <w:szCs w:val="16"/>
              </w:rPr>
              <w:t>Onychomycosis due to dermatophyte</w:t>
            </w:r>
          </w:p>
        </w:tc>
      </w:tr>
      <w:tr w:rsidR="00BE467D" w:rsidRPr="00BE467D" w14:paraId="34E645E6" w14:textId="77777777" w:rsidTr="00F32CA7">
        <w:trPr>
          <w:trHeight w:val="300"/>
        </w:trPr>
        <w:tc>
          <w:tcPr>
            <w:tcW w:w="3410" w:type="dxa"/>
            <w:shd w:val="clear" w:color="auto" w:fill="auto"/>
            <w:noWrap/>
            <w:vAlign w:val="center"/>
            <w:hideMark/>
          </w:tcPr>
          <w:p w14:paraId="5DAC9C32" w14:textId="77777777" w:rsidR="00BE467D" w:rsidRPr="00BE467D" w:rsidRDefault="00BE467D" w:rsidP="00BE467D">
            <w:pPr>
              <w:rPr>
                <w:color w:val="000000"/>
                <w:sz w:val="16"/>
                <w:szCs w:val="16"/>
              </w:rPr>
            </w:pPr>
            <w:r w:rsidRPr="00BE467D">
              <w:rPr>
                <w:color w:val="000000"/>
                <w:sz w:val="16"/>
                <w:szCs w:val="16"/>
              </w:rPr>
              <w:t>Acquired renal cystic disease</w:t>
            </w:r>
          </w:p>
        </w:tc>
        <w:tc>
          <w:tcPr>
            <w:tcW w:w="3240" w:type="dxa"/>
            <w:shd w:val="clear" w:color="auto" w:fill="auto"/>
            <w:noWrap/>
            <w:vAlign w:val="center"/>
            <w:hideMark/>
          </w:tcPr>
          <w:p w14:paraId="41F10E1E" w14:textId="77777777" w:rsidR="00BE467D" w:rsidRPr="00BE467D" w:rsidRDefault="00BE467D" w:rsidP="00BE467D">
            <w:pPr>
              <w:rPr>
                <w:color w:val="000000"/>
                <w:sz w:val="16"/>
                <w:szCs w:val="16"/>
              </w:rPr>
            </w:pPr>
            <w:r w:rsidRPr="00BE467D">
              <w:rPr>
                <w:color w:val="000000"/>
                <w:sz w:val="16"/>
                <w:szCs w:val="16"/>
              </w:rPr>
              <w:t>Hemangioma of skin and subcutaneous tissue</w:t>
            </w:r>
          </w:p>
        </w:tc>
        <w:tc>
          <w:tcPr>
            <w:tcW w:w="2700" w:type="dxa"/>
            <w:shd w:val="clear" w:color="auto" w:fill="auto"/>
            <w:noWrap/>
            <w:vAlign w:val="center"/>
            <w:hideMark/>
          </w:tcPr>
          <w:p w14:paraId="57B77A93" w14:textId="77777777" w:rsidR="00BE467D" w:rsidRPr="00BE467D" w:rsidRDefault="00BE467D" w:rsidP="00BE467D">
            <w:pPr>
              <w:rPr>
                <w:color w:val="000000"/>
                <w:sz w:val="16"/>
                <w:szCs w:val="16"/>
              </w:rPr>
            </w:pPr>
            <w:r w:rsidRPr="00BE467D">
              <w:rPr>
                <w:color w:val="000000"/>
                <w:sz w:val="16"/>
                <w:szCs w:val="16"/>
              </w:rPr>
              <w:t>Open-angle glaucoma - borderline</w:t>
            </w:r>
          </w:p>
        </w:tc>
      </w:tr>
      <w:tr w:rsidR="00BE467D" w:rsidRPr="00BE467D" w14:paraId="38139CB1" w14:textId="77777777" w:rsidTr="00F32CA7">
        <w:trPr>
          <w:trHeight w:val="300"/>
        </w:trPr>
        <w:tc>
          <w:tcPr>
            <w:tcW w:w="3410" w:type="dxa"/>
            <w:shd w:val="clear" w:color="auto" w:fill="auto"/>
            <w:noWrap/>
            <w:vAlign w:val="center"/>
            <w:hideMark/>
          </w:tcPr>
          <w:p w14:paraId="011462FF" w14:textId="77777777" w:rsidR="00BE467D" w:rsidRPr="00BE467D" w:rsidRDefault="00BE467D" w:rsidP="00BE467D">
            <w:pPr>
              <w:rPr>
                <w:color w:val="000000"/>
                <w:sz w:val="16"/>
                <w:szCs w:val="16"/>
              </w:rPr>
            </w:pPr>
            <w:r w:rsidRPr="00BE467D">
              <w:rPr>
                <w:color w:val="000000"/>
                <w:sz w:val="16"/>
                <w:szCs w:val="16"/>
              </w:rPr>
              <w:t>Acquired trigger finger</w:t>
            </w:r>
          </w:p>
        </w:tc>
        <w:tc>
          <w:tcPr>
            <w:tcW w:w="3240" w:type="dxa"/>
            <w:shd w:val="clear" w:color="auto" w:fill="auto"/>
            <w:noWrap/>
            <w:vAlign w:val="center"/>
            <w:hideMark/>
          </w:tcPr>
          <w:p w14:paraId="06268D55" w14:textId="77777777" w:rsidR="00BE467D" w:rsidRPr="00BE467D" w:rsidRDefault="00BE467D" w:rsidP="00BE467D">
            <w:pPr>
              <w:rPr>
                <w:color w:val="000000"/>
                <w:sz w:val="16"/>
                <w:szCs w:val="16"/>
              </w:rPr>
            </w:pPr>
            <w:r w:rsidRPr="00BE467D">
              <w:rPr>
                <w:color w:val="000000"/>
                <w:sz w:val="16"/>
                <w:szCs w:val="16"/>
              </w:rPr>
              <w:t>Hemorrhage of rectum and anus</w:t>
            </w:r>
          </w:p>
        </w:tc>
        <w:tc>
          <w:tcPr>
            <w:tcW w:w="2700" w:type="dxa"/>
            <w:shd w:val="clear" w:color="auto" w:fill="auto"/>
            <w:noWrap/>
            <w:vAlign w:val="center"/>
            <w:hideMark/>
          </w:tcPr>
          <w:p w14:paraId="1008AE4E" w14:textId="77777777" w:rsidR="00BE467D" w:rsidRPr="00BE467D" w:rsidRDefault="00BE467D" w:rsidP="00BE467D">
            <w:pPr>
              <w:rPr>
                <w:color w:val="000000"/>
                <w:sz w:val="16"/>
                <w:szCs w:val="16"/>
              </w:rPr>
            </w:pPr>
            <w:r w:rsidRPr="00BE467D">
              <w:rPr>
                <w:color w:val="000000"/>
                <w:sz w:val="16"/>
                <w:szCs w:val="16"/>
              </w:rPr>
              <w:t>Osteoarthritis of hip</w:t>
            </w:r>
          </w:p>
        </w:tc>
      </w:tr>
      <w:tr w:rsidR="00BE467D" w:rsidRPr="00BE467D" w14:paraId="3FC4473E" w14:textId="77777777" w:rsidTr="00F32CA7">
        <w:trPr>
          <w:trHeight w:val="300"/>
        </w:trPr>
        <w:tc>
          <w:tcPr>
            <w:tcW w:w="3410" w:type="dxa"/>
            <w:shd w:val="clear" w:color="auto" w:fill="auto"/>
            <w:noWrap/>
            <w:vAlign w:val="center"/>
            <w:hideMark/>
          </w:tcPr>
          <w:p w14:paraId="636F0F44" w14:textId="77777777" w:rsidR="00BE467D" w:rsidRPr="00BE467D" w:rsidRDefault="00BE467D" w:rsidP="00BE467D">
            <w:pPr>
              <w:rPr>
                <w:color w:val="000000"/>
                <w:sz w:val="16"/>
                <w:szCs w:val="16"/>
              </w:rPr>
            </w:pPr>
            <w:r w:rsidRPr="00BE467D">
              <w:rPr>
                <w:color w:val="000000"/>
                <w:sz w:val="16"/>
                <w:szCs w:val="16"/>
              </w:rPr>
              <w:t>Actinic keratosis</w:t>
            </w:r>
          </w:p>
        </w:tc>
        <w:tc>
          <w:tcPr>
            <w:tcW w:w="3240" w:type="dxa"/>
            <w:shd w:val="clear" w:color="auto" w:fill="auto"/>
            <w:noWrap/>
            <w:vAlign w:val="center"/>
            <w:hideMark/>
          </w:tcPr>
          <w:p w14:paraId="36A9955F" w14:textId="77777777" w:rsidR="00BE467D" w:rsidRPr="00BE467D" w:rsidRDefault="00BE467D" w:rsidP="00BE467D">
            <w:pPr>
              <w:rPr>
                <w:color w:val="000000"/>
                <w:sz w:val="16"/>
                <w:szCs w:val="16"/>
              </w:rPr>
            </w:pPr>
            <w:r w:rsidRPr="00BE467D">
              <w:rPr>
                <w:color w:val="000000"/>
                <w:sz w:val="16"/>
                <w:szCs w:val="16"/>
              </w:rPr>
              <w:t>Herpes zoster without complication</w:t>
            </w:r>
          </w:p>
        </w:tc>
        <w:tc>
          <w:tcPr>
            <w:tcW w:w="2700" w:type="dxa"/>
            <w:shd w:val="clear" w:color="auto" w:fill="auto"/>
            <w:noWrap/>
            <w:vAlign w:val="center"/>
            <w:hideMark/>
          </w:tcPr>
          <w:p w14:paraId="22D4260B" w14:textId="77777777" w:rsidR="00BE467D" w:rsidRPr="00BE467D" w:rsidRDefault="00BE467D" w:rsidP="00BE467D">
            <w:pPr>
              <w:rPr>
                <w:color w:val="000000"/>
                <w:sz w:val="16"/>
                <w:szCs w:val="16"/>
              </w:rPr>
            </w:pPr>
            <w:r w:rsidRPr="00BE467D">
              <w:rPr>
                <w:color w:val="000000"/>
                <w:sz w:val="16"/>
                <w:szCs w:val="16"/>
              </w:rPr>
              <w:t>Osteoarthritis of knee</w:t>
            </w:r>
          </w:p>
        </w:tc>
      </w:tr>
      <w:tr w:rsidR="00BE467D" w:rsidRPr="00BE467D" w14:paraId="195EEBF1" w14:textId="77777777" w:rsidTr="00F32CA7">
        <w:trPr>
          <w:trHeight w:val="300"/>
        </w:trPr>
        <w:tc>
          <w:tcPr>
            <w:tcW w:w="3410" w:type="dxa"/>
            <w:shd w:val="clear" w:color="auto" w:fill="auto"/>
            <w:noWrap/>
            <w:vAlign w:val="center"/>
            <w:hideMark/>
          </w:tcPr>
          <w:p w14:paraId="67EDE7CB" w14:textId="77777777" w:rsidR="00BE467D" w:rsidRPr="00BE467D" w:rsidRDefault="00BE467D" w:rsidP="00BE467D">
            <w:pPr>
              <w:rPr>
                <w:color w:val="000000"/>
                <w:sz w:val="16"/>
                <w:szCs w:val="16"/>
              </w:rPr>
            </w:pPr>
            <w:r w:rsidRPr="00BE467D">
              <w:rPr>
                <w:color w:val="000000"/>
                <w:sz w:val="16"/>
                <w:szCs w:val="16"/>
              </w:rPr>
              <w:t>Acute bronchitis</w:t>
            </w:r>
          </w:p>
        </w:tc>
        <w:tc>
          <w:tcPr>
            <w:tcW w:w="3240" w:type="dxa"/>
            <w:shd w:val="clear" w:color="auto" w:fill="auto"/>
            <w:noWrap/>
            <w:vAlign w:val="center"/>
            <w:hideMark/>
          </w:tcPr>
          <w:p w14:paraId="2CE24185" w14:textId="77777777" w:rsidR="00BE467D" w:rsidRPr="00BE467D" w:rsidRDefault="00BE467D" w:rsidP="00BE467D">
            <w:pPr>
              <w:rPr>
                <w:color w:val="000000"/>
                <w:sz w:val="16"/>
                <w:szCs w:val="16"/>
              </w:rPr>
            </w:pPr>
            <w:r w:rsidRPr="00BE467D">
              <w:rPr>
                <w:color w:val="000000"/>
                <w:sz w:val="16"/>
                <w:szCs w:val="16"/>
              </w:rPr>
              <w:t>Hypercalcemia</w:t>
            </w:r>
          </w:p>
        </w:tc>
        <w:tc>
          <w:tcPr>
            <w:tcW w:w="2700" w:type="dxa"/>
            <w:shd w:val="clear" w:color="auto" w:fill="auto"/>
            <w:noWrap/>
            <w:vAlign w:val="center"/>
            <w:hideMark/>
          </w:tcPr>
          <w:p w14:paraId="7EF85EEF" w14:textId="77777777" w:rsidR="00BE467D" w:rsidRPr="00BE467D" w:rsidRDefault="00BE467D" w:rsidP="00BE467D">
            <w:pPr>
              <w:rPr>
                <w:color w:val="000000"/>
                <w:sz w:val="16"/>
                <w:szCs w:val="16"/>
              </w:rPr>
            </w:pPr>
            <w:r w:rsidRPr="00BE467D">
              <w:rPr>
                <w:color w:val="000000"/>
                <w:sz w:val="16"/>
                <w:szCs w:val="16"/>
              </w:rPr>
              <w:t>Paresthesia</w:t>
            </w:r>
          </w:p>
        </w:tc>
      </w:tr>
      <w:tr w:rsidR="00BE467D" w:rsidRPr="00BE467D" w14:paraId="46EF9A01" w14:textId="77777777" w:rsidTr="00F32CA7">
        <w:trPr>
          <w:trHeight w:val="300"/>
        </w:trPr>
        <w:tc>
          <w:tcPr>
            <w:tcW w:w="3410" w:type="dxa"/>
            <w:shd w:val="clear" w:color="auto" w:fill="auto"/>
            <w:noWrap/>
            <w:vAlign w:val="center"/>
            <w:hideMark/>
          </w:tcPr>
          <w:p w14:paraId="698E2C6E" w14:textId="77777777" w:rsidR="00BE467D" w:rsidRPr="00BE467D" w:rsidRDefault="00BE467D" w:rsidP="00BE467D">
            <w:pPr>
              <w:rPr>
                <w:color w:val="000000"/>
                <w:sz w:val="16"/>
                <w:szCs w:val="16"/>
              </w:rPr>
            </w:pPr>
            <w:r w:rsidRPr="00BE467D">
              <w:rPr>
                <w:color w:val="000000"/>
                <w:sz w:val="16"/>
                <w:szCs w:val="16"/>
              </w:rPr>
              <w:t>Acute cystitis</w:t>
            </w:r>
          </w:p>
        </w:tc>
        <w:tc>
          <w:tcPr>
            <w:tcW w:w="3240" w:type="dxa"/>
            <w:shd w:val="clear" w:color="auto" w:fill="auto"/>
            <w:noWrap/>
            <w:vAlign w:val="center"/>
            <w:hideMark/>
          </w:tcPr>
          <w:p w14:paraId="0E4B546D" w14:textId="77777777" w:rsidR="00BE467D" w:rsidRPr="00BE467D" w:rsidRDefault="00BE467D" w:rsidP="00BE467D">
            <w:pPr>
              <w:rPr>
                <w:color w:val="000000"/>
                <w:sz w:val="16"/>
                <w:szCs w:val="16"/>
              </w:rPr>
            </w:pPr>
            <w:r w:rsidRPr="00BE467D">
              <w:rPr>
                <w:color w:val="000000"/>
                <w:sz w:val="16"/>
                <w:szCs w:val="16"/>
              </w:rPr>
              <w:t>Hyperparathyroidism due to renal insufficiency</w:t>
            </w:r>
          </w:p>
        </w:tc>
        <w:tc>
          <w:tcPr>
            <w:tcW w:w="2700" w:type="dxa"/>
            <w:shd w:val="clear" w:color="auto" w:fill="auto"/>
            <w:noWrap/>
            <w:vAlign w:val="center"/>
            <w:hideMark/>
          </w:tcPr>
          <w:p w14:paraId="7AF2929D" w14:textId="77777777" w:rsidR="00BE467D" w:rsidRPr="00BE467D" w:rsidRDefault="00BE467D" w:rsidP="00BE467D">
            <w:pPr>
              <w:rPr>
                <w:color w:val="000000"/>
                <w:sz w:val="16"/>
                <w:szCs w:val="16"/>
              </w:rPr>
            </w:pPr>
            <w:r w:rsidRPr="00BE467D">
              <w:rPr>
                <w:color w:val="000000"/>
                <w:sz w:val="16"/>
                <w:szCs w:val="16"/>
              </w:rPr>
              <w:t>Parkinson's disease</w:t>
            </w:r>
          </w:p>
        </w:tc>
      </w:tr>
      <w:tr w:rsidR="00BE467D" w:rsidRPr="00BE467D" w14:paraId="73019A69" w14:textId="77777777" w:rsidTr="00F32CA7">
        <w:trPr>
          <w:trHeight w:val="300"/>
        </w:trPr>
        <w:tc>
          <w:tcPr>
            <w:tcW w:w="3410" w:type="dxa"/>
            <w:shd w:val="clear" w:color="auto" w:fill="auto"/>
            <w:noWrap/>
            <w:vAlign w:val="center"/>
            <w:hideMark/>
          </w:tcPr>
          <w:p w14:paraId="70F3F3B3" w14:textId="77777777" w:rsidR="00BE467D" w:rsidRPr="00BE467D" w:rsidRDefault="00BE467D" w:rsidP="00BE467D">
            <w:pPr>
              <w:rPr>
                <w:color w:val="000000"/>
                <w:sz w:val="16"/>
                <w:szCs w:val="16"/>
              </w:rPr>
            </w:pPr>
            <w:r w:rsidRPr="00BE467D">
              <w:rPr>
                <w:color w:val="000000"/>
                <w:sz w:val="16"/>
                <w:szCs w:val="16"/>
              </w:rPr>
              <w:t>Acute pharyngitis</w:t>
            </w:r>
          </w:p>
        </w:tc>
        <w:tc>
          <w:tcPr>
            <w:tcW w:w="3240" w:type="dxa"/>
            <w:shd w:val="clear" w:color="auto" w:fill="auto"/>
            <w:noWrap/>
            <w:vAlign w:val="center"/>
            <w:hideMark/>
          </w:tcPr>
          <w:p w14:paraId="59D903FA" w14:textId="77777777" w:rsidR="00BE467D" w:rsidRPr="00BE467D" w:rsidRDefault="00BE467D" w:rsidP="00BE467D">
            <w:pPr>
              <w:rPr>
                <w:color w:val="000000"/>
                <w:sz w:val="16"/>
                <w:szCs w:val="16"/>
              </w:rPr>
            </w:pPr>
            <w:r w:rsidRPr="00BE467D">
              <w:rPr>
                <w:color w:val="000000"/>
                <w:sz w:val="16"/>
                <w:szCs w:val="16"/>
              </w:rPr>
              <w:t>Hyperpigmentation of skin</w:t>
            </w:r>
          </w:p>
        </w:tc>
        <w:tc>
          <w:tcPr>
            <w:tcW w:w="2700" w:type="dxa"/>
            <w:shd w:val="clear" w:color="auto" w:fill="auto"/>
            <w:noWrap/>
            <w:vAlign w:val="center"/>
            <w:hideMark/>
          </w:tcPr>
          <w:p w14:paraId="757A61AA" w14:textId="77777777" w:rsidR="00BE467D" w:rsidRPr="00BE467D" w:rsidRDefault="00BE467D" w:rsidP="00BE467D">
            <w:pPr>
              <w:rPr>
                <w:color w:val="000000"/>
                <w:sz w:val="16"/>
                <w:szCs w:val="16"/>
              </w:rPr>
            </w:pPr>
            <w:r w:rsidRPr="00BE467D">
              <w:rPr>
                <w:color w:val="000000"/>
                <w:sz w:val="16"/>
                <w:szCs w:val="16"/>
              </w:rPr>
              <w:t>Plantar fascial fibromatosis</w:t>
            </w:r>
          </w:p>
        </w:tc>
      </w:tr>
      <w:tr w:rsidR="00BE467D" w:rsidRPr="00BE467D" w14:paraId="36962A3E" w14:textId="77777777" w:rsidTr="00F32CA7">
        <w:trPr>
          <w:trHeight w:val="300"/>
        </w:trPr>
        <w:tc>
          <w:tcPr>
            <w:tcW w:w="3410" w:type="dxa"/>
            <w:shd w:val="clear" w:color="auto" w:fill="auto"/>
            <w:noWrap/>
            <w:vAlign w:val="center"/>
            <w:hideMark/>
          </w:tcPr>
          <w:p w14:paraId="1F8D9E77" w14:textId="77777777" w:rsidR="00BE467D" w:rsidRPr="00BE467D" w:rsidRDefault="00BE467D" w:rsidP="00BE467D">
            <w:pPr>
              <w:rPr>
                <w:color w:val="000000"/>
                <w:sz w:val="16"/>
                <w:szCs w:val="16"/>
              </w:rPr>
            </w:pPr>
            <w:r w:rsidRPr="00BE467D">
              <w:rPr>
                <w:color w:val="000000"/>
                <w:sz w:val="16"/>
                <w:szCs w:val="16"/>
              </w:rPr>
              <w:t>Acute respiratory failure</w:t>
            </w:r>
          </w:p>
        </w:tc>
        <w:tc>
          <w:tcPr>
            <w:tcW w:w="3240" w:type="dxa"/>
            <w:shd w:val="clear" w:color="auto" w:fill="auto"/>
            <w:noWrap/>
            <w:vAlign w:val="center"/>
            <w:hideMark/>
          </w:tcPr>
          <w:p w14:paraId="1704F980" w14:textId="77777777" w:rsidR="00BE467D" w:rsidRPr="00BE467D" w:rsidRDefault="00BE467D" w:rsidP="00BE467D">
            <w:pPr>
              <w:rPr>
                <w:color w:val="000000"/>
                <w:sz w:val="16"/>
                <w:szCs w:val="16"/>
              </w:rPr>
            </w:pPr>
            <w:r w:rsidRPr="00BE467D">
              <w:rPr>
                <w:color w:val="000000"/>
                <w:sz w:val="16"/>
                <w:szCs w:val="16"/>
              </w:rPr>
              <w:t>Hypertrophy of breast</w:t>
            </w:r>
          </w:p>
        </w:tc>
        <w:tc>
          <w:tcPr>
            <w:tcW w:w="2700" w:type="dxa"/>
            <w:shd w:val="clear" w:color="auto" w:fill="auto"/>
            <w:noWrap/>
            <w:vAlign w:val="center"/>
            <w:hideMark/>
          </w:tcPr>
          <w:p w14:paraId="34E454CE" w14:textId="77777777" w:rsidR="00BE467D" w:rsidRPr="00BE467D" w:rsidRDefault="00BE467D" w:rsidP="00BE467D">
            <w:pPr>
              <w:rPr>
                <w:color w:val="000000"/>
                <w:sz w:val="16"/>
                <w:szCs w:val="16"/>
              </w:rPr>
            </w:pPr>
            <w:r w:rsidRPr="00BE467D">
              <w:rPr>
                <w:color w:val="000000"/>
                <w:sz w:val="16"/>
                <w:szCs w:val="16"/>
              </w:rPr>
              <w:t>Polyneuropathy due to drug</w:t>
            </w:r>
          </w:p>
        </w:tc>
      </w:tr>
      <w:tr w:rsidR="00BE467D" w:rsidRPr="00BE467D" w14:paraId="68F67E29" w14:textId="77777777" w:rsidTr="00F32CA7">
        <w:trPr>
          <w:trHeight w:val="300"/>
        </w:trPr>
        <w:tc>
          <w:tcPr>
            <w:tcW w:w="3410" w:type="dxa"/>
            <w:shd w:val="clear" w:color="auto" w:fill="auto"/>
            <w:noWrap/>
            <w:vAlign w:val="center"/>
            <w:hideMark/>
          </w:tcPr>
          <w:p w14:paraId="39DF6A56" w14:textId="77777777" w:rsidR="00BE467D" w:rsidRPr="00BE467D" w:rsidRDefault="00BE467D" w:rsidP="00BE467D">
            <w:pPr>
              <w:rPr>
                <w:color w:val="000000"/>
                <w:sz w:val="16"/>
                <w:szCs w:val="16"/>
              </w:rPr>
            </w:pPr>
            <w:r w:rsidRPr="00BE467D">
              <w:rPr>
                <w:color w:val="000000"/>
                <w:sz w:val="16"/>
                <w:szCs w:val="16"/>
              </w:rPr>
              <w:t>Acute sinusitis</w:t>
            </w:r>
          </w:p>
        </w:tc>
        <w:tc>
          <w:tcPr>
            <w:tcW w:w="3240" w:type="dxa"/>
            <w:shd w:val="clear" w:color="auto" w:fill="auto"/>
            <w:noWrap/>
            <w:vAlign w:val="center"/>
            <w:hideMark/>
          </w:tcPr>
          <w:p w14:paraId="4AFF289A" w14:textId="77777777" w:rsidR="00BE467D" w:rsidRPr="00BE467D" w:rsidRDefault="00BE467D" w:rsidP="00BE467D">
            <w:pPr>
              <w:rPr>
                <w:color w:val="000000"/>
                <w:sz w:val="16"/>
                <w:szCs w:val="16"/>
              </w:rPr>
            </w:pPr>
            <w:r w:rsidRPr="00BE467D">
              <w:rPr>
                <w:color w:val="000000"/>
                <w:sz w:val="16"/>
                <w:szCs w:val="16"/>
              </w:rPr>
              <w:t>Impacted cerumen</w:t>
            </w:r>
          </w:p>
        </w:tc>
        <w:tc>
          <w:tcPr>
            <w:tcW w:w="2700" w:type="dxa"/>
            <w:shd w:val="clear" w:color="auto" w:fill="auto"/>
            <w:noWrap/>
            <w:vAlign w:val="center"/>
            <w:hideMark/>
          </w:tcPr>
          <w:p w14:paraId="39C58119" w14:textId="77777777" w:rsidR="00BE467D" w:rsidRPr="00BE467D" w:rsidRDefault="00BE467D" w:rsidP="00BE467D">
            <w:pPr>
              <w:rPr>
                <w:color w:val="000000"/>
                <w:sz w:val="16"/>
                <w:szCs w:val="16"/>
              </w:rPr>
            </w:pPr>
            <w:r w:rsidRPr="00BE467D">
              <w:rPr>
                <w:color w:val="000000"/>
                <w:sz w:val="16"/>
                <w:szCs w:val="16"/>
              </w:rPr>
              <w:t>Polyp of colon</w:t>
            </w:r>
          </w:p>
        </w:tc>
      </w:tr>
      <w:tr w:rsidR="00BE467D" w:rsidRPr="00BE467D" w14:paraId="279912F6" w14:textId="77777777" w:rsidTr="00F32CA7">
        <w:trPr>
          <w:trHeight w:val="300"/>
        </w:trPr>
        <w:tc>
          <w:tcPr>
            <w:tcW w:w="3410" w:type="dxa"/>
            <w:shd w:val="clear" w:color="auto" w:fill="auto"/>
            <w:noWrap/>
            <w:vAlign w:val="center"/>
            <w:hideMark/>
          </w:tcPr>
          <w:p w14:paraId="5352E22E" w14:textId="77777777" w:rsidR="00BE467D" w:rsidRPr="00BE467D" w:rsidRDefault="00BE467D" w:rsidP="00BE467D">
            <w:pPr>
              <w:rPr>
                <w:color w:val="000000"/>
                <w:sz w:val="16"/>
                <w:szCs w:val="16"/>
              </w:rPr>
            </w:pPr>
            <w:r w:rsidRPr="00BE467D">
              <w:rPr>
                <w:color w:val="000000"/>
                <w:sz w:val="16"/>
                <w:szCs w:val="16"/>
              </w:rPr>
              <w:t>Acute stress disorder</w:t>
            </w:r>
          </w:p>
        </w:tc>
        <w:tc>
          <w:tcPr>
            <w:tcW w:w="3240" w:type="dxa"/>
            <w:shd w:val="clear" w:color="auto" w:fill="auto"/>
            <w:noWrap/>
            <w:vAlign w:val="center"/>
            <w:hideMark/>
          </w:tcPr>
          <w:p w14:paraId="2DBBDF25" w14:textId="77777777" w:rsidR="00BE467D" w:rsidRPr="00BE467D" w:rsidRDefault="00BE467D" w:rsidP="00BE467D">
            <w:pPr>
              <w:rPr>
                <w:color w:val="000000"/>
                <w:sz w:val="16"/>
                <w:szCs w:val="16"/>
              </w:rPr>
            </w:pPr>
            <w:r w:rsidRPr="00BE467D">
              <w:rPr>
                <w:color w:val="000000"/>
                <w:sz w:val="16"/>
                <w:szCs w:val="16"/>
              </w:rPr>
              <w:t>Inflamed seborrheic keratosis</w:t>
            </w:r>
          </w:p>
        </w:tc>
        <w:tc>
          <w:tcPr>
            <w:tcW w:w="2700" w:type="dxa"/>
            <w:shd w:val="clear" w:color="auto" w:fill="auto"/>
            <w:noWrap/>
            <w:vAlign w:val="center"/>
            <w:hideMark/>
          </w:tcPr>
          <w:p w14:paraId="1B6C5F84" w14:textId="77777777" w:rsidR="00BE467D" w:rsidRPr="00BE467D" w:rsidRDefault="00BE467D" w:rsidP="00BE467D">
            <w:pPr>
              <w:rPr>
                <w:color w:val="000000"/>
                <w:sz w:val="16"/>
                <w:szCs w:val="16"/>
              </w:rPr>
            </w:pPr>
            <w:r w:rsidRPr="00BE467D">
              <w:rPr>
                <w:color w:val="000000"/>
                <w:sz w:val="16"/>
                <w:szCs w:val="16"/>
              </w:rPr>
              <w:t>Post-inflammatory pulmonary fibrosis</w:t>
            </w:r>
          </w:p>
        </w:tc>
      </w:tr>
      <w:tr w:rsidR="00BE467D" w:rsidRPr="00BE467D" w14:paraId="6F80CB9B" w14:textId="77777777" w:rsidTr="00F32CA7">
        <w:trPr>
          <w:trHeight w:val="300"/>
        </w:trPr>
        <w:tc>
          <w:tcPr>
            <w:tcW w:w="3410" w:type="dxa"/>
            <w:shd w:val="clear" w:color="auto" w:fill="auto"/>
            <w:noWrap/>
            <w:vAlign w:val="center"/>
            <w:hideMark/>
          </w:tcPr>
          <w:p w14:paraId="36793033" w14:textId="77777777" w:rsidR="00BE467D" w:rsidRPr="00BE467D" w:rsidRDefault="00BE467D" w:rsidP="00BE467D">
            <w:pPr>
              <w:rPr>
                <w:color w:val="000000"/>
                <w:sz w:val="16"/>
                <w:szCs w:val="16"/>
              </w:rPr>
            </w:pPr>
            <w:r w:rsidRPr="00BE467D">
              <w:rPr>
                <w:color w:val="000000"/>
                <w:sz w:val="16"/>
                <w:szCs w:val="16"/>
              </w:rPr>
              <w:t>Acute upper respiratory infection</w:t>
            </w:r>
          </w:p>
        </w:tc>
        <w:tc>
          <w:tcPr>
            <w:tcW w:w="3240" w:type="dxa"/>
            <w:shd w:val="clear" w:color="auto" w:fill="auto"/>
            <w:noWrap/>
            <w:vAlign w:val="center"/>
            <w:hideMark/>
          </w:tcPr>
          <w:p w14:paraId="623ADD48" w14:textId="77777777" w:rsidR="00BE467D" w:rsidRPr="00BE467D" w:rsidRDefault="00BE467D" w:rsidP="00BE467D">
            <w:pPr>
              <w:rPr>
                <w:color w:val="000000"/>
                <w:sz w:val="16"/>
                <w:szCs w:val="16"/>
              </w:rPr>
            </w:pPr>
            <w:proofErr w:type="spellStart"/>
            <w:r w:rsidRPr="00BE467D">
              <w:rPr>
                <w:color w:val="000000"/>
                <w:sz w:val="16"/>
                <w:szCs w:val="16"/>
              </w:rPr>
              <w:t>Ingrowing</w:t>
            </w:r>
            <w:proofErr w:type="spellEnd"/>
            <w:r w:rsidRPr="00BE467D">
              <w:rPr>
                <w:color w:val="000000"/>
                <w:sz w:val="16"/>
                <w:szCs w:val="16"/>
              </w:rPr>
              <w:t xml:space="preserve"> nail</w:t>
            </w:r>
          </w:p>
        </w:tc>
        <w:tc>
          <w:tcPr>
            <w:tcW w:w="2700" w:type="dxa"/>
            <w:shd w:val="clear" w:color="auto" w:fill="auto"/>
            <w:noWrap/>
            <w:vAlign w:val="center"/>
            <w:hideMark/>
          </w:tcPr>
          <w:p w14:paraId="0747FB4F" w14:textId="77777777" w:rsidR="00BE467D" w:rsidRPr="00BE467D" w:rsidRDefault="00BE467D" w:rsidP="00BE467D">
            <w:pPr>
              <w:rPr>
                <w:color w:val="000000"/>
                <w:sz w:val="16"/>
                <w:szCs w:val="16"/>
              </w:rPr>
            </w:pPr>
            <w:r w:rsidRPr="00BE467D">
              <w:rPr>
                <w:color w:val="000000"/>
                <w:sz w:val="16"/>
                <w:szCs w:val="16"/>
              </w:rPr>
              <w:t>Presbyopia</w:t>
            </w:r>
          </w:p>
        </w:tc>
      </w:tr>
      <w:tr w:rsidR="00BE467D" w:rsidRPr="00BE467D" w14:paraId="459B8C5C" w14:textId="77777777" w:rsidTr="00F32CA7">
        <w:trPr>
          <w:trHeight w:val="300"/>
        </w:trPr>
        <w:tc>
          <w:tcPr>
            <w:tcW w:w="3410" w:type="dxa"/>
            <w:shd w:val="clear" w:color="auto" w:fill="auto"/>
            <w:noWrap/>
            <w:vAlign w:val="center"/>
            <w:hideMark/>
          </w:tcPr>
          <w:p w14:paraId="3B0FE535" w14:textId="77777777" w:rsidR="00BE467D" w:rsidRPr="00BE467D" w:rsidRDefault="00BE467D" w:rsidP="00BE467D">
            <w:pPr>
              <w:rPr>
                <w:color w:val="000000"/>
                <w:sz w:val="16"/>
                <w:szCs w:val="16"/>
              </w:rPr>
            </w:pPr>
            <w:r w:rsidRPr="00BE467D">
              <w:rPr>
                <w:color w:val="000000"/>
                <w:sz w:val="16"/>
                <w:szCs w:val="16"/>
              </w:rPr>
              <w:t>Adjustment disorder with depressed mood</w:t>
            </w:r>
          </w:p>
        </w:tc>
        <w:tc>
          <w:tcPr>
            <w:tcW w:w="3240" w:type="dxa"/>
            <w:shd w:val="clear" w:color="auto" w:fill="auto"/>
            <w:noWrap/>
            <w:vAlign w:val="center"/>
            <w:hideMark/>
          </w:tcPr>
          <w:p w14:paraId="6BD8EB4F" w14:textId="77777777" w:rsidR="00BE467D" w:rsidRPr="00BE467D" w:rsidRDefault="00BE467D" w:rsidP="00BE467D">
            <w:pPr>
              <w:rPr>
                <w:color w:val="000000"/>
                <w:sz w:val="16"/>
                <w:szCs w:val="16"/>
              </w:rPr>
            </w:pPr>
            <w:proofErr w:type="spellStart"/>
            <w:r w:rsidRPr="00BE467D">
              <w:rPr>
                <w:color w:val="000000"/>
                <w:sz w:val="16"/>
                <w:szCs w:val="16"/>
              </w:rPr>
              <w:t>Intestinovesical</w:t>
            </w:r>
            <w:proofErr w:type="spellEnd"/>
            <w:r w:rsidRPr="00BE467D">
              <w:rPr>
                <w:color w:val="000000"/>
                <w:sz w:val="16"/>
                <w:szCs w:val="16"/>
              </w:rPr>
              <w:t xml:space="preserve"> fistula</w:t>
            </w:r>
          </w:p>
        </w:tc>
        <w:tc>
          <w:tcPr>
            <w:tcW w:w="2700" w:type="dxa"/>
            <w:shd w:val="clear" w:color="auto" w:fill="auto"/>
            <w:noWrap/>
            <w:vAlign w:val="center"/>
            <w:hideMark/>
          </w:tcPr>
          <w:p w14:paraId="7BC8135B" w14:textId="77777777" w:rsidR="00BE467D" w:rsidRPr="00BE467D" w:rsidRDefault="00BE467D" w:rsidP="00BE467D">
            <w:pPr>
              <w:rPr>
                <w:color w:val="000000"/>
                <w:sz w:val="16"/>
                <w:szCs w:val="16"/>
              </w:rPr>
            </w:pPr>
            <w:r w:rsidRPr="00BE467D">
              <w:rPr>
                <w:color w:val="000000"/>
                <w:sz w:val="16"/>
                <w:szCs w:val="16"/>
              </w:rPr>
              <w:t>Pressure ulcer of buttock</w:t>
            </w:r>
          </w:p>
        </w:tc>
      </w:tr>
      <w:tr w:rsidR="00BE467D" w:rsidRPr="00BE467D" w14:paraId="77BAC2AC" w14:textId="77777777" w:rsidTr="00F32CA7">
        <w:trPr>
          <w:trHeight w:val="300"/>
        </w:trPr>
        <w:tc>
          <w:tcPr>
            <w:tcW w:w="3410" w:type="dxa"/>
            <w:shd w:val="clear" w:color="auto" w:fill="auto"/>
            <w:noWrap/>
            <w:vAlign w:val="center"/>
            <w:hideMark/>
          </w:tcPr>
          <w:p w14:paraId="7B647A76" w14:textId="77777777" w:rsidR="00BE467D" w:rsidRPr="00BE467D" w:rsidRDefault="00BE467D" w:rsidP="00BE467D">
            <w:pPr>
              <w:rPr>
                <w:color w:val="000000"/>
                <w:sz w:val="16"/>
                <w:szCs w:val="16"/>
              </w:rPr>
            </w:pPr>
            <w:r w:rsidRPr="00BE467D">
              <w:rPr>
                <w:color w:val="000000"/>
                <w:sz w:val="16"/>
                <w:szCs w:val="16"/>
              </w:rPr>
              <w:t>Adjustment disorder with mixed emotional features</w:t>
            </w:r>
          </w:p>
        </w:tc>
        <w:tc>
          <w:tcPr>
            <w:tcW w:w="3240" w:type="dxa"/>
            <w:shd w:val="clear" w:color="auto" w:fill="auto"/>
            <w:noWrap/>
            <w:vAlign w:val="center"/>
            <w:hideMark/>
          </w:tcPr>
          <w:p w14:paraId="58BB074A" w14:textId="77777777" w:rsidR="00BE467D" w:rsidRPr="00BE467D" w:rsidRDefault="00BE467D" w:rsidP="00BE467D">
            <w:pPr>
              <w:rPr>
                <w:color w:val="000000"/>
                <w:sz w:val="16"/>
                <w:szCs w:val="16"/>
              </w:rPr>
            </w:pPr>
            <w:r w:rsidRPr="00BE467D">
              <w:rPr>
                <w:color w:val="000000"/>
                <w:sz w:val="16"/>
                <w:szCs w:val="16"/>
              </w:rPr>
              <w:t>Kidney stone</w:t>
            </w:r>
          </w:p>
        </w:tc>
        <w:tc>
          <w:tcPr>
            <w:tcW w:w="2700" w:type="dxa"/>
            <w:shd w:val="clear" w:color="auto" w:fill="auto"/>
            <w:noWrap/>
            <w:vAlign w:val="center"/>
            <w:hideMark/>
          </w:tcPr>
          <w:p w14:paraId="1A1376A1" w14:textId="77777777" w:rsidR="00BE467D" w:rsidRPr="00BE467D" w:rsidRDefault="00BE467D" w:rsidP="00BE467D">
            <w:pPr>
              <w:rPr>
                <w:color w:val="000000"/>
                <w:sz w:val="16"/>
                <w:szCs w:val="16"/>
              </w:rPr>
            </w:pPr>
            <w:r w:rsidRPr="00BE467D">
              <w:rPr>
                <w:color w:val="000000"/>
                <w:sz w:val="16"/>
                <w:szCs w:val="16"/>
              </w:rPr>
              <w:t>Primary localized osteoarthrosis of pelvic region</w:t>
            </w:r>
          </w:p>
        </w:tc>
      </w:tr>
      <w:tr w:rsidR="00BE467D" w:rsidRPr="00BE467D" w14:paraId="141BFF88" w14:textId="77777777" w:rsidTr="00F32CA7">
        <w:trPr>
          <w:trHeight w:val="300"/>
        </w:trPr>
        <w:tc>
          <w:tcPr>
            <w:tcW w:w="3410" w:type="dxa"/>
            <w:shd w:val="clear" w:color="auto" w:fill="auto"/>
            <w:noWrap/>
            <w:vAlign w:val="center"/>
            <w:hideMark/>
          </w:tcPr>
          <w:p w14:paraId="52CB2590" w14:textId="77777777" w:rsidR="00BE467D" w:rsidRPr="00BE467D" w:rsidRDefault="00BE467D" w:rsidP="00BE467D">
            <w:pPr>
              <w:rPr>
                <w:color w:val="000000"/>
                <w:sz w:val="16"/>
                <w:szCs w:val="16"/>
              </w:rPr>
            </w:pPr>
            <w:r w:rsidRPr="00BE467D">
              <w:rPr>
                <w:color w:val="000000"/>
                <w:sz w:val="16"/>
                <w:szCs w:val="16"/>
              </w:rPr>
              <w:t>Alcohol abuse</w:t>
            </w:r>
          </w:p>
        </w:tc>
        <w:tc>
          <w:tcPr>
            <w:tcW w:w="3240" w:type="dxa"/>
            <w:shd w:val="clear" w:color="auto" w:fill="auto"/>
            <w:noWrap/>
            <w:vAlign w:val="center"/>
            <w:hideMark/>
          </w:tcPr>
          <w:p w14:paraId="566CE080" w14:textId="77777777" w:rsidR="00BE467D" w:rsidRPr="00BE467D" w:rsidRDefault="00BE467D" w:rsidP="00BE467D">
            <w:pPr>
              <w:rPr>
                <w:color w:val="000000"/>
                <w:sz w:val="16"/>
                <w:szCs w:val="16"/>
              </w:rPr>
            </w:pPr>
            <w:r w:rsidRPr="00BE467D">
              <w:rPr>
                <w:color w:val="000000"/>
                <w:sz w:val="16"/>
                <w:szCs w:val="16"/>
              </w:rPr>
              <w:t>Leukocytosis</w:t>
            </w:r>
          </w:p>
        </w:tc>
        <w:tc>
          <w:tcPr>
            <w:tcW w:w="2700" w:type="dxa"/>
            <w:shd w:val="clear" w:color="auto" w:fill="auto"/>
            <w:noWrap/>
            <w:vAlign w:val="center"/>
            <w:hideMark/>
          </w:tcPr>
          <w:p w14:paraId="29ED6A83" w14:textId="77777777" w:rsidR="00BE467D" w:rsidRPr="00BE467D" w:rsidRDefault="00BE467D" w:rsidP="00BE467D">
            <w:pPr>
              <w:rPr>
                <w:color w:val="000000"/>
                <w:sz w:val="16"/>
                <w:szCs w:val="16"/>
              </w:rPr>
            </w:pPr>
            <w:r w:rsidRPr="00BE467D">
              <w:rPr>
                <w:color w:val="000000"/>
                <w:sz w:val="16"/>
                <w:szCs w:val="16"/>
              </w:rPr>
              <w:t>Primary open angle glaucoma</w:t>
            </w:r>
          </w:p>
        </w:tc>
      </w:tr>
      <w:tr w:rsidR="00BE467D" w:rsidRPr="00BE467D" w14:paraId="3C7D05D6" w14:textId="77777777" w:rsidTr="00F32CA7">
        <w:trPr>
          <w:trHeight w:val="300"/>
        </w:trPr>
        <w:tc>
          <w:tcPr>
            <w:tcW w:w="3410" w:type="dxa"/>
            <w:shd w:val="clear" w:color="auto" w:fill="auto"/>
            <w:noWrap/>
            <w:vAlign w:val="center"/>
            <w:hideMark/>
          </w:tcPr>
          <w:p w14:paraId="1126B304" w14:textId="77777777" w:rsidR="00BE467D" w:rsidRPr="00BE467D" w:rsidRDefault="00BE467D" w:rsidP="00BE467D">
            <w:pPr>
              <w:rPr>
                <w:color w:val="000000"/>
                <w:sz w:val="16"/>
                <w:szCs w:val="16"/>
              </w:rPr>
            </w:pPr>
            <w:r w:rsidRPr="00BE467D">
              <w:rPr>
                <w:color w:val="000000"/>
                <w:sz w:val="16"/>
                <w:szCs w:val="16"/>
              </w:rPr>
              <w:t>Allergic rhinitis</w:t>
            </w:r>
          </w:p>
        </w:tc>
        <w:tc>
          <w:tcPr>
            <w:tcW w:w="3240" w:type="dxa"/>
            <w:shd w:val="clear" w:color="auto" w:fill="auto"/>
            <w:noWrap/>
            <w:vAlign w:val="center"/>
            <w:hideMark/>
          </w:tcPr>
          <w:p w14:paraId="14AE532F" w14:textId="77777777" w:rsidR="00BE467D" w:rsidRPr="00BE467D" w:rsidRDefault="00BE467D" w:rsidP="00BE467D">
            <w:pPr>
              <w:rPr>
                <w:color w:val="000000"/>
                <w:sz w:val="16"/>
                <w:szCs w:val="16"/>
              </w:rPr>
            </w:pPr>
            <w:r w:rsidRPr="00BE467D">
              <w:rPr>
                <w:color w:val="000000"/>
                <w:sz w:val="16"/>
                <w:szCs w:val="16"/>
              </w:rPr>
              <w:t>Leukopenia</w:t>
            </w:r>
          </w:p>
        </w:tc>
        <w:tc>
          <w:tcPr>
            <w:tcW w:w="2700" w:type="dxa"/>
            <w:shd w:val="clear" w:color="auto" w:fill="auto"/>
            <w:noWrap/>
            <w:vAlign w:val="center"/>
            <w:hideMark/>
          </w:tcPr>
          <w:p w14:paraId="7EB9E46C" w14:textId="77777777" w:rsidR="00BE467D" w:rsidRPr="00BE467D" w:rsidRDefault="00BE467D" w:rsidP="00BE467D">
            <w:pPr>
              <w:rPr>
                <w:color w:val="000000"/>
                <w:sz w:val="16"/>
                <w:szCs w:val="16"/>
              </w:rPr>
            </w:pPr>
            <w:r w:rsidRPr="00BE467D">
              <w:rPr>
                <w:color w:val="000000"/>
                <w:sz w:val="16"/>
                <w:szCs w:val="16"/>
              </w:rPr>
              <w:t>Pulmonary emphysema</w:t>
            </w:r>
          </w:p>
        </w:tc>
      </w:tr>
      <w:tr w:rsidR="00BE467D" w:rsidRPr="00BE467D" w14:paraId="4C2D6925" w14:textId="77777777" w:rsidTr="00F32CA7">
        <w:trPr>
          <w:trHeight w:val="300"/>
        </w:trPr>
        <w:tc>
          <w:tcPr>
            <w:tcW w:w="3410" w:type="dxa"/>
            <w:shd w:val="clear" w:color="auto" w:fill="auto"/>
            <w:noWrap/>
            <w:vAlign w:val="center"/>
            <w:hideMark/>
          </w:tcPr>
          <w:p w14:paraId="2355AD4C" w14:textId="77777777" w:rsidR="00BE467D" w:rsidRPr="00BE467D" w:rsidRDefault="00BE467D" w:rsidP="00BE467D">
            <w:pPr>
              <w:rPr>
                <w:color w:val="000000"/>
                <w:sz w:val="16"/>
                <w:szCs w:val="16"/>
              </w:rPr>
            </w:pPr>
            <w:r w:rsidRPr="00BE467D">
              <w:rPr>
                <w:color w:val="000000"/>
                <w:sz w:val="16"/>
                <w:szCs w:val="16"/>
              </w:rPr>
              <w:t>Altered sensation of skin</w:t>
            </w:r>
          </w:p>
        </w:tc>
        <w:tc>
          <w:tcPr>
            <w:tcW w:w="3240" w:type="dxa"/>
            <w:shd w:val="clear" w:color="auto" w:fill="auto"/>
            <w:noWrap/>
            <w:vAlign w:val="center"/>
            <w:hideMark/>
          </w:tcPr>
          <w:p w14:paraId="28E60C2F" w14:textId="77777777" w:rsidR="00BE467D" w:rsidRPr="00BE467D" w:rsidRDefault="00BE467D" w:rsidP="00BE467D">
            <w:pPr>
              <w:rPr>
                <w:color w:val="000000"/>
                <w:sz w:val="16"/>
                <w:szCs w:val="16"/>
              </w:rPr>
            </w:pPr>
            <w:r w:rsidRPr="00BE467D">
              <w:rPr>
                <w:color w:val="000000"/>
                <w:sz w:val="16"/>
                <w:szCs w:val="16"/>
              </w:rPr>
              <w:t>Localized enlarged lymph nodes</w:t>
            </w:r>
          </w:p>
        </w:tc>
        <w:tc>
          <w:tcPr>
            <w:tcW w:w="2700" w:type="dxa"/>
            <w:shd w:val="clear" w:color="auto" w:fill="auto"/>
            <w:noWrap/>
            <w:vAlign w:val="center"/>
            <w:hideMark/>
          </w:tcPr>
          <w:p w14:paraId="1C6E3D2B" w14:textId="77777777" w:rsidR="00BE467D" w:rsidRPr="00BE467D" w:rsidRDefault="00BE467D" w:rsidP="00BE467D">
            <w:pPr>
              <w:rPr>
                <w:color w:val="000000"/>
                <w:sz w:val="16"/>
                <w:szCs w:val="16"/>
              </w:rPr>
            </w:pPr>
            <w:r w:rsidRPr="00BE467D">
              <w:rPr>
                <w:color w:val="000000"/>
                <w:sz w:val="16"/>
                <w:szCs w:val="16"/>
              </w:rPr>
              <w:t>Pyelonephritis</w:t>
            </w:r>
          </w:p>
        </w:tc>
      </w:tr>
      <w:tr w:rsidR="00BE467D" w:rsidRPr="00BE467D" w14:paraId="0C2CD452" w14:textId="77777777" w:rsidTr="00F32CA7">
        <w:trPr>
          <w:trHeight w:val="300"/>
        </w:trPr>
        <w:tc>
          <w:tcPr>
            <w:tcW w:w="3410" w:type="dxa"/>
            <w:shd w:val="clear" w:color="auto" w:fill="auto"/>
            <w:noWrap/>
            <w:vAlign w:val="center"/>
            <w:hideMark/>
          </w:tcPr>
          <w:p w14:paraId="05279812" w14:textId="77777777" w:rsidR="00BE467D" w:rsidRPr="00BE467D" w:rsidRDefault="00BE467D" w:rsidP="00BE467D">
            <w:pPr>
              <w:rPr>
                <w:color w:val="000000"/>
                <w:sz w:val="16"/>
                <w:szCs w:val="16"/>
              </w:rPr>
            </w:pPr>
            <w:r w:rsidRPr="00BE467D">
              <w:rPr>
                <w:color w:val="000000"/>
                <w:sz w:val="16"/>
                <w:szCs w:val="16"/>
              </w:rPr>
              <w:t>Anesthesia of skin</w:t>
            </w:r>
          </w:p>
        </w:tc>
        <w:tc>
          <w:tcPr>
            <w:tcW w:w="3240" w:type="dxa"/>
            <w:shd w:val="clear" w:color="auto" w:fill="auto"/>
            <w:noWrap/>
            <w:vAlign w:val="center"/>
            <w:hideMark/>
          </w:tcPr>
          <w:p w14:paraId="5B01A608" w14:textId="77777777" w:rsidR="00BE467D" w:rsidRPr="00BE467D" w:rsidRDefault="00BE467D" w:rsidP="00BE467D">
            <w:pPr>
              <w:rPr>
                <w:color w:val="000000"/>
                <w:sz w:val="16"/>
                <w:szCs w:val="16"/>
              </w:rPr>
            </w:pPr>
            <w:r w:rsidRPr="00BE467D">
              <w:rPr>
                <w:color w:val="000000"/>
                <w:sz w:val="16"/>
                <w:szCs w:val="16"/>
              </w:rPr>
              <w:t>Localized osteoarthrosis uncertain if primary OR secondary</w:t>
            </w:r>
          </w:p>
        </w:tc>
        <w:tc>
          <w:tcPr>
            <w:tcW w:w="2700" w:type="dxa"/>
            <w:shd w:val="clear" w:color="auto" w:fill="auto"/>
            <w:noWrap/>
            <w:vAlign w:val="center"/>
            <w:hideMark/>
          </w:tcPr>
          <w:p w14:paraId="694B6349" w14:textId="77777777" w:rsidR="00BE467D" w:rsidRPr="00BE467D" w:rsidRDefault="00BE467D" w:rsidP="00BE467D">
            <w:pPr>
              <w:rPr>
                <w:color w:val="000000"/>
                <w:sz w:val="16"/>
                <w:szCs w:val="16"/>
              </w:rPr>
            </w:pPr>
            <w:r w:rsidRPr="00BE467D">
              <w:rPr>
                <w:color w:val="000000"/>
                <w:sz w:val="16"/>
                <w:szCs w:val="16"/>
              </w:rPr>
              <w:t>Recurrent major depressive episodes, moderate</w:t>
            </w:r>
          </w:p>
        </w:tc>
      </w:tr>
      <w:tr w:rsidR="00BE467D" w:rsidRPr="00BE467D" w14:paraId="191F073E" w14:textId="77777777" w:rsidTr="00F32CA7">
        <w:trPr>
          <w:trHeight w:val="300"/>
        </w:trPr>
        <w:tc>
          <w:tcPr>
            <w:tcW w:w="3410" w:type="dxa"/>
            <w:shd w:val="clear" w:color="auto" w:fill="auto"/>
            <w:noWrap/>
            <w:vAlign w:val="center"/>
            <w:hideMark/>
          </w:tcPr>
          <w:p w14:paraId="2ED9F760" w14:textId="77777777" w:rsidR="00BE467D" w:rsidRPr="00BE467D" w:rsidRDefault="00BE467D" w:rsidP="00BE467D">
            <w:pPr>
              <w:rPr>
                <w:color w:val="000000"/>
                <w:sz w:val="16"/>
                <w:szCs w:val="16"/>
              </w:rPr>
            </w:pPr>
            <w:r w:rsidRPr="00BE467D">
              <w:rPr>
                <w:color w:val="000000"/>
                <w:sz w:val="16"/>
                <w:szCs w:val="16"/>
              </w:rPr>
              <w:t>Ascites</w:t>
            </w:r>
          </w:p>
        </w:tc>
        <w:tc>
          <w:tcPr>
            <w:tcW w:w="3240" w:type="dxa"/>
            <w:shd w:val="clear" w:color="auto" w:fill="auto"/>
            <w:noWrap/>
            <w:vAlign w:val="center"/>
            <w:hideMark/>
          </w:tcPr>
          <w:p w14:paraId="7AF3F071" w14:textId="77777777" w:rsidR="00BE467D" w:rsidRPr="00BE467D" w:rsidRDefault="00BE467D" w:rsidP="00BE467D">
            <w:pPr>
              <w:rPr>
                <w:color w:val="000000"/>
                <w:sz w:val="16"/>
                <w:szCs w:val="16"/>
              </w:rPr>
            </w:pPr>
            <w:r w:rsidRPr="00BE467D">
              <w:rPr>
                <w:color w:val="000000"/>
                <w:sz w:val="16"/>
                <w:szCs w:val="16"/>
              </w:rPr>
              <w:t>Localized swelling, mass and lump, lower limb</w:t>
            </w:r>
          </w:p>
        </w:tc>
        <w:tc>
          <w:tcPr>
            <w:tcW w:w="2700" w:type="dxa"/>
            <w:shd w:val="clear" w:color="auto" w:fill="auto"/>
            <w:noWrap/>
            <w:vAlign w:val="center"/>
            <w:hideMark/>
          </w:tcPr>
          <w:p w14:paraId="7B5C25B2" w14:textId="77777777" w:rsidR="00BE467D" w:rsidRPr="00BE467D" w:rsidRDefault="00BE467D" w:rsidP="00BE467D">
            <w:pPr>
              <w:rPr>
                <w:color w:val="000000"/>
                <w:sz w:val="16"/>
                <w:szCs w:val="16"/>
              </w:rPr>
            </w:pPr>
            <w:r w:rsidRPr="00BE467D">
              <w:rPr>
                <w:color w:val="000000"/>
                <w:sz w:val="16"/>
                <w:szCs w:val="16"/>
              </w:rPr>
              <w:t>Renal disorder due to type 2 diabetes mellitus</w:t>
            </w:r>
          </w:p>
        </w:tc>
      </w:tr>
      <w:tr w:rsidR="00BE467D" w:rsidRPr="00BE467D" w14:paraId="540E41B5" w14:textId="77777777" w:rsidTr="00F32CA7">
        <w:trPr>
          <w:trHeight w:val="300"/>
        </w:trPr>
        <w:tc>
          <w:tcPr>
            <w:tcW w:w="3410" w:type="dxa"/>
            <w:shd w:val="clear" w:color="auto" w:fill="auto"/>
            <w:noWrap/>
            <w:vAlign w:val="center"/>
            <w:hideMark/>
          </w:tcPr>
          <w:p w14:paraId="56658673" w14:textId="77777777" w:rsidR="00BE467D" w:rsidRPr="00BE467D" w:rsidRDefault="00BE467D" w:rsidP="00BE467D">
            <w:pPr>
              <w:rPr>
                <w:color w:val="000000"/>
                <w:sz w:val="16"/>
                <w:szCs w:val="16"/>
              </w:rPr>
            </w:pPr>
            <w:r w:rsidRPr="00BE467D">
              <w:rPr>
                <w:color w:val="000000"/>
                <w:sz w:val="16"/>
                <w:szCs w:val="16"/>
              </w:rPr>
              <w:t>Atelectasis</w:t>
            </w:r>
          </w:p>
        </w:tc>
        <w:tc>
          <w:tcPr>
            <w:tcW w:w="3240" w:type="dxa"/>
            <w:shd w:val="clear" w:color="auto" w:fill="auto"/>
            <w:noWrap/>
            <w:vAlign w:val="center"/>
            <w:hideMark/>
          </w:tcPr>
          <w:p w14:paraId="0FE3DB12" w14:textId="77777777" w:rsidR="00BE467D" w:rsidRPr="00BE467D" w:rsidRDefault="00BE467D" w:rsidP="00BE467D">
            <w:pPr>
              <w:rPr>
                <w:color w:val="000000"/>
                <w:sz w:val="16"/>
                <w:szCs w:val="16"/>
              </w:rPr>
            </w:pPr>
            <w:r w:rsidRPr="00BE467D">
              <w:rPr>
                <w:color w:val="000000"/>
                <w:sz w:val="16"/>
                <w:szCs w:val="16"/>
              </w:rPr>
              <w:t>Localized, primary osteoarthritis of the shoulder region</w:t>
            </w:r>
          </w:p>
        </w:tc>
        <w:tc>
          <w:tcPr>
            <w:tcW w:w="2700" w:type="dxa"/>
            <w:shd w:val="clear" w:color="auto" w:fill="auto"/>
            <w:noWrap/>
            <w:vAlign w:val="center"/>
            <w:hideMark/>
          </w:tcPr>
          <w:p w14:paraId="33580D98" w14:textId="77777777" w:rsidR="00BE467D" w:rsidRPr="00BE467D" w:rsidRDefault="00BE467D" w:rsidP="00BE467D">
            <w:pPr>
              <w:rPr>
                <w:color w:val="000000"/>
                <w:sz w:val="16"/>
                <w:szCs w:val="16"/>
              </w:rPr>
            </w:pPr>
            <w:r w:rsidRPr="00BE467D">
              <w:rPr>
                <w:color w:val="000000"/>
                <w:sz w:val="16"/>
                <w:szCs w:val="16"/>
              </w:rPr>
              <w:t>Retention of urine</w:t>
            </w:r>
          </w:p>
        </w:tc>
      </w:tr>
      <w:tr w:rsidR="00BE467D" w:rsidRPr="00BE467D" w14:paraId="4D767305" w14:textId="77777777" w:rsidTr="00F32CA7">
        <w:trPr>
          <w:trHeight w:val="300"/>
        </w:trPr>
        <w:tc>
          <w:tcPr>
            <w:tcW w:w="3410" w:type="dxa"/>
            <w:shd w:val="clear" w:color="auto" w:fill="auto"/>
            <w:noWrap/>
            <w:vAlign w:val="center"/>
            <w:hideMark/>
          </w:tcPr>
          <w:p w14:paraId="41FB8D27" w14:textId="77777777" w:rsidR="00BE467D" w:rsidRPr="00BE467D" w:rsidRDefault="00BE467D" w:rsidP="00BE467D">
            <w:pPr>
              <w:rPr>
                <w:color w:val="000000"/>
                <w:sz w:val="16"/>
                <w:szCs w:val="16"/>
              </w:rPr>
            </w:pPr>
            <w:r w:rsidRPr="00BE467D">
              <w:rPr>
                <w:color w:val="000000"/>
                <w:sz w:val="16"/>
                <w:szCs w:val="16"/>
              </w:rPr>
              <w:t>Bacteremia</w:t>
            </w:r>
          </w:p>
        </w:tc>
        <w:tc>
          <w:tcPr>
            <w:tcW w:w="3240" w:type="dxa"/>
            <w:shd w:val="clear" w:color="auto" w:fill="auto"/>
            <w:noWrap/>
            <w:vAlign w:val="center"/>
            <w:hideMark/>
          </w:tcPr>
          <w:p w14:paraId="6A62E72F" w14:textId="77777777" w:rsidR="00BE467D" w:rsidRPr="00BE467D" w:rsidRDefault="00BE467D" w:rsidP="00BE467D">
            <w:pPr>
              <w:rPr>
                <w:color w:val="000000"/>
                <w:sz w:val="16"/>
                <w:szCs w:val="16"/>
              </w:rPr>
            </w:pPr>
            <w:r w:rsidRPr="00BE467D">
              <w:rPr>
                <w:color w:val="000000"/>
                <w:sz w:val="16"/>
                <w:szCs w:val="16"/>
              </w:rPr>
              <w:t>Loss of consciousness</w:t>
            </w:r>
          </w:p>
        </w:tc>
        <w:tc>
          <w:tcPr>
            <w:tcW w:w="2700" w:type="dxa"/>
            <w:shd w:val="clear" w:color="auto" w:fill="auto"/>
            <w:noWrap/>
            <w:vAlign w:val="center"/>
            <w:hideMark/>
          </w:tcPr>
          <w:p w14:paraId="6F4BE3FE" w14:textId="77777777" w:rsidR="00BE467D" w:rsidRPr="00BE467D" w:rsidRDefault="00BE467D" w:rsidP="00BE467D">
            <w:pPr>
              <w:rPr>
                <w:color w:val="000000"/>
                <w:sz w:val="16"/>
                <w:szCs w:val="16"/>
              </w:rPr>
            </w:pPr>
            <w:r w:rsidRPr="00BE467D">
              <w:rPr>
                <w:color w:val="000000"/>
                <w:sz w:val="16"/>
                <w:szCs w:val="16"/>
              </w:rPr>
              <w:t>Scar conditions and fibrosis of skin</w:t>
            </w:r>
          </w:p>
        </w:tc>
      </w:tr>
      <w:tr w:rsidR="00BE467D" w:rsidRPr="00BE467D" w14:paraId="1FEDF3F9" w14:textId="77777777" w:rsidTr="00F32CA7">
        <w:trPr>
          <w:trHeight w:val="300"/>
        </w:trPr>
        <w:tc>
          <w:tcPr>
            <w:tcW w:w="3410" w:type="dxa"/>
            <w:shd w:val="clear" w:color="auto" w:fill="auto"/>
            <w:noWrap/>
            <w:vAlign w:val="center"/>
            <w:hideMark/>
          </w:tcPr>
          <w:p w14:paraId="54276872" w14:textId="77777777" w:rsidR="00BE467D" w:rsidRPr="00BE467D" w:rsidRDefault="00BE467D" w:rsidP="00BE467D">
            <w:pPr>
              <w:rPr>
                <w:color w:val="000000"/>
                <w:sz w:val="16"/>
                <w:szCs w:val="16"/>
              </w:rPr>
            </w:pPr>
            <w:r w:rsidRPr="00BE467D">
              <w:rPr>
                <w:color w:val="000000"/>
                <w:sz w:val="16"/>
                <w:szCs w:val="16"/>
              </w:rPr>
              <w:t>Benign hypertensive renal disease with renal failure</w:t>
            </w:r>
          </w:p>
        </w:tc>
        <w:tc>
          <w:tcPr>
            <w:tcW w:w="3240" w:type="dxa"/>
            <w:shd w:val="clear" w:color="auto" w:fill="auto"/>
            <w:noWrap/>
            <w:vAlign w:val="center"/>
            <w:hideMark/>
          </w:tcPr>
          <w:p w14:paraId="06DED142" w14:textId="77777777" w:rsidR="00BE467D" w:rsidRPr="00BE467D" w:rsidRDefault="00BE467D" w:rsidP="00BE467D">
            <w:pPr>
              <w:rPr>
                <w:color w:val="000000"/>
                <w:sz w:val="16"/>
                <w:szCs w:val="16"/>
              </w:rPr>
            </w:pPr>
            <w:r w:rsidRPr="00BE467D">
              <w:rPr>
                <w:color w:val="000000"/>
                <w:sz w:val="16"/>
                <w:szCs w:val="16"/>
              </w:rPr>
              <w:t>Lumbar spondylosis</w:t>
            </w:r>
          </w:p>
        </w:tc>
        <w:tc>
          <w:tcPr>
            <w:tcW w:w="2700" w:type="dxa"/>
            <w:shd w:val="clear" w:color="auto" w:fill="auto"/>
            <w:noWrap/>
            <w:vAlign w:val="center"/>
            <w:hideMark/>
          </w:tcPr>
          <w:p w14:paraId="2D0E7D69" w14:textId="77777777" w:rsidR="00BE467D" w:rsidRPr="00BE467D" w:rsidRDefault="00BE467D" w:rsidP="00BE467D">
            <w:pPr>
              <w:rPr>
                <w:color w:val="000000"/>
                <w:sz w:val="16"/>
                <w:szCs w:val="16"/>
              </w:rPr>
            </w:pPr>
            <w:r w:rsidRPr="00BE467D">
              <w:rPr>
                <w:color w:val="000000"/>
                <w:sz w:val="16"/>
                <w:szCs w:val="16"/>
              </w:rPr>
              <w:t>Sciatica</w:t>
            </w:r>
          </w:p>
        </w:tc>
      </w:tr>
      <w:tr w:rsidR="00BE467D" w:rsidRPr="00BE467D" w14:paraId="225D3344" w14:textId="77777777" w:rsidTr="00F32CA7">
        <w:trPr>
          <w:trHeight w:val="300"/>
        </w:trPr>
        <w:tc>
          <w:tcPr>
            <w:tcW w:w="3410" w:type="dxa"/>
            <w:shd w:val="clear" w:color="auto" w:fill="auto"/>
            <w:noWrap/>
            <w:vAlign w:val="center"/>
            <w:hideMark/>
          </w:tcPr>
          <w:p w14:paraId="06B54E3C" w14:textId="77777777" w:rsidR="00BE467D" w:rsidRPr="00BE467D" w:rsidRDefault="00BE467D" w:rsidP="00BE467D">
            <w:pPr>
              <w:rPr>
                <w:color w:val="000000"/>
                <w:sz w:val="16"/>
                <w:szCs w:val="16"/>
              </w:rPr>
            </w:pPr>
            <w:r w:rsidRPr="00BE467D">
              <w:rPr>
                <w:color w:val="000000"/>
                <w:sz w:val="16"/>
                <w:szCs w:val="16"/>
              </w:rPr>
              <w:t>Candidiasis of mouth</w:t>
            </w:r>
          </w:p>
        </w:tc>
        <w:tc>
          <w:tcPr>
            <w:tcW w:w="3240" w:type="dxa"/>
            <w:shd w:val="clear" w:color="auto" w:fill="auto"/>
            <w:noWrap/>
            <w:vAlign w:val="center"/>
            <w:hideMark/>
          </w:tcPr>
          <w:p w14:paraId="7486FECE" w14:textId="77777777" w:rsidR="00BE467D" w:rsidRPr="00BE467D" w:rsidRDefault="00BE467D" w:rsidP="00BE467D">
            <w:pPr>
              <w:rPr>
                <w:color w:val="000000"/>
                <w:sz w:val="16"/>
                <w:szCs w:val="16"/>
              </w:rPr>
            </w:pPr>
            <w:r w:rsidRPr="00BE467D">
              <w:rPr>
                <w:color w:val="000000"/>
                <w:sz w:val="16"/>
                <w:szCs w:val="16"/>
              </w:rPr>
              <w:t>Lumbar sprain</w:t>
            </w:r>
          </w:p>
        </w:tc>
        <w:tc>
          <w:tcPr>
            <w:tcW w:w="2700" w:type="dxa"/>
            <w:shd w:val="clear" w:color="auto" w:fill="auto"/>
            <w:noWrap/>
            <w:vAlign w:val="center"/>
            <w:hideMark/>
          </w:tcPr>
          <w:p w14:paraId="79EA08B6" w14:textId="77777777" w:rsidR="00BE467D" w:rsidRPr="00BE467D" w:rsidRDefault="00BE467D" w:rsidP="00BE467D">
            <w:pPr>
              <w:rPr>
                <w:color w:val="000000"/>
                <w:sz w:val="16"/>
                <w:szCs w:val="16"/>
              </w:rPr>
            </w:pPr>
            <w:r w:rsidRPr="00BE467D">
              <w:rPr>
                <w:color w:val="000000"/>
                <w:sz w:val="16"/>
                <w:szCs w:val="16"/>
              </w:rPr>
              <w:t>Segmental and somatic dysfunction</w:t>
            </w:r>
          </w:p>
        </w:tc>
      </w:tr>
      <w:tr w:rsidR="00BE467D" w:rsidRPr="00BE467D" w14:paraId="080DF434" w14:textId="77777777" w:rsidTr="00F32CA7">
        <w:trPr>
          <w:trHeight w:val="300"/>
        </w:trPr>
        <w:tc>
          <w:tcPr>
            <w:tcW w:w="3410" w:type="dxa"/>
            <w:shd w:val="clear" w:color="auto" w:fill="auto"/>
            <w:noWrap/>
            <w:vAlign w:val="center"/>
            <w:hideMark/>
          </w:tcPr>
          <w:p w14:paraId="6C8488FF" w14:textId="77777777" w:rsidR="00BE467D" w:rsidRPr="00BE467D" w:rsidRDefault="00BE467D" w:rsidP="00BE467D">
            <w:pPr>
              <w:rPr>
                <w:color w:val="000000"/>
                <w:sz w:val="16"/>
                <w:szCs w:val="16"/>
              </w:rPr>
            </w:pPr>
            <w:r w:rsidRPr="00BE467D">
              <w:rPr>
                <w:color w:val="000000"/>
                <w:sz w:val="16"/>
                <w:szCs w:val="16"/>
              </w:rPr>
              <w:t>Cervical disc disorder with radiculopathy</w:t>
            </w:r>
          </w:p>
        </w:tc>
        <w:tc>
          <w:tcPr>
            <w:tcW w:w="3240" w:type="dxa"/>
            <w:shd w:val="clear" w:color="auto" w:fill="auto"/>
            <w:noWrap/>
            <w:vAlign w:val="center"/>
            <w:hideMark/>
          </w:tcPr>
          <w:p w14:paraId="3388A1EA" w14:textId="77777777" w:rsidR="00BE467D" w:rsidRPr="00BE467D" w:rsidRDefault="00BE467D" w:rsidP="00BE467D">
            <w:pPr>
              <w:rPr>
                <w:color w:val="000000"/>
                <w:sz w:val="16"/>
                <w:szCs w:val="16"/>
              </w:rPr>
            </w:pPr>
            <w:r w:rsidRPr="00BE467D">
              <w:rPr>
                <w:color w:val="000000"/>
                <w:sz w:val="16"/>
                <w:szCs w:val="16"/>
              </w:rPr>
              <w:t>Lumbosacral radiculopathy</w:t>
            </w:r>
          </w:p>
        </w:tc>
        <w:tc>
          <w:tcPr>
            <w:tcW w:w="2700" w:type="dxa"/>
            <w:shd w:val="clear" w:color="auto" w:fill="auto"/>
            <w:noWrap/>
            <w:vAlign w:val="center"/>
            <w:hideMark/>
          </w:tcPr>
          <w:p w14:paraId="1BB84A7A" w14:textId="77777777" w:rsidR="00BE467D" w:rsidRPr="00BE467D" w:rsidRDefault="00BE467D" w:rsidP="00BE467D">
            <w:pPr>
              <w:rPr>
                <w:color w:val="000000"/>
                <w:sz w:val="16"/>
                <w:szCs w:val="16"/>
              </w:rPr>
            </w:pPr>
            <w:r w:rsidRPr="00BE467D">
              <w:rPr>
                <w:color w:val="000000"/>
                <w:sz w:val="16"/>
                <w:szCs w:val="16"/>
              </w:rPr>
              <w:t>Senile hyperkeratosis</w:t>
            </w:r>
          </w:p>
        </w:tc>
      </w:tr>
      <w:tr w:rsidR="00BE467D" w:rsidRPr="00BE467D" w14:paraId="453F0193" w14:textId="77777777" w:rsidTr="00F32CA7">
        <w:trPr>
          <w:trHeight w:val="300"/>
        </w:trPr>
        <w:tc>
          <w:tcPr>
            <w:tcW w:w="3410" w:type="dxa"/>
            <w:shd w:val="clear" w:color="auto" w:fill="auto"/>
            <w:noWrap/>
            <w:vAlign w:val="center"/>
            <w:hideMark/>
          </w:tcPr>
          <w:p w14:paraId="1A5E261E" w14:textId="77777777" w:rsidR="00BE467D" w:rsidRPr="00BE467D" w:rsidRDefault="00BE467D" w:rsidP="00BE467D">
            <w:pPr>
              <w:rPr>
                <w:color w:val="000000"/>
                <w:sz w:val="16"/>
                <w:szCs w:val="16"/>
              </w:rPr>
            </w:pPr>
            <w:r w:rsidRPr="00BE467D">
              <w:rPr>
                <w:color w:val="000000"/>
                <w:sz w:val="16"/>
                <w:szCs w:val="16"/>
              </w:rPr>
              <w:t>Cervical radiculopathy</w:t>
            </w:r>
          </w:p>
        </w:tc>
        <w:tc>
          <w:tcPr>
            <w:tcW w:w="3240" w:type="dxa"/>
            <w:shd w:val="clear" w:color="auto" w:fill="auto"/>
            <w:noWrap/>
            <w:vAlign w:val="center"/>
            <w:hideMark/>
          </w:tcPr>
          <w:p w14:paraId="28E8FB5B" w14:textId="77777777" w:rsidR="00BE467D" w:rsidRPr="00BE467D" w:rsidRDefault="00BE467D" w:rsidP="00BE467D">
            <w:pPr>
              <w:rPr>
                <w:color w:val="000000"/>
                <w:sz w:val="16"/>
                <w:szCs w:val="16"/>
              </w:rPr>
            </w:pPr>
            <w:r w:rsidRPr="00BE467D">
              <w:rPr>
                <w:color w:val="000000"/>
                <w:sz w:val="16"/>
                <w:szCs w:val="16"/>
              </w:rPr>
              <w:t>Lumbosacral spondylosis without myelopathy</w:t>
            </w:r>
          </w:p>
        </w:tc>
        <w:tc>
          <w:tcPr>
            <w:tcW w:w="2700" w:type="dxa"/>
            <w:shd w:val="clear" w:color="auto" w:fill="auto"/>
            <w:noWrap/>
            <w:vAlign w:val="center"/>
            <w:hideMark/>
          </w:tcPr>
          <w:p w14:paraId="0CFF9D37" w14:textId="77777777" w:rsidR="00BE467D" w:rsidRPr="00BE467D" w:rsidRDefault="00BE467D" w:rsidP="00BE467D">
            <w:pPr>
              <w:rPr>
                <w:color w:val="000000"/>
                <w:sz w:val="16"/>
                <w:szCs w:val="16"/>
              </w:rPr>
            </w:pPr>
            <w:r w:rsidRPr="00BE467D">
              <w:rPr>
                <w:color w:val="000000"/>
                <w:sz w:val="16"/>
                <w:szCs w:val="16"/>
              </w:rPr>
              <w:t>Sleep apnea</w:t>
            </w:r>
          </w:p>
        </w:tc>
      </w:tr>
      <w:tr w:rsidR="00BE467D" w:rsidRPr="00BE467D" w14:paraId="7653C745" w14:textId="77777777" w:rsidTr="00F32CA7">
        <w:trPr>
          <w:trHeight w:val="300"/>
        </w:trPr>
        <w:tc>
          <w:tcPr>
            <w:tcW w:w="3410" w:type="dxa"/>
            <w:shd w:val="clear" w:color="auto" w:fill="auto"/>
            <w:noWrap/>
            <w:vAlign w:val="center"/>
            <w:hideMark/>
          </w:tcPr>
          <w:p w14:paraId="1D2C3FE4" w14:textId="77777777" w:rsidR="00BE467D" w:rsidRPr="00BE467D" w:rsidRDefault="00BE467D" w:rsidP="00BE467D">
            <w:pPr>
              <w:rPr>
                <w:color w:val="000000"/>
                <w:sz w:val="16"/>
                <w:szCs w:val="16"/>
              </w:rPr>
            </w:pPr>
            <w:r w:rsidRPr="00BE467D">
              <w:rPr>
                <w:color w:val="000000"/>
                <w:sz w:val="16"/>
                <w:szCs w:val="16"/>
              </w:rPr>
              <w:t>Cervical spondylosis without myelopathy</w:t>
            </w:r>
          </w:p>
        </w:tc>
        <w:tc>
          <w:tcPr>
            <w:tcW w:w="3240" w:type="dxa"/>
            <w:shd w:val="clear" w:color="auto" w:fill="auto"/>
            <w:noWrap/>
            <w:vAlign w:val="center"/>
            <w:hideMark/>
          </w:tcPr>
          <w:p w14:paraId="459BDF5A" w14:textId="77777777" w:rsidR="00BE467D" w:rsidRPr="00BE467D" w:rsidRDefault="00BE467D" w:rsidP="00BE467D">
            <w:pPr>
              <w:rPr>
                <w:color w:val="000000"/>
                <w:sz w:val="16"/>
                <w:szCs w:val="16"/>
              </w:rPr>
            </w:pPr>
            <w:r w:rsidRPr="00BE467D">
              <w:rPr>
                <w:color w:val="000000"/>
                <w:sz w:val="16"/>
                <w:szCs w:val="16"/>
              </w:rPr>
              <w:t>Lumbosacral stenosis</w:t>
            </w:r>
          </w:p>
        </w:tc>
        <w:tc>
          <w:tcPr>
            <w:tcW w:w="2700" w:type="dxa"/>
            <w:shd w:val="clear" w:color="auto" w:fill="auto"/>
            <w:noWrap/>
            <w:vAlign w:val="center"/>
            <w:hideMark/>
          </w:tcPr>
          <w:p w14:paraId="07D44B27" w14:textId="77777777" w:rsidR="00BE467D" w:rsidRPr="00BE467D" w:rsidRDefault="00BE467D" w:rsidP="00BE467D">
            <w:pPr>
              <w:rPr>
                <w:color w:val="000000"/>
                <w:sz w:val="16"/>
                <w:szCs w:val="16"/>
              </w:rPr>
            </w:pPr>
            <w:r w:rsidRPr="00BE467D">
              <w:rPr>
                <w:color w:val="000000"/>
                <w:sz w:val="16"/>
                <w:szCs w:val="16"/>
              </w:rPr>
              <w:t>Somatic dysfunction of sacral region</w:t>
            </w:r>
          </w:p>
        </w:tc>
      </w:tr>
      <w:tr w:rsidR="00BE467D" w:rsidRPr="00BE467D" w14:paraId="5465B0B1" w14:textId="77777777" w:rsidTr="00F32CA7">
        <w:trPr>
          <w:trHeight w:val="300"/>
        </w:trPr>
        <w:tc>
          <w:tcPr>
            <w:tcW w:w="3410" w:type="dxa"/>
            <w:shd w:val="clear" w:color="auto" w:fill="auto"/>
            <w:noWrap/>
            <w:vAlign w:val="center"/>
            <w:hideMark/>
          </w:tcPr>
          <w:p w14:paraId="07109370" w14:textId="77777777" w:rsidR="00BE467D" w:rsidRPr="00BE467D" w:rsidRDefault="00BE467D" w:rsidP="00BE467D">
            <w:pPr>
              <w:rPr>
                <w:color w:val="000000"/>
                <w:sz w:val="16"/>
                <w:szCs w:val="16"/>
              </w:rPr>
            </w:pPr>
            <w:r w:rsidRPr="00BE467D">
              <w:rPr>
                <w:color w:val="000000"/>
                <w:sz w:val="16"/>
                <w:szCs w:val="16"/>
              </w:rPr>
              <w:t>Chronic kidney disease due to type 2 diabetes mellitus</w:t>
            </w:r>
          </w:p>
        </w:tc>
        <w:tc>
          <w:tcPr>
            <w:tcW w:w="3240" w:type="dxa"/>
            <w:shd w:val="clear" w:color="auto" w:fill="auto"/>
            <w:noWrap/>
            <w:vAlign w:val="center"/>
            <w:hideMark/>
          </w:tcPr>
          <w:p w14:paraId="21F4DC6C" w14:textId="77777777" w:rsidR="00BE467D" w:rsidRPr="00BE467D" w:rsidRDefault="00BE467D" w:rsidP="00BE467D">
            <w:pPr>
              <w:rPr>
                <w:color w:val="000000"/>
                <w:sz w:val="16"/>
                <w:szCs w:val="16"/>
              </w:rPr>
            </w:pPr>
            <w:r w:rsidRPr="00BE467D">
              <w:rPr>
                <w:color w:val="000000"/>
                <w:sz w:val="16"/>
                <w:szCs w:val="16"/>
              </w:rPr>
              <w:t>Malnutrition</w:t>
            </w:r>
          </w:p>
        </w:tc>
        <w:tc>
          <w:tcPr>
            <w:tcW w:w="2700" w:type="dxa"/>
            <w:shd w:val="clear" w:color="auto" w:fill="auto"/>
            <w:noWrap/>
            <w:vAlign w:val="center"/>
            <w:hideMark/>
          </w:tcPr>
          <w:p w14:paraId="49B8DF92" w14:textId="77777777" w:rsidR="00BE467D" w:rsidRPr="00BE467D" w:rsidRDefault="00BE467D" w:rsidP="00BE467D">
            <w:pPr>
              <w:rPr>
                <w:color w:val="000000"/>
                <w:sz w:val="16"/>
                <w:szCs w:val="16"/>
              </w:rPr>
            </w:pPr>
            <w:r w:rsidRPr="00BE467D">
              <w:rPr>
                <w:color w:val="000000"/>
                <w:sz w:val="16"/>
                <w:szCs w:val="16"/>
              </w:rPr>
              <w:t>Somatic dysfunction of thoracic region</w:t>
            </w:r>
          </w:p>
        </w:tc>
      </w:tr>
      <w:tr w:rsidR="00BE467D" w:rsidRPr="00BE467D" w14:paraId="2CD5C973" w14:textId="77777777" w:rsidTr="00F32CA7">
        <w:trPr>
          <w:trHeight w:val="300"/>
        </w:trPr>
        <w:tc>
          <w:tcPr>
            <w:tcW w:w="3410" w:type="dxa"/>
            <w:shd w:val="clear" w:color="auto" w:fill="auto"/>
            <w:noWrap/>
            <w:vAlign w:val="center"/>
            <w:hideMark/>
          </w:tcPr>
          <w:p w14:paraId="5C38492C" w14:textId="77777777" w:rsidR="00BE467D" w:rsidRPr="00BE467D" w:rsidRDefault="00BE467D" w:rsidP="00BE467D">
            <w:pPr>
              <w:rPr>
                <w:color w:val="000000"/>
                <w:sz w:val="16"/>
                <w:szCs w:val="16"/>
              </w:rPr>
            </w:pPr>
            <w:r w:rsidRPr="00BE467D">
              <w:rPr>
                <w:color w:val="000000"/>
                <w:sz w:val="16"/>
                <w:szCs w:val="16"/>
              </w:rPr>
              <w:t>Chronic nonalcoholic liver disease</w:t>
            </w:r>
          </w:p>
        </w:tc>
        <w:tc>
          <w:tcPr>
            <w:tcW w:w="3240" w:type="dxa"/>
            <w:shd w:val="clear" w:color="auto" w:fill="auto"/>
            <w:noWrap/>
            <w:vAlign w:val="center"/>
            <w:hideMark/>
          </w:tcPr>
          <w:p w14:paraId="765BF2C6" w14:textId="77777777" w:rsidR="00BE467D" w:rsidRPr="00BE467D" w:rsidRDefault="00BE467D" w:rsidP="00BE467D">
            <w:pPr>
              <w:rPr>
                <w:color w:val="000000"/>
                <w:sz w:val="16"/>
                <w:szCs w:val="16"/>
              </w:rPr>
            </w:pPr>
            <w:r w:rsidRPr="00BE467D">
              <w:rPr>
                <w:color w:val="000000"/>
                <w:sz w:val="16"/>
                <w:szCs w:val="16"/>
              </w:rPr>
              <w:t>Melanocytic nevus of trunk</w:t>
            </w:r>
          </w:p>
        </w:tc>
        <w:tc>
          <w:tcPr>
            <w:tcW w:w="2700" w:type="dxa"/>
            <w:shd w:val="clear" w:color="auto" w:fill="auto"/>
            <w:noWrap/>
            <w:vAlign w:val="center"/>
            <w:hideMark/>
          </w:tcPr>
          <w:p w14:paraId="407D954F" w14:textId="77777777" w:rsidR="00BE467D" w:rsidRPr="00BE467D" w:rsidRDefault="00BE467D" w:rsidP="00BE467D">
            <w:pPr>
              <w:rPr>
                <w:color w:val="000000"/>
                <w:sz w:val="16"/>
                <w:szCs w:val="16"/>
              </w:rPr>
            </w:pPr>
            <w:r w:rsidRPr="00BE467D">
              <w:rPr>
                <w:color w:val="000000"/>
                <w:sz w:val="16"/>
                <w:szCs w:val="16"/>
              </w:rPr>
              <w:t>Spasm of back muscles</w:t>
            </w:r>
          </w:p>
        </w:tc>
      </w:tr>
      <w:tr w:rsidR="00BE467D" w:rsidRPr="00BE467D" w14:paraId="5C980A82" w14:textId="77777777" w:rsidTr="00F32CA7">
        <w:trPr>
          <w:trHeight w:val="300"/>
        </w:trPr>
        <w:tc>
          <w:tcPr>
            <w:tcW w:w="3410" w:type="dxa"/>
            <w:shd w:val="clear" w:color="auto" w:fill="auto"/>
            <w:noWrap/>
            <w:vAlign w:val="center"/>
            <w:hideMark/>
          </w:tcPr>
          <w:p w14:paraId="209DFAC6" w14:textId="77777777" w:rsidR="00BE467D" w:rsidRPr="00BE467D" w:rsidRDefault="00BE467D" w:rsidP="00BE467D">
            <w:pPr>
              <w:rPr>
                <w:color w:val="000000"/>
                <w:sz w:val="16"/>
                <w:szCs w:val="16"/>
              </w:rPr>
            </w:pPr>
            <w:r w:rsidRPr="00BE467D">
              <w:rPr>
                <w:color w:val="000000"/>
                <w:sz w:val="16"/>
                <w:szCs w:val="16"/>
              </w:rPr>
              <w:t>Chronic obstructive pulmonary disease with acute lower respiratory infection</w:t>
            </w:r>
          </w:p>
        </w:tc>
        <w:tc>
          <w:tcPr>
            <w:tcW w:w="3240" w:type="dxa"/>
            <w:shd w:val="clear" w:color="auto" w:fill="auto"/>
            <w:noWrap/>
            <w:vAlign w:val="center"/>
            <w:hideMark/>
          </w:tcPr>
          <w:p w14:paraId="67AA4808" w14:textId="77777777" w:rsidR="00BE467D" w:rsidRPr="00BE467D" w:rsidRDefault="00BE467D" w:rsidP="00BE467D">
            <w:pPr>
              <w:rPr>
                <w:color w:val="000000"/>
                <w:sz w:val="16"/>
                <w:szCs w:val="16"/>
              </w:rPr>
            </w:pPr>
            <w:r w:rsidRPr="00BE467D">
              <w:rPr>
                <w:color w:val="000000"/>
                <w:sz w:val="16"/>
                <w:szCs w:val="16"/>
              </w:rPr>
              <w:t>Merkel cell carcinoma</w:t>
            </w:r>
          </w:p>
        </w:tc>
        <w:tc>
          <w:tcPr>
            <w:tcW w:w="2700" w:type="dxa"/>
            <w:shd w:val="clear" w:color="auto" w:fill="auto"/>
            <w:noWrap/>
            <w:vAlign w:val="center"/>
            <w:hideMark/>
          </w:tcPr>
          <w:p w14:paraId="0A9A4D66" w14:textId="77777777" w:rsidR="00BE467D" w:rsidRPr="00BE467D" w:rsidRDefault="00BE467D" w:rsidP="00BE467D">
            <w:pPr>
              <w:rPr>
                <w:color w:val="000000"/>
                <w:sz w:val="16"/>
                <w:szCs w:val="16"/>
              </w:rPr>
            </w:pPr>
            <w:r w:rsidRPr="00BE467D">
              <w:rPr>
                <w:color w:val="000000"/>
                <w:sz w:val="16"/>
                <w:szCs w:val="16"/>
              </w:rPr>
              <w:t>Spinal stenosis in cervical region</w:t>
            </w:r>
          </w:p>
        </w:tc>
      </w:tr>
      <w:tr w:rsidR="00BE467D" w:rsidRPr="00BE467D" w14:paraId="51190A0C" w14:textId="77777777" w:rsidTr="00F32CA7">
        <w:trPr>
          <w:trHeight w:val="300"/>
        </w:trPr>
        <w:tc>
          <w:tcPr>
            <w:tcW w:w="3410" w:type="dxa"/>
            <w:shd w:val="clear" w:color="auto" w:fill="auto"/>
            <w:noWrap/>
            <w:vAlign w:val="center"/>
            <w:hideMark/>
          </w:tcPr>
          <w:p w14:paraId="4FD80FDE" w14:textId="77777777" w:rsidR="00BE467D" w:rsidRPr="00BE467D" w:rsidRDefault="00BE467D" w:rsidP="00BE467D">
            <w:pPr>
              <w:rPr>
                <w:color w:val="000000"/>
                <w:sz w:val="16"/>
                <w:szCs w:val="16"/>
              </w:rPr>
            </w:pPr>
            <w:r w:rsidRPr="00BE467D">
              <w:rPr>
                <w:color w:val="000000"/>
                <w:sz w:val="16"/>
                <w:szCs w:val="16"/>
              </w:rPr>
              <w:t>Chronic pain syndrome</w:t>
            </w:r>
          </w:p>
        </w:tc>
        <w:tc>
          <w:tcPr>
            <w:tcW w:w="3240" w:type="dxa"/>
            <w:shd w:val="clear" w:color="auto" w:fill="auto"/>
            <w:noWrap/>
            <w:vAlign w:val="center"/>
            <w:hideMark/>
          </w:tcPr>
          <w:p w14:paraId="2EE58E0B" w14:textId="77777777" w:rsidR="00BE467D" w:rsidRPr="00BE467D" w:rsidRDefault="00BE467D" w:rsidP="00BE467D">
            <w:pPr>
              <w:rPr>
                <w:color w:val="000000"/>
                <w:sz w:val="16"/>
                <w:szCs w:val="16"/>
              </w:rPr>
            </w:pPr>
            <w:r w:rsidRPr="00BE467D">
              <w:rPr>
                <w:color w:val="000000"/>
                <w:sz w:val="16"/>
                <w:szCs w:val="16"/>
              </w:rPr>
              <w:t>Microscopic hematuria</w:t>
            </w:r>
          </w:p>
        </w:tc>
        <w:tc>
          <w:tcPr>
            <w:tcW w:w="2700" w:type="dxa"/>
            <w:shd w:val="clear" w:color="auto" w:fill="auto"/>
            <w:noWrap/>
            <w:vAlign w:val="center"/>
            <w:hideMark/>
          </w:tcPr>
          <w:p w14:paraId="37870008" w14:textId="77777777" w:rsidR="00BE467D" w:rsidRPr="00BE467D" w:rsidRDefault="00BE467D" w:rsidP="00BE467D">
            <w:pPr>
              <w:rPr>
                <w:color w:val="000000"/>
                <w:sz w:val="16"/>
                <w:szCs w:val="16"/>
              </w:rPr>
            </w:pPr>
            <w:r w:rsidRPr="00BE467D">
              <w:rPr>
                <w:color w:val="000000"/>
                <w:sz w:val="16"/>
                <w:szCs w:val="16"/>
              </w:rPr>
              <w:t>Spinal stenosis of lumbar region</w:t>
            </w:r>
          </w:p>
        </w:tc>
      </w:tr>
      <w:tr w:rsidR="00BE467D" w:rsidRPr="00BE467D" w14:paraId="5AAA4659" w14:textId="77777777" w:rsidTr="00F32CA7">
        <w:trPr>
          <w:trHeight w:val="300"/>
        </w:trPr>
        <w:tc>
          <w:tcPr>
            <w:tcW w:w="3410" w:type="dxa"/>
            <w:shd w:val="clear" w:color="auto" w:fill="auto"/>
            <w:noWrap/>
            <w:vAlign w:val="center"/>
            <w:hideMark/>
          </w:tcPr>
          <w:p w14:paraId="48A351B7" w14:textId="77777777" w:rsidR="00BE467D" w:rsidRPr="00BE467D" w:rsidRDefault="00BE467D" w:rsidP="00BE467D">
            <w:pPr>
              <w:rPr>
                <w:color w:val="000000"/>
                <w:sz w:val="16"/>
                <w:szCs w:val="16"/>
              </w:rPr>
            </w:pPr>
            <w:r w:rsidRPr="00BE467D">
              <w:rPr>
                <w:color w:val="000000"/>
                <w:sz w:val="16"/>
                <w:szCs w:val="16"/>
              </w:rPr>
              <w:t>Chronic sinusitis</w:t>
            </w:r>
          </w:p>
        </w:tc>
        <w:tc>
          <w:tcPr>
            <w:tcW w:w="3240" w:type="dxa"/>
            <w:shd w:val="clear" w:color="auto" w:fill="auto"/>
            <w:noWrap/>
            <w:vAlign w:val="center"/>
            <w:hideMark/>
          </w:tcPr>
          <w:p w14:paraId="3C82ADC6" w14:textId="77777777" w:rsidR="00BE467D" w:rsidRPr="00BE467D" w:rsidRDefault="00BE467D" w:rsidP="00BE467D">
            <w:pPr>
              <w:rPr>
                <w:color w:val="000000"/>
                <w:sz w:val="16"/>
                <w:szCs w:val="16"/>
              </w:rPr>
            </w:pPr>
            <w:r w:rsidRPr="00BE467D">
              <w:rPr>
                <w:color w:val="000000"/>
                <w:sz w:val="16"/>
                <w:szCs w:val="16"/>
              </w:rPr>
              <w:t>Migraine</w:t>
            </w:r>
          </w:p>
        </w:tc>
        <w:tc>
          <w:tcPr>
            <w:tcW w:w="2700" w:type="dxa"/>
            <w:shd w:val="clear" w:color="auto" w:fill="auto"/>
            <w:noWrap/>
            <w:vAlign w:val="center"/>
            <w:hideMark/>
          </w:tcPr>
          <w:p w14:paraId="7C516C07" w14:textId="77777777" w:rsidR="00BE467D" w:rsidRPr="00BE467D" w:rsidRDefault="00BE467D" w:rsidP="00BE467D">
            <w:pPr>
              <w:rPr>
                <w:color w:val="000000"/>
                <w:sz w:val="16"/>
                <w:szCs w:val="16"/>
              </w:rPr>
            </w:pPr>
            <w:r w:rsidRPr="00BE467D">
              <w:rPr>
                <w:color w:val="000000"/>
                <w:sz w:val="16"/>
                <w:szCs w:val="16"/>
              </w:rPr>
              <w:t>Tear film insufficiency</w:t>
            </w:r>
          </w:p>
        </w:tc>
      </w:tr>
      <w:tr w:rsidR="00BE467D" w:rsidRPr="00BE467D" w14:paraId="372FF01A" w14:textId="77777777" w:rsidTr="00F32CA7">
        <w:trPr>
          <w:trHeight w:val="300"/>
        </w:trPr>
        <w:tc>
          <w:tcPr>
            <w:tcW w:w="3410" w:type="dxa"/>
            <w:shd w:val="clear" w:color="auto" w:fill="auto"/>
            <w:noWrap/>
            <w:vAlign w:val="center"/>
            <w:hideMark/>
          </w:tcPr>
          <w:p w14:paraId="51599D45" w14:textId="77777777" w:rsidR="00BE467D" w:rsidRPr="00BE467D" w:rsidRDefault="00BE467D" w:rsidP="00BE467D">
            <w:pPr>
              <w:rPr>
                <w:color w:val="000000"/>
                <w:sz w:val="16"/>
                <w:szCs w:val="16"/>
              </w:rPr>
            </w:pPr>
            <w:r w:rsidRPr="00BE467D">
              <w:rPr>
                <w:color w:val="000000"/>
                <w:sz w:val="16"/>
                <w:szCs w:val="16"/>
              </w:rPr>
              <w:t>Combined form of senile cataract</w:t>
            </w:r>
          </w:p>
        </w:tc>
        <w:tc>
          <w:tcPr>
            <w:tcW w:w="3240" w:type="dxa"/>
            <w:shd w:val="clear" w:color="auto" w:fill="auto"/>
            <w:noWrap/>
            <w:vAlign w:val="center"/>
            <w:hideMark/>
          </w:tcPr>
          <w:p w14:paraId="75F35135" w14:textId="77777777" w:rsidR="00BE467D" w:rsidRPr="00BE467D" w:rsidRDefault="00BE467D" w:rsidP="00BE467D">
            <w:pPr>
              <w:rPr>
                <w:color w:val="000000"/>
                <w:sz w:val="16"/>
                <w:szCs w:val="16"/>
              </w:rPr>
            </w:pPr>
            <w:r w:rsidRPr="00BE467D">
              <w:rPr>
                <w:color w:val="000000"/>
                <w:sz w:val="16"/>
                <w:szCs w:val="16"/>
              </w:rPr>
              <w:t>Mixed hyperlipidemia</w:t>
            </w:r>
          </w:p>
        </w:tc>
        <w:tc>
          <w:tcPr>
            <w:tcW w:w="2700" w:type="dxa"/>
            <w:shd w:val="clear" w:color="auto" w:fill="auto"/>
            <w:noWrap/>
            <w:vAlign w:val="center"/>
            <w:hideMark/>
          </w:tcPr>
          <w:p w14:paraId="127F42BC" w14:textId="77777777" w:rsidR="00BE467D" w:rsidRPr="00BE467D" w:rsidRDefault="00BE467D" w:rsidP="00BE467D">
            <w:pPr>
              <w:rPr>
                <w:color w:val="000000"/>
                <w:sz w:val="16"/>
                <w:szCs w:val="16"/>
              </w:rPr>
            </w:pPr>
            <w:r w:rsidRPr="00BE467D">
              <w:rPr>
                <w:color w:val="000000"/>
                <w:sz w:val="16"/>
                <w:szCs w:val="16"/>
              </w:rPr>
              <w:t>Thoracic spondylosis without myelopathy</w:t>
            </w:r>
          </w:p>
        </w:tc>
      </w:tr>
      <w:tr w:rsidR="00BE467D" w:rsidRPr="00BE467D" w14:paraId="51FE774E" w14:textId="77777777" w:rsidTr="00F32CA7">
        <w:trPr>
          <w:trHeight w:val="300"/>
        </w:trPr>
        <w:tc>
          <w:tcPr>
            <w:tcW w:w="3410" w:type="dxa"/>
            <w:shd w:val="clear" w:color="auto" w:fill="auto"/>
            <w:noWrap/>
            <w:vAlign w:val="center"/>
            <w:hideMark/>
          </w:tcPr>
          <w:p w14:paraId="451AEC10" w14:textId="77777777" w:rsidR="00BE467D" w:rsidRPr="00BE467D" w:rsidRDefault="00BE467D" w:rsidP="00BE467D">
            <w:pPr>
              <w:rPr>
                <w:color w:val="000000"/>
                <w:sz w:val="16"/>
                <w:szCs w:val="16"/>
              </w:rPr>
            </w:pPr>
            <w:r w:rsidRPr="00BE467D">
              <w:rPr>
                <w:color w:val="000000"/>
                <w:sz w:val="16"/>
                <w:szCs w:val="16"/>
              </w:rPr>
              <w:t>Dependence on supplemental oxygen</w:t>
            </w:r>
          </w:p>
        </w:tc>
        <w:tc>
          <w:tcPr>
            <w:tcW w:w="3240" w:type="dxa"/>
            <w:shd w:val="clear" w:color="auto" w:fill="auto"/>
            <w:noWrap/>
            <w:vAlign w:val="center"/>
            <w:hideMark/>
          </w:tcPr>
          <w:p w14:paraId="34DEFAC1" w14:textId="77777777" w:rsidR="00BE467D" w:rsidRPr="00BE467D" w:rsidRDefault="00BE467D" w:rsidP="00BE467D">
            <w:pPr>
              <w:rPr>
                <w:color w:val="000000"/>
                <w:sz w:val="16"/>
                <w:szCs w:val="16"/>
              </w:rPr>
            </w:pPr>
            <w:r w:rsidRPr="00BE467D">
              <w:rPr>
                <w:color w:val="000000"/>
                <w:sz w:val="16"/>
                <w:szCs w:val="16"/>
              </w:rPr>
              <w:t>Moderate major depression, single episode</w:t>
            </w:r>
          </w:p>
        </w:tc>
        <w:tc>
          <w:tcPr>
            <w:tcW w:w="2700" w:type="dxa"/>
            <w:shd w:val="clear" w:color="auto" w:fill="auto"/>
            <w:noWrap/>
            <w:vAlign w:val="center"/>
            <w:hideMark/>
          </w:tcPr>
          <w:p w14:paraId="694688E4" w14:textId="77777777" w:rsidR="00BE467D" w:rsidRPr="00BE467D" w:rsidRDefault="00BE467D" w:rsidP="00BE467D">
            <w:pPr>
              <w:rPr>
                <w:color w:val="000000"/>
                <w:sz w:val="16"/>
                <w:szCs w:val="16"/>
              </w:rPr>
            </w:pPr>
            <w:r w:rsidRPr="00BE467D">
              <w:rPr>
                <w:color w:val="000000"/>
                <w:sz w:val="16"/>
                <w:szCs w:val="16"/>
              </w:rPr>
              <w:t>Thyrotoxicosis without goiter OR other cause</w:t>
            </w:r>
          </w:p>
        </w:tc>
      </w:tr>
      <w:tr w:rsidR="00BE467D" w:rsidRPr="00BE467D" w14:paraId="0EDB49B4" w14:textId="77777777" w:rsidTr="00F32CA7">
        <w:trPr>
          <w:trHeight w:val="300"/>
        </w:trPr>
        <w:tc>
          <w:tcPr>
            <w:tcW w:w="3410" w:type="dxa"/>
            <w:shd w:val="clear" w:color="auto" w:fill="auto"/>
            <w:noWrap/>
            <w:vAlign w:val="center"/>
            <w:hideMark/>
          </w:tcPr>
          <w:p w14:paraId="2A33DB6E" w14:textId="77777777" w:rsidR="00BE467D" w:rsidRPr="00BE467D" w:rsidRDefault="00BE467D" w:rsidP="00BE467D">
            <w:pPr>
              <w:rPr>
                <w:color w:val="000000"/>
                <w:sz w:val="16"/>
                <w:szCs w:val="16"/>
              </w:rPr>
            </w:pPr>
            <w:r w:rsidRPr="00BE467D">
              <w:rPr>
                <w:color w:val="000000"/>
                <w:sz w:val="16"/>
                <w:szCs w:val="16"/>
              </w:rPr>
              <w:t>Diabetic polyneuropathy</w:t>
            </w:r>
          </w:p>
        </w:tc>
        <w:tc>
          <w:tcPr>
            <w:tcW w:w="3240" w:type="dxa"/>
            <w:shd w:val="clear" w:color="auto" w:fill="auto"/>
            <w:noWrap/>
            <w:vAlign w:val="center"/>
            <w:hideMark/>
          </w:tcPr>
          <w:p w14:paraId="2275DA9D" w14:textId="77777777" w:rsidR="00BE467D" w:rsidRPr="00BE467D" w:rsidRDefault="00BE467D" w:rsidP="00BE467D">
            <w:pPr>
              <w:rPr>
                <w:color w:val="000000"/>
                <w:sz w:val="16"/>
                <w:szCs w:val="16"/>
              </w:rPr>
            </w:pPr>
            <w:r w:rsidRPr="00BE467D">
              <w:rPr>
                <w:color w:val="000000"/>
                <w:sz w:val="16"/>
                <w:szCs w:val="16"/>
              </w:rPr>
              <w:t>Moderate recurrent major depression</w:t>
            </w:r>
          </w:p>
        </w:tc>
        <w:tc>
          <w:tcPr>
            <w:tcW w:w="2700" w:type="dxa"/>
            <w:shd w:val="clear" w:color="auto" w:fill="auto"/>
            <w:noWrap/>
            <w:vAlign w:val="center"/>
            <w:hideMark/>
          </w:tcPr>
          <w:p w14:paraId="1E506FBC" w14:textId="77777777" w:rsidR="00BE467D" w:rsidRPr="00BE467D" w:rsidRDefault="00BE467D" w:rsidP="00BE467D">
            <w:pPr>
              <w:rPr>
                <w:color w:val="000000"/>
                <w:sz w:val="16"/>
                <w:szCs w:val="16"/>
              </w:rPr>
            </w:pPr>
            <w:r w:rsidRPr="00BE467D">
              <w:rPr>
                <w:color w:val="000000"/>
                <w:sz w:val="16"/>
                <w:szCs w:val="16"/>
              </w:rPr>
              <w:t>Transient cerebral ischemia</w:t>
            </w:r>
          </w:p>
        </w:tc>
      </w:tr>
      <w:tr w:rsidR="00BE467D" w:rsidRPr="00BE467D" w14:paraId="2AB7DB43" w14:textId="77777777" w:rsidTr="00F32CA7">
        <w:trPr>
          <w:trHeight w:val="300"/>
        </w:trPr>
        <w:tc>
          <w:tcPr>
            <w:tcW w:w="3410" w:type="dxa"/>
            <w:shd w:val="clear" w:color="auto" w:fill="auto"/>
            <w:noWrap/>
            <w:vAlign w:val="center"/>
            <w:hideMark/>
          </w:tcPr>
          <w:p w14:paraId="0DA74008" w14:textId="77777777" w:rsidR="00BE467D" w:rsidRPr="00BE467D" w:rsidRDefault="00BE467D" w:rsidP="00BE467D">
            <w:pPr>
              <w:rPr>
                <w:color w:val="000000"/>
                <w:sz w:val="16"/>
                <w:szCs w:val="16"/>
              </w:rPr>
            </w:pPr>
            <w:r w:rsidRPr="00BE467D">
              <w:rPr>
                <w:color w:val="000000"/>
                <w:sz w:val="16"/>
                <w:szCs w:val="16"/>
              </w:rPr>
              <w:t>Diaphragmatic hernia</w:t>
            </w:r>
          </w:p>
        </w:tc>
        <w:tc>
          <w:tcPr>
            <w:tcW w:w="3240" w:type="dxa"/>
            <w:shd w:val="clear" w:color="auto" w:fill="auto"/>
            <w:noWrap/>
            <w:vAlign w:val="center"/>
            <w:hideMark/>
          </w:tcPr>
          <w:p w14:paraId="64502AE0" w14:textId="77777777" w:rsidR="00BE467D" w:rsidRPr="00BE467D" w:rsidRDefault="00BE467D" w:rsidP="00BE467D">
            <w:pPr>
              <w:rPr>
                <w:color w:val="000000"/>
                <w:sz w:val="16"/>
                <w:szCs w:val="16"/>
              </w:rPr>
            </w:pPr>
            <w:r w:rsidRPr="00BE467D">
              <w:rPr>
                <w:color w:val="000000"/>
                <w:sz w:val="16"/>
                <w:szCs w:val="16"/>
              </w:rPr>
              <w:t>Mononeuritis</w:t>
            </w:r>
          </w:p>
        </w:tc>
        <w:tc>
          <w:tcPr>
            <w:tcW w:w="2700" w:type="dxa"/>
            <w:shd w:val="clear" w:color="auto" w:fill="auto"/>
            <w:noWrap/>
            <w:vAlign w:val="center"/>
            <w:hideMark/>
          </w:tcPr>
          <w:p w14:paraId="7289C783" w14:textId="77777777" w:rsidR="00BE467D" w:rsidRPr="00BE467D" w:rsidRDefault="00BE467D" w:rsidP="00BE467D">
            <w:pPr>
              <w:rPr>
                <w:color w:val="000000"/>
                <w:sz w:val="16"/>
                <w:szCs w:val="16"/>
              </w:rPr>
            </w:pPr>
            <w:r w:rsidRPr="00BE467D">
              <w:rPr>
                <w:color w:val="000000"/>
                <w:sz w:val="16"/>
                <w:szCs w:val="16"/>
              </w:rPr>
              <w:t>Type 2 diabetes mellitus</w:t>
            </w:r>
          </w:p>
        </w:tc>
      </w:tr>
      <w:tr w:rsidR="00BE467D" w:rsidRPr="00BE467D" w14:paraId="7BE9C149" w14:textId="77777777" w:rsidTr="00F32CA7">
        <w:trPr>
          <w:trHeight w:val="300"/>
        </w:trPr>
        <w:tc>
          <w:tcPr>
            <w:tcW w:w="3410" w:type="dxa"/>
            <w:shd w:val="clear" w:color="auto" w:fill="auto"/>
            <w:noWrap/>
            <w:vAlign w:val="center"/>
            <w:hideMark/>
          </w:tcPr>
          <w:p w14:paraId="6A6357C1" w14:textId="77777777" w:rsidR="00BE467D" w:rsidRPr="00BE467D" w:rsidRDefault="00BE467D" w:rsidP="00BE467D">
            <w:pPr>
              <w:rPr>
                <w:color w:val="000000"/>
                <w:sz w:val="16"/>
                <w:szCs w:val="16"/>
              </w:rPr>
            </w:pPr>
            <w:r w:rsidRPr="00BE467D">
              <w:rPr>
                <w:color w:val="000000"/>
                <w:sz w:val="16"/>
                <w:szCs w:val="16"/>
              </w:rPr>
              <w:t>Displacement of cervical intervertebral disc</w:t>
            </w:r>
          </w:p>
        </w:tc>
        <w:tc>
          <w:tcPr>
            <w:tcW w:w="3240" w:type="dxa"/>
            <w:shd w:val="clear" w:color="auto" w:fill="auto"/>
            <w:noWrap/>
            <w:vAlign w:val="center"/>
            <w:hideMark/>
          </w:tcPr>
          <w:p w14:paraId="002A6CB8" w14:textId="77777777" w:rsidR="00BE467D" w:rsidRPr="00BE467D" w:rsidRDefault="00BE467D" w:rsidP="00BE467D">
            <w:pPr>
              <w:rPr>
                <w:color w:val="000000"/>
                <w:sz w:val="16"/>
                <w:szCs w:val="16"/>
              </w:rPr>
            </w:pPr>
            <w:r w:rsidRPr="00BE467D">
              <w:rPr>
                <w:color w:val="000000"/>
                <w:sz w:val="16"/>
                <w:szCs w:val="16"/>
              </w:rPr>
              <w:t>Morbid obesity</w:t>
            </w:r>
          </w:p>
        </w:tc>
        <w:tc>
          <w:tcPr>
            <w:tcW w:w="2700" w:type="dxa"/>
            <w:shd w:val="clear" w:color="auto" w:fill="auto"/>
            <w:noWrap/>
            <w:vAlign w:val="center"/>
            <w:hideMark/>
          </w:tcPr>
          <w:p w14:paraId="76998E01" w14:textId="77777777" w:rsidR="00BE467D" w:rsidRPr="00BE467D" w:rsidRDefault="00BE467D" w:rsidP="00BE467D">
            <w:pPr>
              <w:rPr>
                <w:color w:val="000000"/>
                <w:sz w:val="16"/>
                <w:szCs w:val="16"/>
              </w:rPr>
            </w:pPr>
            <w:r w:rsidRPr="00BE467D">
              <w:rPr>
                <w:color w:val="000000"/>
                <w:sz w:val="16"/>
                <w:szCs w:val="16"/>
              </w:rPr>
              <w:t>Ulcer of foot</w:t>
            </w:r>
          </w:p>
        </w:tc>
      </w:tr>
      <w:tr w:rsidR="00BE467D" w:rsidRPr="00BE467D" w14:paraId="50BD2925" w14:textId="77777777" w:rsidTr="00F32CA7">
        <w:trPr>
          <w:trHeight w:val="300"/>
        </w:trPr>
        <w:tc>
          <w:tcPr>
            <w:tcW w:w="3410" w:type="dxa"/>
            <w:shd w:val="clear" w:color="auto" w:fill="auto"/>
            <w:noWrap/>
            <w:vAlign w:val="center"/>
            <w:hideMark/>
          </w:tcPr>
          <w:p w14:paraId="51A8FE96" w14:textId="77777777" w:rsidR="00BE467D" w:rsidRPr="00BE467D" w:rsidRDefault="00BE467D" w:rsidP="00BE467D">
            <w:pPr>
              <w:rPr>
                <w:color w:val="000000"/>
                <w:sz w:val="16"/>
                <w:szCs w:val="16"/>
              </w:rPr>
            </w:pPr>
            <w:r w:rsidRPr="00BE467D">
              <w:rPr>
                <w:color w:val="000000"/>
                <w:sz w:val="16"/>
                <w:szCs w:val="16"/>
              </w:rPr>
              <w:t>Diverticulosis of large intestine without diverticulitis</w:t>
            </w:r>
          </w:p>
        </w:tc>
        <w:tc>
          <w:tcPr>
            <w:tcW w:w="3240" w:type="dxa"/>
            <w:shd w:val="clear" w:color="auto" w:fill="auto"/>
            <w:noWrap/>
            <w:vAlign w:val="center"/>
            <w:hideMark/>
          </w:tcPr>
          <w:p w14:paraId="5B3B9E14" w14:textId="77777777" w:rsidR="00BE467D" w:rsidRPr="00BE467D" w:rsidRDefault="00BE467D" w:rsidP="00BE467D">
            <w:pPr>
              <w:rPr>
                <w:color w:val="000000"/>
                <w:sz w:val="16"/>
                <w:szCs w:val="16"/>
              </w:rPr>
            </w:pPr>
            <w:r w:rsidRPr="00BE467D">
              <w:rPr>
                <w:color w:val="000000"/>
                <w:sz w:val="16"/>
                <w:szCs w:val="16"/>
              </w:rPr>
              <w:t>Multiple sclerosis</w:t>
            </w:r>
          </w:p>
        </w:tc>
        <w:tc>
          <w:tcPr>
            <w:tcW w:w="2700" w:type="dxa"/>
            <w:shd w:val="clear" w:color="auto" w:fill="auto"/>
            <w:noWrap/>
            <w:vAlign w:val="center"/>
            <w:hideMark/>
          </w:tcPr>
          <w:p w14:paraId="192C3A16" w14:textId="77777777" w:rsidR="00BE467D" w:rsidRPr="00BE467D" w:rsidRDefault="00BE467D" w:rsidP="00BE467D">
            <w:pPr>
              <w:rPr>
                <w:color w:val="000000"/>
                <w:sz w:val="16"/>
                <w:szCs w:val="16"/>
              </w:rPr>
            </w:pPr>
            <w:r w:rsidRPr="00BE467D">
              <w:rPr>
                <w:color w:val="000000"/>
                <w:sz w:val="16"/>
                <w:szCs w:val="16"/>
              </w:rPr>
              <w:t>Uncomplicated asthma</w:t>
            </w:r>
          </w:p>
        </w:tc>
      </w:tr>
      <w:tr w:rsidR="00BE467D" w:rsidRPr="00BE467D" w14:paraId="7640B244" w14:textId="77777777" w:rsidTr="00F32CA7">
        <w:trPr>
          <w:trHeight w:val="300"/>
        </w:trPr>
        <w:tc>
          <w:tcPr>
            <w:tcW w:w="3410" w:type="dxa"/>
            <w:shd w:val="clear" w:color="auto" w:fill="auto"/>
            <w:noWrap/>
            <w:vAlign w:val="center"/>
            <w:hideMark/>
          </w:tcPr>
          <w:p w14:paraId="03E05167" w14:textId="77777777" w:rsidR="00BE467D" w:rsidRPr="00BE467D" w:rsidRDefault="00BE467D" w:rsidP="00BE467D">
            <w:pPr>
              <w:rPr>
                <w:color w:val="000000"/>
                <w:sz w:val="16"/>
                <w:szCs w:val="16"/>
              </w:rPr>
            </w:pPr>
            <w:r w:rsidRPr="00BE467D">
              <w:rPr>
                <w:color w:val="000000"/>
                <w:sz w:val="16"/>
                <w:szCs w:val="16"/>
              </w:rPr>
              <w:t>Epiretinal membrane</w:t>
            </w:r>
          </w:p>
        </w:tc>
        <w:tc>
          <w:tcPr>
            <w:tcW w:w="3240" w:type="dxa"/>
            <w:shd w:val="clear" w:color="auto" w:fill="auto"/>
            <w:noWrap/>
            <w:vAlign w:val="center"/>
            <w:hideMark/>
          </w:tcPr>
          <w:p w14:paraId="4F9F918B" w14:textId="77777777" w:rsidR="00BE467D" w:rsidRPr="00BE467D" w:rsidRDefault="00BE467D" w:rsidP="00BE467D">
            <w:pPr>
              <w:rPr>
                <w:color w:val="000000"/>
                <w:sz w:val="16"/>
                <w:szCs w:val="16"/>
              </w:rPr>
            </w:pPr>
            <w:r w:rsidRPr="00BE467D">
              <w:rPr>
                <w:color w:val="000000"/>
                <w:sz w:val="16"/>
                <w:szCs w:val="16"/>
              </w:rPr>
              <w:t>Myopia</w:t>
            </w:r>
          </w:p>
        </w:tc>
        <w:tc>
          <w:tcPr>
            <w:tcW w:w="2700" w:type="dxa"/>
            <w:shd w:val="clear" w:color="auto" w:fill="auto"/>
            <w:noWrap/>
            <w:vAlign w:val="center"/>
            <w:hideMark/>
          </w:tcPr>
          <w:p w14:paraId="379F5305" w14:textId="77777777" w:rsidR="00BE467D" w:rsidRPr="00BE467D" w:rsidRDefault="00BE467D" w:rsidP="00BE467D">
            <w:pPr>
              <w:rPr>
                <w:color w:val="000000"/>
                <w:sz w:val="16"/>
                <w:szCs w:val="16"/>
              </w:rPr>
            </w:pPr>
            <w:r w:rsidRPr="00BE467D">
              <w:rPr>
                <w:color w:val="000000"/>
                <w:sz w:val="16"/>
                <w:szCs w:val="16"/>
              </w:rPr>
              <w:t>Uncomplicated inguinal hernia</w:t>
            </w:r>
          </w:p>
        </w:tc>
      </w:tr>
      <w:tr w:rsidR="00BE467D" w:rsidRPr="00BE467D" w14:paraId="45A07CCA" w14:textId="77777777" w:rsidTr="00F32CA7">
        <w:trPr>
          <w:trHeight w:val="300"/>
        </w:trPr>
        <w:tc>
          <w:tcPr>
            <w:tcW w:w="3410" w:type="dxa"/>
            <w:shd w:val="clear" w:color="auto" w:fill="auto"/>
            <w:noWrap/>
            <w:vAlign w:val="center"/>
            <w:hideMark/>
          </w:tcPr>
          <w:p w14:paraId="2B03D789" w14:textId="77777777" w:rsidR="00BE467D" w:rsidRPr="00BE467D" w:rsidRDefault="00BE467D" w:rsidP="00BE467D">
            <w:pPr>
              <w:rPr>
                <w:color w:val="000000"/>
                <w:sz w:val="16"/>
                <w:szCs w:val="16"/>
              </w:rPr>
            </w:pPr>
            <w:r w:rsidRPr="00BE467D">
              <w:rPr>
                <w:color w:val="000000"/>
                <w:sz w:val="16"/>
                <w:szCs w:val="16"/>
              </w:rPr>
              <w:t>Gallstone</w:t>
            </w:r>
          </w:p>
        </w:tc>
        <w:tc>
          <w:tcPr>
            <w:tcW w:w="3240" w:type="dxa"/>
            <w:shd w:val="clear" w:color="auto" w:fill="auto"/>
            <w:noWrap/>
            <w:vAlign w:val="center"/>
            <w:hideMark/>
          </w:tcPr>
          <w:p w14:paraId="4D706DEC" w14:textId="77777777" w:rsidR="00BE467D" w:rsidRPr="00BE467D" w:rsidRDefault="00BE467D" w:rsidP="00BE467D">
            <w:pPr>
              <w:rPr>
                <w:color w:val="000000"/>
                <w:sz w:val="16"/>
                <w:szCs w:val="16"/>
              </w:rPr>
            </w:pPr>
            <w:r w:rsidRPr="00BE467D">
              <w:rPr>
                <w:color w:val="000000"/>
                <w:sz w:val="16"/>
                <w:szCs w:val="16"/>
              </w:rPr>
              <w:t>Neck sprain</w:t>
            </w:r>
          </w:p>
        </w:tc>
        <w:tc>
          <w:tcPr>
            <w:tcW w:w="2700" w:type="dxa"/>
            <w:shd w:val="clear" w:color="auto" w:fill="auto"/>
            <w:noWrap/>
            <w:vAlign w:val="center"/>
            <w:hideMark/>
          </w:tcPr>
          <w:p w14:paraId="6D35D7B0" w14:textId="77777777" w:rsidR="00BE467D" w:rsidRPr="00BE467D" w:rsidRDefault="00BE467D" w:rsidP="00BE467D">
            <w:pPr>
              <w:rPr>
                <w:color w:val="000000"/>
                <w:sz w:val="16"/>
                <w:szCs w:val="16"/>
              </w:rPr>
            </w:pPr>
            <w:r w:rsidRPr="00BE467D">
              <w:rPr>
                <w:color w:val="000000"/>
                <w:sz w:val="16"/>
                <w:szCs w:val="16"/>
              </w:rPr>
              <w:t>Ureteric stone</w:t>
            </w:r>
          </w:p>
        </w:tc>
      </w:tr>
      <w:tr w:rsidR="00BE467D" w:rsidRPr="00BE467D" w14:paraId="75832568" w14:textId="77777777" w:rsidTr="00F32CA7">
        <w:trPr>
          <w:trHeight w:val="300"/>
        </w:trPr>
        <w:tc>
          <w:tcPr>
            <w:tcW w:w="3410" w:type="dxa"/>
            <w:shd w:val="clear" w:color="auto" w:fill="auto"/>
            <w:noWrap/>
            <w:vAlign w:val="center"/>
            <w:hideMark/>
          </w:tcPr>
          <w:p w14:paraId="38E022FB" w14:textId="77777777" w:rsidR="00BE467D" w:rsidRPr="00BE467D" w:rsidRDefault="00BE467D" w:rsidP="00BE467D">
            <w:pPr>
              <w:rPr>
                <w:color w:val="000000"/>
                <w:sz w:val="16"/>
                <w:szCs w:val="16"/>
              </w:rPr>
            </w:pPr>
            <w:r w:rsidRPr="00BE467D">
              <w:rPr>
                <w:color w:val="000000"/>
                <w:sz w:val="16"/>
                <w:szCs w:val="16"/>
              </w:rPr>
              <w:lastRenderedPageBreak/>
              <w:t>Gastroesophageal reflux disease without esophagitis</w:t>
            </w:r>
          </w:p>
        </w:tc>
        <w:tc>
          <w:tcPr>
            <w:tcW w:w="3240" w:type="dxa"/>
            <w:shd w:val="clear" w:color="auto" w:fill="auto"/>
            <w:noWrap/>
            <w:vAlign w:val="center"/>
            <w:hideMark/>
          </w:tcPr>
          <w:p w14:paraId="09AAC99C" w14:textId="77777777" w:rsidR="00BE467D" w:rsidRPr="00BE467D" w:rsidRDefault="00BE467D" w:rsidP="00BE467D">
            <w:pPr>
              <w:rPr>
                <w:color w:val="000000"/>
                <w:sz w:val="16"/>
                <w:szCs w:val="16"/>
              </w:rPr>
            </w:pPr>
            <w:r w:rsidRPr="00BE467D">
              <w:rPr>
                <w:color w:val="000000"/>
                <w:sz w:val="16"/>
                <w:szCs w:val="16"/>
              </w:rPr>
              <w:t>Nicotine dependence</w:t>
            </w:r>
          </w:p>
        </w:tc>
        <w:tc>
          <w:tcPr>
            <w:tcW w:w="2700" w:type="dxa"/>
            <w:shd w:val="clear" w:color="auto" w:fill="auto"/>
            <w:noWrap/>
            <w:vAlign w:val="center"/>
            <w:hideMark/>
          </w:tcPr>
          <w:p w14:paraId="780511A7" w14:textId="77777777" w:rsidR="00BE467D" w:rsidRPr="00BE467D" w:rsidRDefault="00BE467D" w:rsidP="00BE467D">
            <w:pPr>
              <w:rPr>
                <w:color w:val="000000"/>
                <w:sz w:val="16"/>
                <w:szCs w:val="16"/>
              </w:rPr>
            </w:pPr>
            <w:r w:rsidRPr="00BE467D">
              <w:rPr>
                <w:color w:val="000000"/>
                <w:sz w:val="16"/>
                <w:szCs w:val="16"/>
              </w:rPr>
              <w:t>Verruca vulgaris</w:t>
            </w:r>
          </w:p>
        </w:tc>
      </w:tr>
      <w:tr w:rsidR="00BE467D" w:rsidRPr="00BE467D" w14:paraId="234D0CD7" w14:textId="77777777" w:rsidTr="00F32CA7">
        <w:trPr>
          <w:trHeight w:val="300"/>
        </w:trPr>
        <w:tc>
          <w:tcPr>
            <w:tcW w:w="3410" w:type="dxa"/>
            <w:shd w:val="clear" w:color="auto" w:fill="auto"/>
            <w:noWrap/>
            <w:vAlign w:val="center"/>
            <w:hideMark/>
          </w:tcPr>
          <w:p w14:paraId="433EFCCB" w14:textId="77777777" w:rsidR="00BE467D" w:rsidRPr="00BE467D" w:rsidRDefault="00BE467D" w:rsidP="00BE467D">
            <w:pPr>
              <w:rPr>
                <w:color w:val="000000"/>
                <w:sz w:val="16"/>
                <w:szCs w:val="16"/>
              </w:rPr>
            </w:pPr>
            <w:r w:rsidRPr="00BE467D">
              <w:rPr>
                <w:color w:val="000000"/>
                <w:sz w:val="16"/>
                <w:szCs w:val="16"/>
              </w:rPr>
              <w:t>Gastroparesis syndrome</w:t>
            </w:r>
          </w:p>
        </w:tc>
        <w:tc>
          <w:tcPr>
            <w:tcW w:w="3240" w:type="dxa"/>
            <w:shd w:val="clear" w:color="auto" w:fill="auto"/>
            <w:noWrap/>
            <w:vAlign w:val="center"/>
            <w:hideMark/>
          </w:tcPr>
          <w:p w14:paraId="6274D4E1" w14:textId="77777777" w:rsidR="00BE467D" w:rsidRPr="00BE467D" w:rsidRDefault="00BE467D" w:rsidP="00BE467D">
            <w:pPr>
              <w:rPr>
                <w:color w:val="000000"/>
                <w:sz w:val="16"/>
                <w:szCs w:val="16"/>
              </w:rPr>
            </w:pPr>
            <w:r w:rsidRPr="00BE467D">
              <w:rPr>
                <w:color w:val="000000"/>
                <w:sz w:val="16"/>
                <w:szCs w:val="16"/>
              </w:rPr>
              <w:t>Non-toxic multinodular goiter</w:t>
            </w:r>
          </w:p>
        </w:tc>
        <w:tc>
          <w:tcPr>
            <w:tcW w:w="2700" w:type="dxa"/>
            <w:shd w:val="clear" w:color="auto" w:fill="auto"/>
            <w:noWrap/>
            <w:vAlign w:val="center"/>
            <w:hideMark/>
          </w:tcPr>
          <w:p w14:paraId="3717B379" w14:textId="77777777" w:rsidR="00BE467D" w:rsidRPr="00BE467D" w:rsidRDefault="00BE467D" w:rsidP="00BE467D">
            <w:pPr>
              <w:rPr>
                <w:color w:val="000000"/>
                <w:sz w:val="16"/>
                <w:szCs w:val="16"/>
              </w:rPr>
            </w:pPr>
            <w:r w:rsidRPr="00BE467D">
              <w:rPr>
                <w:color w:val="000000"/>
                <w:sz w:val="16"/>
                <w:szCs w:val="16"/>
              </w:rPr>
              <w:t>Vitreous opacities</w:t>
            </w:r>
          </w:p>
        </w:tc>
      </w:tr>
      <w:tr w:rsidR="00BE467D" w:rsidRPr="00BE467D" w14:paraId="460466B1" w14:textId="77777777" w:rsidTr="00F32CA7">
        <w:trPr>
          <w:trHeight w:val="300"/>
        </w:trPr>
        <w:tc>
          <w:tcPr>
            <w:tcW w:w="3410" w:type="dxa"/>
            <w:shd w:val="clear" w:color="auto" w:fill="auto"/>
            <w:noWrap/>
            <w:vAlign w:val="center"/>
            <w:hideMark/>
          </w:tcPr>
          <w:p w14:paraId="5DF24C73" w14:textId="77777777" w:rsidR="00BE467D" w:rsidRPr="00BE467D" w:rsidRDefault="00BE467D" w:rsidP="00BE467D">
            <w:pPr>
              <w:rPr>
                <w:color w:val="000000"/>
                <w:sz w:val="16"/>
                <w:szCs w:val="16"/>
              </w:rPr>
            </w:pPr>
            <w:r w:rsidRPr="00BE467D">
              <w:rPr>
                <w:color w:val="000000"/>
                <w:sz w:val="16"/>
                <w:szCs w:val="16"/>
              </w:rPr>
              <w:t>Generalized anxiety disorder</w:t>
            </w:r>
          </w:p>
        </w:tc>
        <w:tc>
          <w:tcPr>
            <w:tcW w:w="3240" w:type="dxa"/>
            <w:shd w:val="clear" w:color="auto" w:fill="auto"/>
            <w:noWrap/>
            <w:vAlign w:val="center"/>
            <w:hideMark/>
          </w:tcPr>
          <w:p w14:paraId="336BC865" w14:textId="77777777" w:rsidR="00BE467D" w:rsidRPr="00BE467D" w:rsidRDefault="00BE467D" w:rsidP="00BE467D">
            <w:pPr>
              <w:rPr>
                <w:color w:val="000000"/>
                <w:sz w:val="16"/>
                <w:szCs w:val="16"/>
              </w:rPr>
            </w:pPr>
            <w:r w:rsidRPr="00BE467D">
              <w:rPr>
                <w:color w:val="000000"/>
                <w:sz w:val="16"/>
                <w:szCs w:val="16"/>
              </w:rPr>
              <w:t>Nuclear senile cataract</w:t>
            </w:r>
          </w:p>
        </w:tc>
        <w:tc>
          <w:tcPr>
            <w:tcW w:w="2700" w:type="dxa"/>
            <w:shd w:val="clear" w:color="auto" w:fill="auto"/>
            <w:noWrap/>
            <w:vAlign w:val="bottom"/>
            <w:hideMark/>
          </w:tcPr>
          <w:p w14:paraId="48F3A4C1" w14:textId="77777777" w:rsidR="00BE467D" w:rsidRPr="00BE467D" w:rsidRDefault="00BE467D" w:rsidP="00BE467D">
            <w:pPr>
              <w:rPr>
                <w:color w:val="000000"/>
                <w:sz w:val="16"/>
                <w:szCs w:val="16"/>
              </w:rPr>
            </w:pPr>
          </w:p>
        </w:tc>
      </w:tr>
      <w:tr w:rsidR="00BE467D" w:rsidRPr="00BE467D" w14:paraId="0961EFA2" w14:textId="77777777" w:rsidTr="00F32CA7">
        <w:trPr>
          <w:trHeight w:val="300"/>
        </w:trPr>
        <w:tc>
          <w:tcPr>
            <w:tcW w:w="3410" w:type="dxa"/>
            <w:shd w:val="clear" w:color="auto" w:fill="auto"/>
            <w:noWrap/>
            <w:vAlign w:val="center"/>
            <w:hideMark/>
          </w:tcPr>
          <w:p w14:paraId="31E46154" w14:textId="77777777" w:rsidR="00BE467D" w:rsidRPr="00BE467D" w:rsidRDefault="00BE467D" w:rsidP="00BE467D">
            <w:pPr>
              <w:rPr>
                <w:color w:val="000000"/>
                <w:sz w:val="16"/>
                <w:szCs w:val="16"/>
              </w:rPr>
            </w:pPr>
            <w:r w:rsidRPr="00BE467D">
              <w:rPr>
                <w:color w:val="000000"/>
                <w:sz w:val="16"/>
                <w:szCs w:val="16"/>
              </w:rPr>
              <w:t>Generalized enlarged lymph nodes</w:t>
            </w:r>
          </w:p>
        </w:tc>
        <w:tc>
          <w:tcPr>
            <w:tcW w:w="3240" w:type="dxa"/>
            <w:shd w:val="clear" w:color="auto" w:fill="auto"/>
            <w:noWrap/>
            <w:vAlign w:val="center"/>
            <w:hideMark/>
          </w:tcPr>
          <w:p w14:paraId="2176A2DE" w14:textId="77777777" w:rsidR="00BE467D" w:rsidRPr="00BE467D" w:rsidRDefault="00BE467D" w:rsidP="00BE467D">
            <w:pPr>
              <w:rPr>
                <w:color w:val="000000"/>
                <w:sz w:val="16"/>
                <w:szCs w:val="16"/>
              </w:rPr>
            </w:pPr>
            <w:r w:rsidRPr="00BE467D">
              <w:rPr>
                <w:color w:val="000000"/>
                <w:sz w:val="16"/>
                <w:szCs w:val="16"/>
              </w:rPr>
              <w:t>Ocular hypertension</w:t>
            </w:r>
          </w:p>
        </w:tc>
        <w:tc>
          <w:tcPr>
            <w:tcW w:w="2700" w:type="dxa"/>
            <w:shd w:val="clear" w:color="auto" w:fill="auto"/>
            <w:noWrap/>
            <w:vAlign w:val="bottom"/>
            <w:hideMark/>
          </w:tcPr>
          <w:p w14:paraId="5F52DFD6" w14:textId="77777777" w:rsidR="00BE467D" w:rsidRPr="00BE467D" w:rsidRDefault="00BE467D" w:rsidP="00BE467D">
            <w:pPr>
              <w:rPr>
                <w:color w:val="000000"/>
                <w:sz w:val="16"/>
                <w:szCs w:val="16"/>
              </w:rPr>
            </w:pPr>
          </w:p>
        </w:tc>
      </w:tr>
    </w:tbl>
    <w:p w14:paraId="640BAF19" w14:textId="77777777" w:rsidR="000C7D8E" w:rsidRPr="009D3150" w:rsidRDefault="000C7D8E">
      <w:pPr>
        <w:pStyle w:val="BodyText12"/>
        <w:rPr>
          <w:szCs w:val="24"/>
        </w:rPr>
      </w:pPr>
    </w:p>
    <w:p w14:paraId="28434253" w14:textId="6633D905" w:rsidR="003806FB" w:rsidRPr="00B87A8B" w:rsidRDefault="00EC426E" w:rsidP="00922AF2">
      <w:pPr>
        <w:pStyle w:val="Heading1"/>
        <w:rPr>
          <w:rFonts w:ascii="Times New Roman" w:hAnsi="Times New Roman"/>
          <w:szCs w:val="24"/>
        </w:rPr>
      </w:pPr>
      <w:bookmarkStart w:id="24" w:name="_Toc35611429"/>
      <w:r w:rsidRPr="00B87A8B">
        <w:rPr>
          <w:rFonts w:ascii="Times New Roman" w:hAnsi="Times New Roman"/>
          <w:caps w:val="0"/>
          <w:sz w:val="28"/>
          <w:szCs w:val="28"/>
        </w:rPr>
        <w:t>SAMPLE SIZE AND STUDY POWER</w:t>
      </w:r>
      <w:bookmarkEnd w:id="24"/>
    </w:p>
    <w:p w14:paraId="343D1645" w14:textId="7F632F64" w:rsidR="00B86F35" w:rsidRDefault="00DF78C8" w:rsidP="005D2306">
      <w:pPr>
        <w:pStyle w:val="BodyText12"/>
      </w:pPr>
      <w:r w:rsidRPr="00DF78C8">
        <w:rPr>
          <w:szCs w:val="24"/>
        </w:rPr>
        <w:t>Since the sample size is fixed in retrospective studies (the data has already been collected), and the true effect size is unknown,</w:t>
      </w:r>
      <w:r>
        <w:rPr>
          <w:szCs w:val="24"/>
        </w:rPr>
        <w:t xml:space="preserve"> we do not apply the </w:t>
      </w:r>
      <w:proofErr w:type="gramStart"/>
      <w:r>
        <w:rPr>
          <w:szCs w:val="24"/>
        </w:rPr>
        <w:t>widely-used</w:t>
      </w:r>
      <w:proofErr w:type="gramEnd"/>
      <w:r>
        <w:rPr>
          <w:szCs w:val="24"/>
        </w:rPr>
        <w:t xml:space="preserve"> approach of calculating sample sizes necessary to observe effects of various hypothetical strengths</w:t>
      </w:r>
      <w:r w:rsidRPr="00DF78C8">
        <w:rPr>
          <w:szCs w:val="24"/>
        </w:rPr>
        <w:t xml:space="preserve">. Instead, </w:t>
      </w:r>
      <w:r>
        <w:rPr>
          <w:szCs w:val="24"/>
        </w:rPr>
        <w:t xml:space="preserve">we specify the analysis a priori and then calculate, for each separate analysis, the </w:t>
      </w:r>
      <w:r w:rsidRPr="00DF78C8">
        <w:rPr>
          <w:szCs w:val="24"/>
        </w:rPr>
        <w:t>minimum detectable relative risk (MDRR)</w:t>
      </w:r>
      <w:r w:rsidR="007F697E">
        <w:rPr>
          <w:szCs w:val="24"/>
        </w:rPr>
        <w:t xml:space="preserve"> given the known sample size for that analysis. </w:t>
      </w:r>
      <w:r w:rsidR="00B86F35" w:rsidRPr="00013AE8">
        <w:t xml:space="preserve">The calculation includes a targeted </w:t>
      </w:r>
      <w:r w:rsidR="00B86F35" w:rsidRPr="00013AE8">
        <w:rPr>
          <w:rFonts w:eastAsia="TimesNewRoman"/>
        </w:rPr>
        <w:t xml:space="preserve">type I error rate (alpha) of 0.05 (2-sided) and a type II error rate (beta) of 0.20 (power=80%) and reports the minimum hazard ratio detectable </w:t>
      </w:r>
      <w:r w:rsidR="00B86F35" w:rsidRPr="00013AE8">
        <w:t xml:space="preserve">given the final target and comparator patient count, outcome event count, and </w:t>
      </w:r>
      <w:r w:rsidR="00B86F35">
        <w:t>time-at-risk</w:t>
      </w:r>
      <w:r w:rsidR="0056651D">
        <w:t xml:space="preserve"> (</w:t>
      </w:r>
      <w:r w:rsidR="0056651D" w:rsidRPr="005A02A6">
        <w:t>Schoenfeld</w:t>
      </w:r>
      <w:r w:rsidR="0056651D">
        <w:t>, 1983).</w:t>
      </w:r>
    </w:p>
    <w:p w14:paraId="05A94FD2" w14:textId="1B51FED2" w:rsidR="00B86F35" w:rsidRDefault="00B86F35" w:rsidP="005D2306">
      <w:pPr>
        <w:pStyle w:val="BodyText12"/>
        <w:rPr>
          <w:szCs w:val="24"/>
        </w:rPr>
      </w:pPr>
      <w:r>
        <w:rPr>
          <w:szCs w:val="24"/>
        </w:rPr>
        <w:t>The MDRR</w:t>
      </w:r>
      <w:r w:rsidR="007F697E">
        <w:rPr>
          <w:szCs w:val="24"/>
        </w:rPr>
        <w:t xml:space="preserve"> provides a range of effect estimates that we can reasonably expect to produce a significant finding, given how much sample we have available in our study. For example, a minimally detectable risk ratio of 1.50 would indicate that we are powered to observe a statistically significant finding (based on alpha=0.05) when the true risk ratio is 1.50 or greater.  On the other hand, a minimally detectable risk ratio of 4.00 would indicate that we are only powered to observe a statistically significant finding (based on alpha=-0.05) if the true risk ratio is 4.0 or greater. Risk ratios of this magnitude are rare, especially for safety outcomes like the ones being considered; </w:t>
      </w:r>
      <w:proofErr w:type="gramStart"/>
      <w:r w:rsidR="007F697E">
        <w:rPr>
          <w:szCs w:val="24"/>
        </w:rPr>
        <w:t>therefore</w:t>
      </w:r>
      <w:proofErr w:type="gramEnd"/>
      <w:r w:rsidR="007F697E">
        <w:rPr>
          <w:szCs w:val="24"/>
        </w:rPr>
        <w:t xml:space="preserve"> such a study would be considered to be underpowered. </w:t>
      </w:r>
    </w:p>
    <w:p w14:paraId="408B573C" w14:textId="25070669" w:rsidR="00654836" w:rsidRDefault="008050E8" w:rsidP="005D2306">
      <w:pPr>
        <w:pStyle w:val="BodyText12"/>
      </w:pPr>
      <w:r>
        <w:t xml:space="preserve">Due to the low incidence of CRPC among younger people, the study-eligible sample in the IBM Commercial Claims and Encounters (CCAE) database </w:t>
      </w:r>
      <w:r w:rsidR="00044390">
        <w:t xml:space="preserve">is </w:t>
      </w:r>
      <w:r>
        <w:t>too low to proceed with analyses</w:t>
      </w:r>
      <w:r w:rsidR="419B9B64">
        <w:t>, and so this database will not be used in the analysis</w:t>
      </w:r>
      <w:r>
        <w:t xml:space="preserve">.  In Table </w:t>
      </w:r>
      <w:r w:rsidR="00551159">
        <w:t>4</w:t>
      </w:r>
      <w:r>
        <w:t xml:space="preserve"> and Table </w:t>
      </w:r>
      <w:r w:rsidR="00551159">
        <w:t>5</w:t>
      </w:r>
      <w:r>
        <w:t xml:space="preserve">, we present the counts of patients in each exposure group that </w:t>
      </w:r>
      <w:r w:rsidR="00044390">
        <w:t xml:space="preserve">are </w:t>
      </w:r>
      <w:r>
        <w:t xml:space="preserve">included in the </w:t>
      </w:r>
      <w:r w:rsidR="002A6328">
        <w:t xml:space="preserve">propensity-score </w:t>
      </w:r>
      <w:r>
        <w:t>matched</w:t>
      </w:r>
      <w:r w:rsidR="002A6328">
        <w:t xml:space="preserve"> (1:1 and 1:100 variable ratio, respectively)</w:t>
      </w:r>
      <w:r>
        <w:t xml:space="preserve"> sample for various analyses</w:t>
      </w:r>
      <w:r w:rsidR="002A6328">
        <w:t xml:space="preserve"> in the Optum Extended DOD database and the IBM Medicare Supplemental database. </w:t>
      </w:r>
      <w:r w:rsidR="00646C4C">
        <w:t xml:space="preserve">These samples correspond to the analyses of the composite cardiovascular morbidity outcome (ischemic stroke, hemorrhagic stroke, heart failure, acute myocardial infarction, or sudden cardiac death), where the study population excludes anyone with prior history of the outcome. The corresponding matched samples included in analyses of other outcomes </w:t>
      </w:r>
      <w:r w:rsidR="00044390">
        <w:t xml:space="preserve">are </w:t>
      </w:r>
      <w:r w:rsidR="00646C4C">
        <w:t xml:space="preserve">larger than the ones shown below. </w:t>
      </w:r>
    </w:p>
    <w:p w14:paraId="3ADC5E3C" w14:textId="198DB11B" w:rsidR="00A6078A" w:rsidRPr="00A6078A" w:rsidRDefault="00A6078A" w:rsidP="005D2306">
      <w:pPr>
        <w:pStyle w:val="BodyText12"/>
        <w:rPr>
          <w:szCs w:val="24"/>
        </w:rPr>
      </w:pPr>
      <w:r w:rsidRPr="00922AF2">
        <w:rPr>
          <w:b/>
          <w:szCs w:val="24"/>
        </w:rPr>
        <w:t xml:space="preserve">Table </w:t>
      </w:r>
      <w:r w:rsidR="003D4A31">
        <w:rPr>
          <w:b/>
          <w:szCs w:val="24"/>
        </w:rPr>
        <w:t>4</w:t>
      </w:r>
      <w:r w:rsidRPr="00922AF2">
        <w:rPr>
          <w:b/>
          <w:szCs w:val="24"/>
        </w:rPr>
        <w:t xml:space="preserve">. </w:t>
      </w:r>
      <w:r>
        <w:rPr>
          <w:szCs w:val="24"/>
        </w:rPr>
        <w:t>Count of patients in 1:1 propensity-score matched samples in the analysis of the composite cardiovascular morbidity outcome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616"/>
        <w:gridCol w:w="1536"/>
        <w:gridCol w:w="1616"/>
        <w:gridCol w:w="1555"/>
      </w:tblGrid>
      <w:tr w:rsidR="007F34D9" w:rsidRPr="00944ADB" w14:paraId="7EF3B6CA" w14:textId="36D261CB" w:rsidTr="00922AF2">
        <w:trPr>
          <w:trHeight w:val="70"/>
        </w:trPr>
        <w:tc>
          <w:tcPr>
            <w:tcW w:w="2425" w:type="dxa"/>
            <w:tcBorders>
              <w:bottom w:val="nil"/>
            </w:tcBorders>
          </w:tcPr>
          <w:p w14:paraId="374F0037" w14:textId="77777777" w:rsidR="007F34D9" w:rsidRPr="00944ADB" w:rsidRDefault="007F34D9" w:rsidP="00922AF2">
            <w:pPr>
              <w:pStyle w:val="BodyText12"/>
              <w:spacing w:after="0" w:line="240" w:lineRule="auto"/>
              <w:rPr>
                <w:szCs w:val="24"/>
              </w:rPr>
            </w:pPr>
          </w:p>
        </w:tc>
        <w:tc>
          <w:tcPr>
            <w:tcW w:w="3152" w:type="dxa"/>
            <w:gridSpan w:val="2"/>
            <w:tcBorders>
              <w:bottom w:val="nil"/>
            </w:tcBorders>
          </w:tcPr>
          <w:p w14:paraId="51BCD6AE" w14:textId="7DC4E614" w:rsidR="007F34D9" w:rsidRPr="00922AF2" w:rsidRDefault="007F34D9" w:rsidP="00922AF2">
            <w:pPr>
              <w:pStyle w:val="BodyText12"/>
              <w:spacing w:after="0" w:line="240" w:lineRule="auto"/>
              <w:jc w:val="center"/>
              <w:rPr>
                <w:szCs w:val="24"/>
                <w:u w:val="single"/>
              </w:rPr>
            </w:pPr>
            <w:r w:rsidRPr="00922AF2">
              <w:rPr>
                <w:szCs w:val="24"/>
                <w:u w:val="single"/>
              </w:rPr>
              <w:t>Optum Extended DOD</w:t>
            </w:r>
          </w:p>
        </w:tc>
        <w:tc>
          <w:tcPr>
            <w:tcW w:w="3171" w:type="dxa"/>
            <w:gridSpan w:val="2"/>
            <w:tcBorders>
              <w:bottom w:val="nil"/>
            </w:tcBorders>
          </w:tcPr>
          <w:p w14:paraId="3FFE7CAB" w14:textId="66894549" w:rsidR="007F34D9" w:rsidRPr="00922AF2" w:rsidRDefault="007F34D9" w:rsidP="00922AF2">
            <w:pPr>
              <w:pStyle w:val="BodyText12"/>
              <w:spacing w:after="0" w:line="240" w:lineRule="auto"/>
              <w:rPr>
                <w:szCs w:val="24"/>
                <w:u w:val="single"/>
              </w:rPr>
            </w:pPr>
            <w:r w:rsidRPr="00922AF2">
              <w:rPr>
                <w:szCs w:val="24"/>
                <w:u w:val="single"/>
              </w:rPr>
              <w:t>IBM Medicare Supplemental</w:t>
            </w:r>
          </w:p>
        </w:tc>
      </w:tr>
      <w:tr w:rsidR="0087576B" w:rsidRPr="00944ADB" w14:paraId="7BBBC66C" w14:textId="21017062" w:rsidTr="00922AF2">
        <w:tc>
          <w:tcPr>
            <w:tcW w:w="2425" w:type="dxa"/>
            <w:tcBorders>
              <w:top w:val="nil"/>
              <w:bottom w:val="single" w:sz="4" w:space="0" w:color="auto"/>
            </w:tcBorders>
          </w:tcPr>
          <w:p w14:paraId="26B7468D" w14:textId="77777777" w:rsidR="007F34D9" w:rsidRPr="00944ADB" w:rsidRDefault="007F34D9" w:rsidP="00922AF2">
            <w:pPr>
              <w:pStyle w:val="BodyText12"/>
              <w:spacing w:after="0" w:line="240" w:lineRule="auto"/>
              <w:rPr>
                <w:szCs w:val="24"/>
              </w:rPr>
            </w:pPr>
          </w:p>
        </w:tc>
        <w:tc>
          <w:tcPr>
            <w:tcW w:w="1616" w:type="dxa"/>
            <w:tcBorders>
              <w:top w:val="nil"/>
              <w:bottom w:val="single" w:sz="4" w:space="0" w:color="auto"/>
            </w:tcBorders>
          </w:tcPr>
          <w:p w14:paraId="601A5667" w14:textId="51311170" w:rsidR="007F34D9" w:rsidRPr="00944ADB" w:rsidRDefault="007F34D9" w:rsidP="00922AF2">
            <w:pPr>
              <w:pStyle w:val="BodyText12"/>
              <w:spacing w:after="0" w:line="240" w:lineRule="auto"/>
              <w:jc w:val="right"/>
              <w:rPr>
                <w:szCs w:val="24"/>
              </w:rPr>
            </w:pPr>
            <w:r w:rsidRPr="00944ADB">
              <w:rPr>
                <w:szCs w:val="24"/>
              </w:rPr>
              <w:t xml:space="preserve">Abiraterone + </w:t>
            </w:r>
            <w:proofErr w:type="spellStart"/>
            <w:r w:rsidRPr="00944ADB">
              <w:rPr>
                <w:szCs w:val="24"/>
              </w:rPr>
              <w:t>predniso</w:t>
            </w:r>
            <w:proofErr w:type="spellEnd"/>
            <w:r w:rsidRPr="00944ADB">
              <w:rPr>
                <w:szCs w:val="24"/>
              </w:rPr>
              <w:t>(lo)ne</w:t>
            </w:r>
          </w:p>
        </w:tc>
        <w:tc>
          <w:tcPr>
            <w:tcW w:w="1536" w:type="dxa"/>
            <w:tcBorders>
              <w:top w:val="nil"/>
              <w:bottom w:val="single" w:sz="4" w:space="0" w:color="auto"/>
            </w:tcBorders>
          </w:tcPr>
          <w:p w14:paraId="6D719CAF" w14:textId="74079FB8" w:rsidR="007F34D9" w:rsidRPr="00944ADB" w:rsidRDefault="007F34D9" w:rsidP="00922AF2">
            <w:pPr>
              <w:pStyle w:val="BodyText12"/>
              <w:spacing w:after="0" w:line="240" w:lineRule="auto"/>
              <w:jc w:val="right"/>
              <w:rPr>
                <w:szCs w:val="24"/>
              </w:rPr>
            </w:pPr>
            <w:r w:rsidRPr="00944ADB">
              <w:rPr>
                <w:szCs w:val="24"/>
              </w:rPr>
              <w:t>Enzalutamide</w:t>
            </w:r>
          </w:p>
        </w:tc>
        <w:tc>
          <w:tcPr>
            <w:tcW w:w="1616" w:type="dxa"/>
            <w:tcBorders>
              <w:top w:val="nil"/>
              <w:bottom w:val="single" w:sz="4" w:space="0" w:color="auto"/>
            </w:tcBorders>
          </w:tcPr>
          <w:p w14:paraId="3A94DBA9" w14:textId="0BDA48CF" w:rsidR="007F34D9" w:rsidRPr="00944ADB" w:rsidRDefault="007F34D9" w:rsidP="00922AF2">
            <w:pPr>
              <w:pStyle w:val="BodyText12"/>
              <w:spacing w:after="0" w:line="240" w:lineRule="auto"/>
              <w:jc w:val="right"/>
              <w:rPr>
                <w:szCs w:val="24"/>
              </w:rPr>
            </w:pPr>
            <w:r w:rsidRPr="00944ADB">
              <w:rPr>
                <w:szCs w:val="24"/>
              </w:rPr>
              <w:t xml:space="preserve">Abiraterone + </w:t>
            </w:r>
            <w:proofErr w:type="spellStart"/>
            <w:r w:rsidRPr="00944ADB">
              <w:rPr>
                <w:szCs w:val="24"/>
              </w:rPr>
              <w:t>predniso</w:t>
            </w:r>
            <w:proofErr w:type="spellEnd"/>
            <w:r w:rsidRPr="00944ADB">
              <w:rPr>
                <w:szCs w:val="24"/>
              </w:rPr>
              <w:t>(lo)ne</w:t>
            </w:r>
          </w:p>
        </w:tc>
        <w:tc>
          <w:tcPr>
            <w:tcW w:w="1555" w:type="dxa"/>
            <w:tcBorders>
              <w:top w:val="nil"/>
              <w:bottom w:val="single" w:sz="4" w:space="0" w:color="auto"/>
            </w:tcBorders>
          </w:tcPr>
          <w:p w14:paraId="4F412549" w14:textId="5027EADD" w:rsidR="007F34D9" w:rsidRPr="00944ADB" w:rsidRDefault="007F34D9" w:rsidP="00922AF2">
            <w:pPr>
              <w:pStyle w:val="BodyText12"/>
              <w:spacing w:after="0" w:line="240" w:lineRule="auto"/>
              <w:jc w:val="right"/>
              <w:rPr>
                <w:szCs w:val="24"/>
              </w:rPr>
            </w:pPr>
            <w:r w:rsidRPr="00944ADB">
              <w:rPr>
                <w:szCs w:val="24"/>
              </w:rPr>
              <w:t>Enzalutamide</w:t>
            </w:r>
          </w:p>
        </w:tc>
      </w:tr>
      <w:tr w:rsidR="00E76BD2" w:rsidRPr="00944ADB" w14:paraId="375E74D2" w14:textId="77777777" w:rsidTr="00922AF2">
        <w:tc>
          <w:tcPr>
            <w:tcW w:w="2425" w:type="dxa"/>
            <w:tcBorders>
              <w:top w:val="single" w:sz="4" w:space="0" w:color="auto"/>
            </w:tcBorders>
          </w:tcPr>
          <w:p w14:paraId="06E19246" w14:textId="288EC260" w:rsidR="00E76BD2" w:rsidRPr="00944ADB" w:rsidRDefault="00E76BD2" w:rsidP="00922AF2">
            <w:pPr>
              <w:pStyle w:val="BodyText12"/>
              <w:spacing w:after="0" w:line="240" w:lineRule="auto"/>
              <w:rPr>
                <w:szCs w:val="24"/>
              </w:rPr>
            </w:pPr>
            <w:r w:rsidRPr="00944ADB">
              <w:rPr>
                <w:szCs w:val="24"/>
              </w:rPr>
              <w:t>As-treated analyses</w:t>
            </w:r>
          </w:p>
        </w:tc>
        <w:tc>
          <w:tcPr>
            <w:tcW w:w="1616" w:type="dxa"/>
            <w:tcBorders>
              <w:top w:val="single" w:sz="4" w:space="0" w:color="auto"/>
            </w:tcBorders>
          </w:tcPr>
          <w:p w14:paraId="16B53836" w14:textId="77777777" w:rsidR="00E76BD2" w:rsidRPr="00922AF2" w:rsidRDefault="00E76BD2" w:rsidP="00922AF2">
            <w:pPr>
              <w:pStyle w:val="BodyText12"/>
              <w:spacing w:after="0" w:line="240" w:lineRule="auto"/>
              <w:rPr>
                <w:szCs w:val="24"/>
              </w:rPr>
            </w:pPr>
          </w:p>
        </w:tc>
        <w:tc>
          <w:tcPr>
            <w:tcW w:w="1536" w:type="dxa"/>
            <w:tcBorders>
              <w:top w:val="single" w:sz="4" w:space="0" w:color="auto"/>
            </w:tcBorders>
          </w:tcPr>
          <w:p w14:paraId="413A2C9C" w14:textId="77777777" w:rsidR="00E76BD2" w:rsidRPr="00922AF2" w:rsidRDefault="00E76BD2" w:rsidP="00922AF2">
            <w:pPr>
              <w:pStyle w:val="BodyText12"/>
              <w:spacing w:after="0" w:line="240" w:lineRule="auto"/>
              <w:rPr>
                <w:szCs w:val="24"/>
              </w:rPr>
            </w:pPr>
          </w:p>
        </w:tc>
        <w:tc>
          <w:tcPr>
            <w:tcW w:w="1616" w:type="dxa"/>
            <w:tcBorders>
              <w:top w:val="single" w:sz="4" w:space="0" w:color="auto"/>
            </w:tcBorders>
          </w:tcPr>
          <w:p w14:paraId="6FCE30F7" w14:textId="77777777" w:rsidR="00E76BD2" w:rsidRPr="00944ADB" w:rsidRDefault="00E76BD2" w:rsidP="00922AF2">
            <w:pPr>
              <w:pStyle w:val="BodyText12"/>
              <w:spacing w:after="0" w:line="240" w:lineRule="auto"/>
              <w:rPr>
                <w:szCs w:val="24"/>
              </w:rPr>
            </w:pPr>
          </w:p>
        </w:tc>
        <w:tc>
          <w:tcPr>
            <w:tcW w:w="1555" w:type="dxa"/>
            <w:tcBorders>
              <w:top w:val="single" w:sz="4" w:space="0" w:color="auto"/>
            </w:tcBorders>
          </w:tcPr>
          <w:p w14:paraId="54395AD5" w14:textId="77777777" w:rsidR="00E76BD2" w:rsidRPr="00944ADB" w:rsidRDefault="00E76BD2" w:rsidP="00922AF2">
            <w:pPr>
              <w:pStyle w:val="BodyText12"/>
              <w:spacing w:after="0" w:line="240" w:lineRule="auto"/>
              <w:rPr>
                <w:szCs w:val="24"/>
              </w:rPr>
            </w:pPr>
          </w:p>
        </w:tc>
      </w:tr>
      <w:tr w:rsidR="0087576B" w:rsidRPr="00944ADB" w14:paraId="103C7371" w14:textId="04465C44" w:rsidTr="00922AF2">
        <w:trPr>
          <w:trHeight w:val="58"/>
        </w:trPr>
        <w:tc>
          <w:tcPr>
            <w:tcW w:w="2425" w:type="dxa"/>
          </w:tcPr>
          <w:p w14:paraId="608CBD60" w14:textId="042D5322" w:rsidR="00944ADB" w:rsidRPr="00944ADB" w:rsidRDefault="00944ADB" w:rsidP="00922AF2">
            <w:pPr>
              <w:pStyle w:val="BodyText12"/>
              <w:spacing w:after="0" w:line="240" w:lineRule="auto"/>
              <w:rPr>
                <w:szCs w:val="24"/>
              </w:rPr>
            </w:pPr>
            <w:r>
              <w:rPr>
                <w:szCs w:val="24"/>
              </w:rPr>
              <w:t xml:space="preserve">   </w:t>
            </w:r>
            <w:r w:rsidRPr="00944ADB">
              <w:rPr>
                <w:szCs w:val="24"/>
              </w:rPr>
              <w:t>Keep first</w:t>
            </w:r>
          </w:p>
        </w:tc>
        <w:tc>
          <w:tcPr>
            <w:tcW w:w="1616" w:type="dxa"/>
          </w:tcPr>
          <w:p w14:paraId="1249ECD6" w14:textId="5E45C11A" w:rsidR="00944ADB" w:rsidRPr="00944ADB" w:rsidRDefault="00944ADB" w:rsidP="00922AF2">
            <w:pPr>
              <w:pStyle w:val="BodyText12"/>
              <w:spacing w:after="0" w:line="240" w:lineRule="auto"/>
              <w:jc w:val="right"/>
              <w:rPr>
                <w:szCs w:val="24"/>
              </w:rPr>
            </w:pPr>
            <w:r w:rsidRPr="00922AF2">
              <w:rPr>
                <w:color w:val="333333"/>
                <w:szCs w:val="24"/>
              </w:rPr>
              <w:t>1,619</w:t>
            </w:r>
          </w:p>
        </w:tc>
        <w:tc>
          <w:tcPr>
            <w:tcW w:w="1536" w:type="dxa"/>
          </w:tcPr>
          <w:p w14:paraId="390F82DE" w14:textId="350DF1A4" w:rsidR="00944ADB" w:rsidRPr="00944ADB" w:rsidRDefault="00944ADB" w:rsidP="00922AF2">
            <w:pPr>
              <w:pStyle w:val="BodyText12"/>
              <w:spacing w:after="0" w:line="240" w:lineRule="auto"/>
              <w:jc w:val="right"/>
              <w:rPr>
                <w:szCs w:val="24"/>
              </w:rPr>
            </w:pPr>
            <w:r w:rsidRPr="00922AF2">
              <w:rPr>
                <w:color w:val="333333"/>
                <w:szCs w:val="24"/>
              </w:rPr>
              <w:t>1,619</w:t>
            </w:r>
          </w:p>
        </w:tc>
        <w:tc>
          <w:tcPr>
            <w:tcW w:w="1616" w:type="dxa"/>
          </w:tcPr>
          <w:p w14:paraId="231C502C" w14:textId="7AD4B726" w:rsidR="00944ADB" w:rsidRPr="00944ADB" w:rsidRDefault="00944ADB" w:rsidP="00922AF2">
            <w:pPr>
              <w:pStyle w:val="BodyText12"/>
              <w:spacing w:after="0" w:line="240" w:lineRule="auto"/>
              <w:jc w:val="right"/>
              <w:rPr>
                <w:szCs w:val="24"/>
              </w:rPr>
            </w:pPr>
            <w:r w:rsidRPr="00922AF2">
              <w:rPr>
                <w:color w:val="333333"/>
                <w:szCs w:val="24"/>
              </w:rPr>
              <w:t>1,002</w:t>
            </w:r>
          </w:p>
        </w:tc>
        <w:tc>
          <w:tcPr>
            <w:tcW w:w="1555" w:type="dxa"/>
          </w:tcPr>
          <w:p w14:paraId="1A4E5CB2" w14:textId="4D8327D6" w:rsidR="00944ADB" w:rsidRPr="00944ADB" w:rsidRDefault="00944ADB" w:rsidP="00922AF2">
            <w:pPr>
              <w:pStyle w:val="BodyText12"/>
              <w:spacing w:after="0" w:line="240" w:lineRule="auto"/>
              <w:jc w:val="right"/>
              <w:rPr>
                <w:szCs w:val="24"/>
              </w:rPr>
            </w:pPr>
            <w:r w:rsidRPr="00922AF2">
              <w:rPr>
                <w:color w:val="333333"/>
                <w:szCs w:val="24"/>
              </w:rPr>
              <w:t>1,002</w:t>
            </w:r>
          </w:p>
        </w:tc>
      </w:tr>
      <w:tr w:rsidR="0087576B" w:rsidRPr="00944ADB" w14:paraId="4384BF20" w14:textId="6D0B0E5C" w:rsidTr="00922AF2">
        <w:tc>
          <w:tcPr>
            <w:tcW w:w="2425" w:type="dxa"/>
          </w:tcPr>
          <w:p w14:paraId="35925866" w14:textId="20320E8C" w:rsidR="00944ADB" w:rsidRPr="00944ADB" w:rsidRDefault="00944ADB" w:rsidP="00922AF2">
            <w:pPr>
              <w:pStyle w:val="BodyText12"/>
              <w:spacing w:after="0" w:line="240" w:lineRule="auto"/>
              <w:rPr>
                <w:szCs w:val="24"/>
              </w:rPr>
            </w:pPr>
            <w:r>
              <w:rPr>
                <w:szCs w:val="24"/>
              </w:rPr>
              <w:lastRenderedPageBreak/>
              <w:t xml:space="preserve">   </w:t>
            </w:r>
            <w:r w:rsidRPr="00944ADB">
              <w:rPr>
                <w:szCs w:val="24"/>
              </w:rPr>
              <w:t>Remove all</w:t>
            </w:r>
          </w:p>
        </w:tc>
        <w:tc>
          <w:tcPr>
            <w:tcW w:w="1616" w:type="dxa"/>
          </w:tcPr>
          <w:p w14:paraId="4A5616D9" w14:textId="45BCF16F" w:rsidR="00944ADB" w:rsidRPr="00944ADB" w:rsidRDefault="00944ADB" w:rsidP="00922AF2">
            <w:pPr>
              <w:pStyle w:val="BodyText12"/>
              <w:spacing w:after="0" w:line="240" w:lineRule="auto"/>
              <w:jc w:val="right"/>
              <w:rPr>
                <w:szCs w:val="24"/>
              </w:rPr>
            </w:pPr>
            <w:r w:rsidRPr="00922AF2">
              <w:rPr>
                <w:color w:val="333333"/>
                <w:szCs w:val="24"/>
              </w:rPr>
              <w:t>1,242</w:t>
            </w:r>
          </w:p>
        </w:tc>
        <w:tc>
          <w:tcPr>
            <w:tcW w:w="1536" w:type="dxa"/>
          </w:tcPr>
          <w:p w14:paraId="63B75BD8" w14:textId="7C870F4E" w:rsidR="00944ADB" w:rsidRPr="00944ADB" w:rsidRDefault="00944ADB" w:rsidP="00922AF2">
            <w:pPr>
              <w:pStyle w:val="BodyText12"/>
              <w:spacing w:after="0" w:line="240" w:lineRule="auto"/>
              <w:jc w:val="right"/>
              <w:rPr>
                <w:szCs w:val="24"/>
              </w:rPr>
            </w:pPr>
            <w:r w:rsidRPr="00922AF2">
              <w:rPr>
                <w:color w:val="333333"/>
                <w:szCs w:val="24"/>
              </w:rPr>
              <w:t>1,242</w:t>
            </w:r>
          </w:p>
        </w:tc>
        <w:tc>
          <w:tcPr>
            <w:tcW w:w="1616" w:type="dxa"/>
          </w:tcPr>
          <w:p w14:paraId="0C4B6595" w14:textId="1393A740" w:rsidR="00944ADB" w:rsidRPr="00944ADB" w:rsidRDefault="00944ADB" w:rsidP="00922AF2">
            <w:pPr>
              <w:pStyle w:val="BodyText12"/>
              <w:spacing w:after="0" w:line="240" w:lineRule="auto"/>
              <w:jc w:val="right"/>
              <w:rPr>
                <w:szCs w:val="24"/>
              </w:rPr>
            </w:pPr>
            <w:r w:rsidRPr="00922AF2">
              <w:rPr>
                <w:color w:val="333333"/>
                <w:szCs w:val="24"/>
              </w:rPr>
              <w:t>734</w:t>
            </w:r>
          </w:p>
        </w:tc>
        <w:tc>
          <w:tcPr>
            <w:tcW w:w="1555" w:type="dxa"/>
          </w:tcPr>
          <w:p w14:paraId="5C32C4F3" w14:textId="2283F50E" w:rsidR="00944ADB" w:rsidRPr="00944ADB" w:rsidRDefault="00944ADB" w:rsidP="00922AF2">
            <w:pPr>
              <w:pStyle w:val="BodyText12"/>
              <w:spacing w:after="0" w:line="240" w:lineRule="auto"/>
              <w:jc w:val="right"/>
              <w:rPr>
                <w:szCs w:val="24"/>
              </w:rPr>
            </w:pPr>
            <w:r w:rsidRPr="00922AF2">
              <w:rPr>
                <w:color w:val="333333"/>
                <w:szCs w:val="24"/>
              </w:rPr>
              <w:t>734</w:t>
            </w:r>
          </w:p>
        </w:tc>
      </w:tr>
      <w:tr w:rsidR="00944ADB" w:rsidRPr="00944ADB" w14:paraId="6589E3FF" w14:textId="77777777" w:rsidTr="00922AF2">
        <w:tc>
          <w:tcPr>
            <w:tcW w:w="2425" w:type="dxa"/>
          </w:tcPr>
          <w:p w14:paraId="7E1A2E44" w14:textId="76344173" w:rsidR="00944ADB" w:rsidRPr="00944ADB" w:rsidRDefault="00944ADB" w:rsidP="00922AF2">
            <w:pPr>
              <w:pStyle w:val="BodyText12"/>
              <w:spacing w:after="0" w:line="240" w:lineRule="auto"/>
              <w:rPr>
                <w:szCs w:val="24"/>
              </w:rPr>
            </w:pPr>
            <w:r>
              <w:rPr>
                <w:szCs w:val="24"/>
              </w:rPr>
              <w:t xml:space="preserve">   </w:t>
            </w:r>
            <w:r w:rsidRPr="00944ADB">
              <w:rPr>
                <w:szCs w:val="24"/>
              </w:rPr>
              <w:t>Keep all</w:t>
            </w:r>
          </w:p>
        </w:tc>
        <w:tc>
          <w:tcPr>
            <w:tcW w:w="1616" w:type="dxa"/>
          </w:tcPr>
          <w:p w14:paraId="4D6DE7A7" w14:textId="406DE10C" w:rsidR="00944ADB" w:rsidRPr="00922AF2" w:rsidRDefault="00944ADB" w:rsidP="00922AF2">
            <w:pPr>
              <w:pStyle w:val="BodyText12"/>
              <w:spacing w:after="0" w:line="240" w:lineRule="auto"/>
              <w:jc w:val="right"/>
              <w:rPr>
                <w:szCs w:val="24"/>
              </w:rPr>
            </w:pPr>
            <w:r w:rsidRPr="00922AF2">
              <w:rPr>
                <w:szCs w:val="24"/>
              </w:rPr>
              <w:t>2,179</w:t>
            </w:r>
          </w:p>
        </w:tc>
        <w:tc>
          <w:tcPr>
            <w:tcW w:w="1536" w:type="dxa"/>
          </w:tcPr>
          <w:p w14:paraId="0C5CE2BD" w14:textId="525F709C" w:rsidR="00944ADB" w:rsidRPr="00922AF2" w:rsidRDefault="00944ADB" w:rsidP="00922AF2">
            <w:pPr>
              <w:pStyle w:val="BodyText12"/>
              <w:spacing w:after="0" w:line="240" w:lineRule="auto"/>
              <w:jc w:val="right"/>
              <w:rPr>
                <w:szCs w:val="24"/>
              </w:rPr>
            </w:pPr>
            <w:r w:rsidRPr="00922AF2">
              <w:rPr>
                <w:szCs w:val="24"/>
              </w:rPr>
              <w:t>2,179</w:t>
            </w:r>
          </w:p>
        </w:tc>
        <w:tc>
          <w:tcPr>
            <w:tcW w:w="1616" w:type="dxa"/>
          </w:tcPr>
          <w:p w14:paraId="627323CE" w14:textId="48D62CAE" w:rsidR="00944ADB" w:rsidRPr="00944ADB" w:rsidRDefault="00944ADB" w:rsidP="00922AF2">
            <w:pPr>
              <w:pStyle w:val="BodyText12"/>
              <w:spacing w:after="0" w:line="240" w:lineRule="auto"/>
              <w:jc w:val="right"/>
              <w:rPr>
                <w:szCs w:val="24"/>
              </w:rPr>
            </w:pPr>
            <w:r w:rsidRPr="00922AF2">
              <w:rPr>
                <w:color w:val="333333"/>
                <w:szCs w:val="24"/>
              </w:rPr>
              <w:t>1,389</w:t>
            </w:r>
          </w:p>
        </w:tc>
        <w:tc>
          <w:tcPr>
            <w:tcW w:w="1555" w:type="dxa"/>
          </w:tcPr>
          <w:p w14:paraId="76318A0C" w14:textId="5B7CE8D3" w:rsidR="00944ADB" w:rsidRPr="00944ADB" w:rsidRDefault="00944ADB" w:rsidP="00922AF2">
            <w:pPr>
              <w:pStyle w:val="BodyText12"/>
              <w:spacing w:after="0" w:line="240" w:lineRule="auto"/>
              <w:jc w:val="right"/>
              <w:rPr>
                <w:szCs w:val="24"/>
              </w:rPr>
            </w:pPr>
            <w:r w:rsidRPr="00922AF2">
              <w:rPr>
                <w:color w:val="333333"/>
                <w:szCs w:val="24"/>
              </w:rPr>
              <w:t>1,389</w:t>
            </w:r>
          </w:p>
        </w:tc>
      </w:tr>
      <w:tr w:rsidR="00E76BD2" w:rsidRPr="00944ADB" w14:paraId="4C7C0B49" w14:textId="77777777" w:rsidTr="00922AF2">
        <w:tc>
          <w:tcPr>
            <w:tcW w:w="2425" w:type="dxa"/>
          </w:tcPr>
          <w:p w14:paraId="60700718" w14:textId="74047480" w:rsidR="00E76BD2" w:rsidRPr="00944ADB" w:rsidRDefault="00E76BD2" w:rsidP="00922AF2">
            <w:pPr>
              <w:pStyle w:val="BodyText12"/>
              <w:spacing w:after="0" w:line="240" w:lineRule="auto"/>
              <w:rPr>
                <w:szCs w:val="24"/>
              </w:rPr>
            </w:pPr>
            <w:r w:rsidRPr="00944ADB">
              <w:rPr>
                <w:szCs w:val="24"/>
              </w:rPr>
              <w:t>Intent-to-treat analyses</w:t>
            </w:r>
          </w:p>
        </w:tc>
        <w:tc>
          <w:tcPr>
            <w:tcW w:w="1616" w:type="dxa"/>
          </w:tcPr>
          <w:p w14:paraId="44CD123D" w14:textId="77777777" w:rsidR="00E76BD2" w:rsidRPr="00944ADB" w:rsidRDefault="00E76BD2" w:rsidP="00922AF2">
            <w:pPr>
              <w:pStyle w:val="BodyText12"/>
              <w:spacing w:after="0" w:line="240" w:lineRule="auto"/>
              <w:jc w:val="right"/>
              <w:rPr>
                <w:szCs w:val="24"/>
              </w:rPr>
            </w:pPr>
          </w:p>
        </w:tc>
        <w:tc>
          <w:tcPr>
            <w:tcW w:w="1536" w:type="dxa"/>
          </w:tcPr>
          <w:p w14:paraId="0A4184EE" w14:textId="77777777" w:rsidR="00E76BD2" w:rsidRPr="00944ADB" w:rsidRDefault="00E76BD2" w:rsidP="00922AF2">
            <w:pPr>
              <w:pStyle w:val="BodyText12"/>
              <w:spacing w:after="0" w:line="240" w:lineRule="auto"/>
              <w:jc w:val="right"/>
              <w:rPr>
                <w:szCs w:val="24"/>
              </w:rPr>
            </w:pPr>
          </w:p>
        </w:tc>
        <w:tc>
          <w:tcPr>
            <w:tcW w:w="1616" w:type="dxa"/>
          </w:tcPr>
          <w:p w14:paraId="0E955EFA" w14:textId="77777777" w:rsidR="00E76BD2" w:rsidRPr="00944ADB" w:rsidRDefault="00E76BD2" w:rsidP="00922AF2">
            <w:pPr>
              <w:pStyle w:val="BodyText12"/>
              <w:spacing w:after="0" w:line="240" w:lineRule="auto"/>
              <w:jc w:val="right"/>
              <w:rPr>
                <w:szCs w:val="24"/>
              </w:rPr>
            </w:pPr>
          </w:p>
        </w:tc>
        <w:tc>
          <w:tcPr>
            <w:tcW w:w="1555" w:type="dxa"/>
          </w:tcPr>
          <w:p w14:paraId="13695F5C" w14:textId="77777777" w:rsidR="00E76BD2" w:rsidRPr="00944ADB" w:rsidRDefault="00E76BD2" w:rsidP="00922AF2">
            <w:pPr>
              <w:pStyle w:val="BodyText12"/>
              <w:spacing w:after="0" w:line="240" w:lineRule="auto"/>
              <w:jc w:val="right"/>
              <w:rPr>
                <w:szCs w:val="24"/>
              </w:rPr>
            </w:pPr>
          </w:p>
        </w:tc>
      </w:tr>
      <w:tr w:rsidR="00944ADB" w:rsidRPr="00944ADB" w14:paraId="6E47306F" w14:textId="77777777" w:rsidTr="00922AF2">
        <w:tc>
          <w:tcPr>
            <w:tcW w:w="2425" w:type="dxa"/>
          </w:tcPr>
          <w:p w14:paraId="33EC9A03" w14:textId="4F1115CC" w:rsidR="00944ADB" w:rsidRPr="00944ADB" w:rsidRDefault="00944ADB" w:rsidP="00922AF2">
            <w:pPr>
              <w:pStyle w:val="BodyText12"/>
              <w:spacing w:after="0" w:line="240" w:lineRule="auto"/>
              <w:rPr>
                <w:szCs w:val="24"/>
              </w:rPr>
            </w:pPr>
            <w:r>
              <w:rPr>
                <w:szCs w:val="24"/>
              </w:rPr>
              <w:t xml:space="preserve">   </w:t>
            </w:r>
            <w:r w:rsidRPr="00944ADB">
              <w:rPr>
                <w:szCs w:val="24"/>
              </w:rPr>
              <w:t>Keep first</w:t>
            </w:r>
          </w:p>
        </w:tc>
        <w:tc>
          <w:tcPr>
            <w:tcW w:w="1616" w:type="dxa"/>
          </w:tcPr>
          <w:p w14:paraId="16DD478C" w14:textId="349C5EBB" w:rsidR="00944ADB" w:rsidRPr="00922AF2" w:rsidRDefault="00944ADB" w:rsidP="00922AF2">
            <w:pPr>
              <w:pStyle w:val="BodyText12"/>
              <w:spacing w:after="0" w:line="240" w:lineRule="auto"/>
              <w:jc w:val="right"/>
              <w:rPr>
                <w:szCs w:val="24"/>
              </w:rPr>
            </w:pPr>
            <w:r w:rsidRPr="00922AF2">
              <w:rPr>
                <w:szCs w:val="24"/>
              </w:rPr>
              <w:t>1,813</w:t>
            </w:r>
          </w:p>
        </w:tc>
        <w:tc>
          <w:tcPr>
            <w:tcW w:w="1536" w:type="dxa"/>
          </w:tcPr>
          <w:p w14:paraId="420E9343" w14:textId="6DEAF596" w:rsidR="00944ADB" w:rsidRPr="00922AF2" w:rsidRDefault="00944ADB" w:rsidP="00922AF2">
            <w:pPr>
              <w:pStyle w:val="BodyText12"/>
              <w:spacing w:after="0" w:line="240" w:lineRule="auto"/>
              <w:jc w:val="right"/>
              <w:rPr>
                <w:szCs w:val="24"/>
              </w:rPr>
            </w:pPr>
            <w:r w:rsidRPr="00922AF2">
              <w:rPr>
                <w:szCs w:val="24"/>
              </w:rPr>
              <w:t>1,813</w:t>
            </w:r>
          </w:p>
        </w:tc>
        <w:tc>
          <w:tcPr>
            <w:tcW w:w="1616" w:type="dxa"/>
          </w:tcPr>
          <w:p w14:paraId="44343D2B" w14:textId="6E206F0B" w:rsidR="00944ADB" w:rsidRPr="00944ADB" w:rsidRDefault="00944ADB" w:rsidP="00922AF2">
            <w:pPr>
              <w:pStyle w:val="BodyText12"/>
              <w:spacing w:after="0" w:line="240" w:lineRule="auto"/>
              <w:jc w:val="right"/>
              <w:rPr>
                <w:szCs w:val="24"/>
              </w:rPr>
            </w:pPr>
            <w:r w:rsidRPr="00922AF2">
              <w:rPr>
                <w:color w:val="333333"/>
                <w:szCs w:val="24"/>
              </w:rPr>
              <w:t>1,117</w:t>
            </w:r>
          </w:p>
        </w:tc>
        <w:tc>
          <w:tcPr>
            <w:tcW w:w="1555" w:type="dxa"/>
          </w:tcPr>
          <w:p w14:paraId="231B6D92" w14:textId="6D50D9BA" w:rsidR="00944ADB" w:rsidRPr="00944ADB" w:rsidRDefault="00944ADB" w:rsidP="00922AF2">
            <w:pPr>
              <w:pStyle w:val="BodyText12"/>
              <w:spacing w:after="0" w:line="240" w:lineRule="auto"/>
              <w:jc w:val="right"/>
              <w:rPr>
                <w:szCs w:val="24"/>
              </w:rPr>
            </w:pPr>
            <w:r w:rsidRPr="00922AF2">
              <w:rPr>
                <w:color w:val="333333"/>
                <w:szCs w:val="24"/>
              </w:rPr>
              <w:t>1,117</w:t>
            </w:r>
          </w:p>
        </w:tc>
      </w:tr>
      <w:tr w:rsidR="00944ADB" w:rsidRPr="00944ADB" w14:paraId="36E6898F" w14:textId="77777777" w:rsidTr="00922AF2">
        <w:tc>
          <w:tcPr>
            <w:tcW w:w="2425" w:type="dxa"/>
          </w:tcPr>
          <w:p w14:paraId="32A9FD2F" w14:textId="1C34DB33" w:rsidR="00944ADB" w:rsidRPr="00944ADB" w:rsidRDefault="00944ADB" w:rsidP="00922AF2">
            <w:pPr>
              <w:pStyle w:val="BodyText12"/>
              <w:spacing w:after="0" w:line="240" w:lineRule="auto"/>
              <w:rPr>
                <w:szCs w:val="24"/>
              </w:rPr>
            </w:pPr>
            <w:r>
              <w:rPr>
                <w:szCs w:val="24"/>
              </w:rPr>
              <w:t xml:space="preserve">   </w:t>
            </w:r>
            <w:r w:rsidRPr="00944ADB">
              <w:rPr>
                <w:szCs w:val="24"/>
              </w:rPr>
              <w:t>Remove all</w:t>
            </w:r>
          </w:p>
        </w:tc>
        <w:tc>
          <w:tcPr>
            <w:tcW w:w="1616" w:type="dxa"/>
          </w:tcPr>
          <w:p w14:paraId="3E62D196" w14:textId="38C06D6D" w:rsidR="00944ADB" w:rsidRPr="00944ADB" w:rsidRDefault="00944ADB" w:rsidP="00922AF2">
            <w:pPr>
              <w:pStyle w:val="BodyText12"/>
              <w:spacing w:after="0" w:line="240" w:lineRule="auto"/>
              <w:jc w:val="right"/>
              <w:rPr>
                <w:szCs w:val="24"/>
              </w:rPr>
            </w:pPr>
            <w:r w:rsidRPr="00922AF2">
              <w:rPr>
                <w:color w:val="333333"/>
                <w:szCs w:val="24"/>
              </w:rPr>
              <w:t>1,413</w:t>
            </w:r>
          </w:p>
        </w:tc>
        <w:tc>
          <w:tcPr>
            <w:tcW w:w="1536" w:type="dxa"/>
          </w:tcPr>
          <w:p w14:paraId="700F3557" w14:textId="4932AE36" w:rsidR="00944ADB" w:rsidRPr="00944ADB" w:rsidRDefault="00944ADB" w:rsidP="00922AF2">
            <w:pPr>
              <w:pStyle w:val="BodyText12"/>
              <w:spacing w:after="0" w:line="240" w:lineRule="auto"/>
              <w:jc w:val="right"/>
              <w:rPr>
                <w:szCs w:val="24"/>
              </w:rPr>
            </w:pPr>
            <w:r w:rsidRPr="00922AF2">
              <w:rPr>
                <w:color w:val="333333"/>
                <w:szCs w:val="24"/>
              </w:rPr>
              <w:t>1,413</w:t>
            </w:r>
          </w:p>
        </w:tc>
        <w:tc>
          <w:tcPr>
            <w:tcW w:w="1616" w:type="dxa"/>
          </w:tcPr>
          <w:p w14:paraId="127E403F" w14:textId="003551FD" w:rsidR="00944ADB" w:rsidRPr="00944ADB" w:rsidRDefault="00944ADB" w:rsidP="00922AF2">
            <w:pPr>
              <w:pStyle w:val="BodyText12"/>
              <w:spacing w:after="0" w:line="240" w:lineRule="auto"/>
              <w:jc w:val="right"/>
              <w:rPr>
                <w:szCs w:val="24"/>
              </w:rPr>
            </w:pPr>
            <w:r w:rsidRPr="00922AF2">
              <w:rPr>
                <w:color w:val="333333"/>
                <w:szCs w:val="24"/>
              </w:rPr>
              <w:t>864</w:t>
            </w:r>
          </w:p>
        </w:tc>
        <w:tc>
          <w:tcPr>
            <w:tcW w:w="1555" w:type="dxa"/>
          </w:tcPr>
          <w:p w14:paraId="10736B42" w14:textId="1897048B" w:rsidR="00944ADB" w:rsidRPr="00944ADB" w:rsidRDefault="00944ADB" w:rsidP="00922AF2">
            <w:pPr>
              <w:pStyle w:val="BodyText12"/>
              <w:spacing w:after="0" w:line="240" w:lineRule="auto"/>
              <w:jc w:val="right"/>
              <w:rPr>
                <w:szCs w:val="24"/>
              </w:rPr>
            </w:pPr>
            <w:r w:rsidRPr="00922AF2">
              <w:rPr>
                <w:color w:val="333333"/>
                <w:szCs w:val="24"/>
              </w:rPr>
              <w:t>864</w:t>
            </w:r>
          </w:p>
        </w:tc>
      </w:tr>
    </w:tbl>
    <w:p w14:paraId="1451A999" w14:textId="07AD58BD" w:rsidR="007F34D9" w:rsidRDefault="007F34D9" w:rsidP="005D2306">
      <w:pPr>
        <w:pStyle w:val="BodyText12"/>
        <w:rPr>
          <w:szCs w:val="24"/>
        </w:rPr>
      </w:pPr>
    </w:p>
    <w:p w14:paraId="38BD1118" w14:textId="6BD00CCE" w:rsidR="0087576B" w:rsidRPr="00A6078A" w:rsidRDefault="00A6078A" w:rsidP="005D2306">
      <w:pPr>
        <w:pStyle w:val="BodyText12"/>
        <w:rPr>
          <w:szCs w:val="24"/>
        </w:rPr>
      </w:pPr>
      <w:r w:rsidRPr="00C323B3">
        <w:rPr>
          <w:b/>
          <w:szCs w:val="24"/>
        </w:rPr>
        <w:t xml:space="preserve">Table </w:t>
      </w:r>
      <w:r w:rsidR="00551159">
        <w:rPr>
          <w:b/>
          <w:szCs w:val="24"/>
        </w:rPr>
        <w:t>5</w:t>
      </w:r>
      <w:r w:rsidRPr="00C323B3">
        <w:rPr>
          <w:b/>
          <w:szCs w:val="24"/>
        </w:rPr>
        <w:t xml:space="preserve">. </w:t>
      </w:r>
      <w:r>
        <w:rPr>
          <w:szCs w:val="24"/>
        </w:rPr>
        <w:t>Count of patients in 1:100 variable-ratio propensity-score matched samples in the analysis of the composite cardiovascular morbidity outcome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616"/>
        <w:gridCol w:w="1536"/>
        <w:gridCol w:w="1616"/>
        <w:gridCol w:w="1555"/>
      </w:tblGrid>
      <w:tr w:rsidR="0087576B" w:rsidRPr="002A6328" w14:paraId="0A2F3CAF" w14:textId="77777777" w:rsidTr="004B6CD1">
        <w:trPr>
          <w:trHeight w:val="70"/>
        </w:trPr>
        <w:tc>
          <w:tcPr>
            <w:tcW w:w="2425" w:type="dxa"/>
            <w:tcBorders>
              <w:bottom w:val="nil"/>
            </w:tcBorders>
          </w:tcPr>
          <w:p w14:paraId="1EBA40F1" w14:textId="77777777" w:rsidR="0087576B" w:rsidRPr="002A6328" w:rsidRDefault="0087576B" w:rsidP="004B6CD1">
            <w:pPr>
              <w:pStyle w:val="BodyText12"/>
              <w:spacing w:after="0" w:line="240" w:lineRule="auto"/>
              <w:rPr>
                <w:szCs w:val="24"/>
              </w:rPr>
            </w:pPr>
          </w:p>
        </w:tc>
        <w:tc>
          <w:tcPr>
            <w:tcW w:w="3152" w:type="dxa"/>
            <w:gridSpan w:val="2"/>
            <w:tcBorders>
              <w:bottom w:val="nil"/>
            </w:tcBorders>
          </w:tcPr>
          <w:p w14:paraId="6A5A2C39" w14:textId="77777777" w:rsidR="0087576B" w:rsidRPr="002A6328" w:rsidRDefault="0087576B" w:rsidP="004B6CD1">
            <w:pPr>
              <w:pStyle w:val="BodyText12"/>
              <w:spacing w:after="0" w:line="240" w:lineRule="auto"/>
              <w:jc w:val="center"/>
              <w:rPr>
                <w:szCs w:val="24"/>
                <w:u w:val="single"/>
              </w:rPr>
            </w:pPr>
            <w:r w:rsidRPr="002A6328">
              <w:rPr>
                <w:szCs w:val="24"/>
                <w:u w:val="single"/>
              </w:rPr>
              <w:t>Optum Extended DOD</w:t>
            </w:r>
          </w:p>
        </w:tc>
        <w:tc>
          <w:tcPr>
            <w:tcW w:w="3171" w:type="dxa"/>
            <w:gridSpan w:val="2"/>
            <w:tcBorders>
              <w:bottom w:val="nil"/>
            </w:tcBorders>
          </w:tcPr>
          <w:p w14:paraId="205F7C46" w14:textId="77777777" w:rsidR="0087576B" w:rsidRPr="002A6328" w:rsidRDefault="0087576B" w:rsidP="004B6CD1">
            <w:pPr>
              <w:pStyle w:val="BodyText12"/>
              <w:spacing w:after="0" w:line="240" w:lineRule="auto"/>
              <w:rPr>
                <w:szCs w:val="24"/>
                <w:u w:val="single"/>
              </w:rPr>
            </w:pPr>
            <w:r w:rsidRPr="002A6328">
              <w:rPr>
                <w:szCs w:val="24"/>
                <w:u w:val="single"/>
              </w:rPr>
              <w:t>IBM Medicare Supplemental</w:t>
            </w:r>
          </w:p>
        </w:tc>
      </w:tr>
      <w:tr w:rsidR="0087576B" w:rsidRPr="002A6328" w14:paraId="1F363A71" w14:textId="77777777" w:rsidTr="004B6CD1">
        <w:tc>
          <w:tcPr>
            <w:tcW w:w="2425" w:type="dxa"/>
            <w:tcBorders>
              <w:top w:val="nil"/>
              <w:bottom w:val="single" w:sz="4" w:space="0" w:color="auto"/>
            </w:tcBorders>
          </w:tcPr>
          <w:p w14:paraId="5137C257" w14:textId="77777777" w:rsidR="0087576B" w:rsidRPr="002A6328" w:rsidRDefault="0087576B" w:rsidP="004B6CD1">
            <w:pPr>
              <w:pStyle w:val="BodyText12"/>
              <w:spacing w:after="0" w:line="240" w:lineRule="auto"/>
              <w:rPr>
                <w:szCs w:val="24"/>
              </w:rPr>
            </w:pPr>
          </w:p>
        </w:tc>
        <w:tc>
          <w:tcPr>
            <w:tcW w:w="1616" w:type="dxa"/>
            <w:tcBorders>
              <w:top w:val="nil"/>
              <w:bottom w:val="single" w:sz="4" w:space="0" w:color="auto"/>
            </w:tcBorders>
          </w:tcPr>
          <w:p w14:paraId="6327695B" w14:textId="77777777" w:rsidR="0087576B" w:rsidRPr="002A6328" w:rsidRDefault="0087576B" w:rsidP="00922AF2">
            <w:pPr>
              <w:pStyle w:val="BodyText12"/>
              <w:spacing w:after="0" w:line="240" w:lineRule="auto"/>
              <w:jc w:val="right"/>
              <w:rPr>
                <w:szCs w:val="24"/>
              </w:rPr>
            </w:pPr>
            <w:r w:rsidRPr="002A6328">
              <w:rPr>
                <w:szCs w:val="24"/>
              </w:rPr>
              <w:t xml:space="preserve">Abiraterone + </w:t>
            </w:r>
            <w:proofErr w:type="spellStart"/>
            <w:r w:rsidRPr="002A6328">
              <w:rPr>
                <w:szCs w:val="24"/>
              </w:rPr>
              <w:t>predniso</w:t>
            </w:r>
            <w:proofErr w:type="spellEnd"/>
            <w:r w:rsidRPr="002A6328">
              <w:rPr>
                <w:szCs w:val="24"/>
              </w:rPr>
              <w:t>(lo)ne</w:t>
            </w:r>
          </w:p>
        </w:tc>
        <w:tc>
          <w:tcPr>
            <w:tcW w:w="1536" w:type="dxa"/>
            <w:tcBorders>
              <w:top w:val="nil"/>
              <w:bottom w:val="single" w:sz="4" w:space="0" w:color="auto"/>
            </w:tcBorders>
          </w:tcPr>
          <w:p w14:paraId="7A01BB85" w14:textId="77777777" w:rsidR="0087576B" w:rsidRPr="002A6328" w:rsidRDefault="0087576B" w:rsidP="00922AF2">
            <w:pPr>
              <w:pStyle w:val="BodyText12"/>
              <w:spacing w:after="0" w:line="240" w:lineRule="auto"/>
              <w:jc w:val="right"/>
              <w:rPr>
                <w:szCs w:val="24"/>
              </w:rPr>
            </w:pPr>
            <w:r w:rsidRPr="002A6328">
              <w:rPr>
                <w:szCs w:val="24"/>
              </w:rPr>
              <w:t>Enzalutamide</w:t>
            </w:r>
          </w:p>
        </w:tc>
        <w:tc>
          <w:tcPr>
            <w:tcW w:w="1616" w:type="dxa"/>
            <w:tcBorders>
              <w:top w:val="nil"/>
              <w:bottom w:val="single" w:sz="4" w:space="0" w:color="auto"/>
            </w:tcBorders>
          </w:tcPr>
          <w:p w14:paraId="2F83DA00" w14:textId="77777777" w:rsidR="0087576B" w:rsidRPr="002A6328" w:rsidRDefault="0087576B" w:rsidP="00922AF2">
            <w:pPr>
              <w:pStyle w:val="BodyText12"/>
              <w:spacing w:after="0" w:line="240" w:lineRule="auto"/>
              <w:jc w:val="right"/>
              <w:rPr>
                <w:szCs w:val="24"/>
              </w:rPr>
            </w:pPr>
            <w:r w:rsidRPr="002A6328">
              <w:rPr>
                <w:szCs w:val="24"/>
              </w:rPr>
              <w:t xml:space="preserve">Abiraterone + </w:t>
            </w:r>
            <w:proofErr w:type="spellStart"/>
            <w:r w:rsidRPr="002A6328">
              <w:rPr>
                <w:szCs w:val="24"/>
              </w:rPr>
              <w:t>predniso</w:t>
            </w:r>
            <w:proofErr w:type="spellEnd"/>
            <w:r w:rsidRPr="002A6328">
              <w:rPr>
                <w:szCs w:val="24"/>
              </w:rPr>
              <w:t>(lo)ne</w:t>
            </w:r>
          </w:p>
        </w:tc>
        <w:tc>
          <w:tcPr>
            <w:tcW w:w="1555" w:type="dxa"/>
            <w:tcBorders>
              <w:top w:val="nil"/>
              <w:bottom w:val="single" w:sz="4" w:space="0" w:color="auto"/>
            </w:tcBorders>
          </w:tcPr>
          <w:p w14:paraId="704EEF10" w14:textId="77777777" w:rsidR="0087576B" w:rsidRPr="002A6328" w:rsidRDefault="0087576B" w:rsidP="00922AF2">
            <w:pPr>
              <w:pStyle w:val="BodyText12"/>
              <w:spacing w:after="0" w:line="240" w:lineRule="auto"/>
              <w:jc w:val="right"/>
              <w:rPr>
                <w:szCs w:val="24"/>
              </w:rPr>
            </w:pPr>
            <w:r w:rsidRPr="002A6328">
              <w:rPr>
                <w:szCs w:val="24"/>
              </w:rPr>
              <w:t>Enzalutamide</w:t>
            </w:r>
          </w:p>
        </w:tc>
      </w:tr>
      <w:tr w:rsidR="0087576B" w:rsidRPr="002A6328" w14:paraId="4F7542DD" w14:textId="77777777" w:rsidTr="004B6CD1">
        <w:tc>
          <w:tcPr>
            <w:tcW w:w="2425" w:type="dxa"/>
            <w:tcBorders>
              <w:top w:val="single" w:sz="4" w:space="0" w:color="auto"/>
            </w:tcBorders>
          </w:tcPr>
          <w:p w14:paraId="7E6CBDD0" w14:textId="77777777" w:rsidR="0087576B" w:rsidRPr="002A6328" w:rsidRDefault="0087576B" w:rsidP="004B6CD1">
            <w:pPr>
              <w:pStyle w:val="BodyText12"/>
              <w:spacing w:after="0" w:line="240" w:lineRule="auto"/>
              <w:rPr>
                <w:szCs w:val="24"/>
              </w:rPr>
            </w:pPr>
            <w:r w:rsidRPr="002A6328">
              <w:rPr>
                <w:szCs w:val="24"/>
              </w:rPr>
              <w:t>As-treated analyses</w:t>
            </w:r>
          </w:p>
        </w:tc>
        <w:tc>
          <w:tcPr>
            <w:tcW w:w="1616" w:type="dxa"/>
            <w:tcBorders>
              <w:top w:val="single" w:sz="4" w:space="0" w:color="auto"/>
            </w:tcBorders>
          </w:tcPr>
          <w:p w14:paraId="2CBAE0AE" w14:textId="77777777" w:rsidR="0087576B" w:rsidRPr="002A6328" w:rsidRDefault="0087576B" w:rsidP="00922AF2">
            <w:pPr>
              <w:pStyle w:val="BodyText12"/>
              <w:spacing w:after="0" w:line="240" w:lineRule="auto"/>
              <w:jc w:val="right"/>
              <w:rPr>
                <w:szCs w:val="24"/>
              </w:rPr>
            </w:pPr>
          </w:p>
        </w:tc>
        <w:tc>
          <w:tcPr>
            <w:tcW w:w="1536" w:type="dxa"/>
            <w:tcBorders>
              <w:top w:val="single" w:sz="4" w:space="0" w:color="auto"/>
            </w:tcBorders>
          </w:tcPr>
          <w:p w14:paraId="184A4077" w14:textId="77777777" w:rsidR="0087576B" w:rsidRPr="002A6328" w:rsidRDefault="0087576B" w:rsidP="00922AF2">
            <w:pPr>
              <w:pStyle w:val="BodyText12"/>
              <w:spacing w:after="0" w:line="240" w:lineRule="auto"/>
              <w:jc w:val="right"/>
              <w:rPr>
                <w:szCs w:val="24"/>
              </w:rPr>
            </w:pPr>
          </w:p>
        </w:tc>
        <w:tc>
          <w:tcPr>
            <w:tcW w:w="1616" w:type="dxa"/>
            <w:tcBorders>
              <w:top w:val="single" w:sz="4" w:space="0" w:color="auto"/>
            </w:tcBorders>
          </w:tcPr>
          <w:p w14:paraId="7397D31E" w14:textId="77777777" w:rsidR="0087576B" w:rsidRPr="002A6328" w:rsidRDefault="0087576B" w:rsidP="00922AF2">
            <w:pPr>
              <w:pStyle w:val="BodyText12"/>
              <w:spacing w:after="0" w:line="240" w:lineRule="auto"/>
              <w:jc w:val="right"/>
              <w:rPr>
                <w:szCs w:val="24"/>
              </w:rPr>
            </w:pPr>
          </w:p>
        </w:tc>
        <w:tc>
          <w:tcPr>
            <w:tcW w:w="1555" w:type="dxa"/>
            <w:tcBorders>
              <w:top w:val="single" w:sz="4" w:space="0" w:color="auto"/>
            </w:tcBorders>
          </w:tcPr>
          <w:p w14:paraId="228B2774" w14:textId="77777777" w:rsidR="0087576B" w:rsidRPr="002A6328" w:rsidRDefault="0087576B" w:rsidP="00922AF2">
            <w:pPr>
              <w:pStyle w:val="BodyText12"/>
              <w:spacing w:after="0" w:line="240" w:lineRule="auto"/>
              <w:jc w:val="right"/>
              <w:rPr>
                <w:szCs w:val="24"/>
              </w:rPr>
            </w:pPr>
          </w:p>
        </w:tc>
      </w:tr>
      <w:tr w:rsidR="0087576B" w:rsidRPr="002A6328" w14:paraId="1CBD58A2" w14:textId="77777777" w:rsidTr="004B6CD1">
        <w:trPr>
          <w:trHeight w:val="58"/>
        </w:trPr>
        <w:tc>
          <w:tcPr>
            <w:tcW w:w="2425" w:type="dxa"/>
          </w:tcPr>
          <w:p w14:paraId="6092FB30" w14:textId="77777777" w:rsidR="0087576B" w:rsidRPr="002A6328" w:rsidRDefault="0087576B" w:rsidP="0087576B">
            <w:pPr>
              <w:pStyle w:val="BodyText12"/>
              <w:spacing w:after="0" w:line="240" w:lineRule="auto"/>
              <w:rPr>
                <w:szCs w:val="24"/>
              </w:rPr>
            </w:pPr>
            <w:r w:rsidRPr="002A6328">
              <w:rPr>
                <w:szCs w:val="24"/>
              </w:rPr>
              <w:t xml:space="preserve">   Keep first</w:t>
            </w:r>
          </w:p>
        </w:tc>
        <w:tc>
          <w:tcPr>
            <w:tcW w:w="1616" w:type="dxa"/>
          </w:tcPr>
          <w:p w14:paraId="01BB57A7" w14:textId="61979AB5" w:rsidR="0087576B" w:rsidRPr="002A6328" w:rsidRDefault="0087576B" w:rsidP="00922AF2">
            <w:pPr>
              <w:pStyle w:val="BodyText12"/>
              <w:spacing w:after="0" w:line="240" w:lineRule="auto"/>
              <w:jc w:val="right"/>
              <w:rPr>
                <w:szCs w:val="24"/>
              </w:rPr>
            </w:pPr>
            <w:r w:rsidRPr="00922AF2">
              <w:rPr>
                <w:color w:val="333333"/>
                <w:szCs w:val="24"/>
              </w:rPr>
              <w:t>1,619</w:t>
            </w:r>
          </w:p>
        </w:tc>
        <w:tc>
          <w:tcPr>
            <w:tcW w:w="1536" w:type="dxa"/>
          </w:tcPr>
          <w:p w14:paraId="0B1E54C6" w14:textId="1016F137" w:rsidR="0087576B" w:rsidRPr="002A6328" w:rsidRDefault="0087576B" w:rsidP="00922AF2">
            <w:pPr>
              <w:pStyle w:val="BodyText12"/>
              <w:spacing w:after="0" w:line="240" w:lineRule="auto"/>
              <w:jc w:val="right"/>
              <w:rPr>
                <w:szCs w:val="24"/>
              </w:rPr>
            </w:pPr>
            <w:r w:rsidRPr="00922AF2">
              <w:rPr>
                <w:color w:val="333333"/>
                <w:szCs w:val="24"/>
              </w:rPr>
              <w:t>1,849</w:t>
            </w:r>
          </w:p>
        </w:tc>
        <w:tc>
          <w:tcPr>
            <w:tcW w:w="1616" w:type="dxa"/>
          </w:tcPr>
          <w:p w14:paraId="25A6DEC4" w14:textId="5E61B79A" w:rsidR="0087576B" w:rsidRPr="002A6328" w:rsidRDefault="0087576B" w:rsidP="00922AF2">
            <w:pPr>
              <w:pStyle w:val="BodyText12"/>
              <w:spacing w:after="0" w:line="240" w:lineRule="auto"/>
              <w:jc w:val="right"/>
              <w:rPr>
                <w:szCs w:val="24"/>
              </w:rPr>
            </w:pPr>
            <w:r w:rsidRPr="00922AF2">
              <w:rPr>
                <w:color w:val="333333"/>
                <w:szCs w:val="24"/>
              </w:rPr>
              <w:t>1,002</w:t>
            </w:r>
          </w:p>
        </w:tc>
        <w:tc>
          <w:tcPr>
            <w:tcW w:w="1555" w:type="dxa"/>
          </w:tcPr>
          <w:p w14:paraId="0DBCBD78" w14:textId="65CD6CFA" w:rsidR="0087576B" w:rsidRPr="002A6328" w:rsidRDefault="0087576B" w:rsidP="00922AF2">
            <w:pPr>
              <w:pStyle w:val="BodyText12"/>
              <w:spacing w:after="0" w:line="240" w:lineRule="auto"/>
              <w:jc w:val="right"/>
              <w:rPr>
                <w:szCs w:val="24"/>
              </w:rPr>
            </w:pPr>
            <w:r w:rsidRPr="00922AF2">
              <w:rPr>
                <w:color w:val="333333"/>
                <w:szCs w:val="24"/>
              </w:rPr>
              <w:t>1,343</w:t>
            </w:r>
          </w:p>
        </w:tc>
      </w:tr>
      <w:tr w:rsidR="0087576B" w:rsidRPr="002A6328" w14:paraId="3D78181C" w14:textId="77777777" w:rsidTr="004B6CD1">
        <w:tc>
          <w:tcPr>
            <w:tcW w:w="2425" w:type="dxa"/>
          </w:tcPr>
          <w:p w14:paraId="26FE0B3E" w14:textId="3B64DA11" w:rsidR="0087576B" w:rsidRPr="002A6328" w:rsidRDefault="0087576B" w:rsidP="0087576B">
            <w:pPr>
              <w:pStyle w:val="BodyText12"/>
              <w:spacing w:after="0" w:line="240" w:lineRule="auto"/>
              <w:rPr>
                <w:szCs w:val="24"/>
              </w:rPr>
            </w:pPr>
            <w:r w:rsidRPr="002A6328">
              <w:rPr>
                <w:szCs w:val="24"/>
              </w:rPr>
              <w:t xml:space="preserve">   Remove all</w:t>
            </w:r>
          </w:p>
        </w:tc>
        <w:tc>
          <w:tcPr>
            <w:tcW w:w="1616" w:type="dxa"/>
          </w:tcPr>
          <w:p w14:paraId="7B02172F" w14:textId="5FFDE245" w:rsidR="0087576B" w:rsidRPr="002A6328" w:rsidRDefault="0087576B" w:rsidP="00922AF2">
            <w:pPr>
              <w:pStyle w:val="BodyText12"/>
              <w:spacing w:after="0" w:line="240" w:lineRule="auto"/>
              <w:jc w:val="right"/>
              <w:rPr>
                <w:szCs w:val="24"/>
              </w:rPr>
            </w:pPr>
            <w:r w:rsidRPr="00922AF2">
              <w:rPr>
                <w:color w:val="333333"/>
                <w:szCs w:val="24"/>
              </w:rPr>
              <w:t>1,242</w:t>
            </w:r>
          </w:p>
        </w:tc>
        <w:tc>
          <w:tcPr>
            <w:tcW w:w="1536" w:type="dxa"/>
          </w:tcPr>
          <w:p w14:paraId="1A405D7A" w14:textId="29DE5998" w:rsidR="0087576B" w:rsidRPr="002A6328" w:rsidRDefault="0087576B" w:rsidP="00922AF2">
            <w:pPr>
              <w:pStyle w:val="BodyText12"/>
              <w:spacing w:after="0" w:line="240" w:lineRule="auto"/>
              <w:jc w:val="right"/>
              <w:rPr>
                <w:szCs w:val="24"/>
              </w:rPr>
            </w:pPr>
            <w:r w:rsidRPr="00922AF2">
              <w:rPr>
                <w:color w:val="333333"/>
                <w:szCs w:val="24"/>
              </w:rPr>
              <w:t>1,482</w:t>
            </w:r>
          </w:p>
        </w:tc>
        <w:tc>
          <w:tcPr>
            <w:tcW w:w="1616" w:type="dxa"/>
          </w:tcPr>
          <w:p w14:paraId="324EC2B3" w14:textId="475CFBBF" w:rsidR="0087576B" w:rsidRPr="002A6328" w:rsidRDefault="0087576B" w:rsidP="00922AF2">
            <w:pPr>
              <w:pStyle w:val="BodyText12"/>
              <w:spacing w:after="0" w:line="240" w:lineRule="auto"/>
              <w:jc w:val="right"/>
              <w:rPr>
                <w:szCs w:val="24"/>
              </w:rPr>
            </w:pPr>
            <w:r w:rsidRPr="00922AF2">
              <w:rPr>
                <w:color w:val="333333"/>
                <w:szCs w:val="24"/>
              </w:rPr>
              <w:t>734</w:t>
            </w:r>
          </w:p>
        </w:tc>
        <w:tc>
          <w:tcPr>
            <w:tcW w:w="1555" w:type="dxa"/>
          </w:tcPr>
          <w:p w14:paraId="12901B68" w14:textId="55329C16" w:rsidR="0087576B" w:rsidRPr="002A6328" w:rsidRDefault="0087576B" w:rsidP="00922AF2">
            <w:pPr>
              <w:pStyle w:val="BodyText12"/>
              <w:spacing w:after="0" w:line="240" w:lineRule="auto"/>
              <w:jc w:val="right"/>
              <w:rPr>
                <w:szCs w:val="24"/>
              </w:rPr>
            </w:pPr>
            <w:r w:rsidRPr="00922AF2">
              <w:rPr>
                <w:color w:val="333333"/>
                <w:szCs w:val="24"/>
              </w:rPr>
              <w:t>1,110</w:t>
            </w:r>
          </w:p>
        </w:tc>
      </w:tr>
      <w:tr w:rsidR="0087576B" w:rsidRPr="002A6328" w14:paraId="7C666653" w14:textId="77777777" w:rsidTr="004B6CD1">
        <w:tc>
          <w:tcPr>
            <w:tcW w:w="2425" w:type="dxa"/>
          </w:tcPr>
          <w:p w14:paraId="4341ADE8" w14:textId="77777777" w:rsidR="0087576B" w:rsidRPr="002A6328" w:rsidRDefault="0087576B" w:rsidP="0087576B">
            <w:pPr>
              <w:pStyle w:val="BodyText12"/>
              <w:spacing w:after="0" w:line="240" w:lineRule="auto"/>
              <w:rPr>
                <w:szCs w:val="24"/>
              </w:rPr>
            </w:pPr>
            <w:r w:rsidRPr="002A6328">
              <w:rPr>
                <w:szCs w:val="24"/>
              </w:rPr>
              <w:t xml:space="preserve">   Keep all</w:t>
            </w:r>
          </w:p>
        </w:tc>
        <w:tc>
          <w:tcPr>
            <w:tcW w:w="1616" w:type="dxa"/>
          </w:tcPr>
          <w:p w14:paraId="49B97EEA" w14:textId="7E8D039F" w:rsidR="0087576B" w:rsidRPr="002A6328" w:rsidRDefault="0087576B" w:rsidP="00922AF2">
            <w:pPr>
              <w:pStyle w:val="BodyText12"/>
              <w:spacing w:after="0" w:line="240" w:lineRule="auto"/>
              <w:jc w:val="right"/>
              <w:rPr>
                <w:szCs w:val="24"/>
              </w:rPr>
            </w:pPr>
            <w:r w:rsidRPr="00922AF2">
              <w:rPr>
                <w:color w:val="333333"/>
                <w:szCs w:val="24"/>
              </w:rPr>
              <w:t>2,179</w:t>
            </w:r>
          </w:p>
        </w:tc>
        <w:tc>
          <w:tcPr>
            <w:tcW w:w="1536" w:type="dxa"/>
          </w:tcPr>
          <w:p w14:paraId="6C46A47B" w14:textId="02D0D8E9" w:rsidR="0087576B" w:rsidRPr="002A6328" w:rsidRDefault="0087576B" w:rsidP="00922AF2">
            <w:pPr>
              <w:pStyle w:val="BodyText12"/>
              <w:spacing w:after="0" w:line="240" w:lineRule="auto"/>
              <w:jc w:val="right"/>
              <w:rPr>
                <w:szCs w:val="24"/>
              </w:rPr>
            </w:pPr>
            <w:r w:rsidRPr="00922AF2">
              <w:rPr>
                <w:color w:val="333333"/>
                <w:szCs w:val="24"/>
              </w:rPr>
              <w:t>2,668</w:t>
            </w:r>
          </w:p>
        </w:tc>
        <w:tc>
          <w:tcPr>
            <w:tcW w:w="1616" w:type="dxa"/>
          </w:tcPr>
          <w:p w14:paraId="6D20FBD7" w14:textId="4B880801" w:rsidR="0087576B" w:rsidRPr="002A6328" w:rsidRDefault="0087576B" w:rsidP="00922AF2">
            <w:pPr>
              <w:pStyle w:val="BodyText12"/>
              <w:spacing w:after="0" w:line="240" w:lineRule="auto"/>
              <w:jc w:val="right"/>
              <w:rPr>
                <w:szCs w:val="24"/>
              </w:rPr>
            </w:pPr>
            <w:r w:rsidRPr="00922AF2">
              <w:rPr>
                <w:color w:val="333333"/>
                <w:szCs w:val="24"/>
              </w:rPr>
              <w:t>1,389</w:t>
            </w:r>
          </w:p>
        </w:tc>
        <w:tc>
          <w:tcPr>
            <w:tcW w:w="1555" w:type="dxa"/>
          </w:tcPr>
          <w:p w14:paraId="256A5C5F" w14:textId="3CA7F2FE" w:rsidR="0087576B" w:rsidRPr="002A6328" w:rsidRDefault="0087576B" w:rsidP="00922AF2">
            <w:pPr>
              <w:pStyle w:val="BodyText12"/>
              <w:spacing w:after="0" w:line="240" w:lineRule="auto"/>
              <w:jc w:val="right"/>
              <w:rPr>
                <w:szCs w:val="24"/>
              </w:rPr>
            </w:pPr>
            <w:r w:rsidRPr="00922AF2">
              <w:rPr>
                <w:color w:val="333333"/>
                <w:szCs w:val="24"/>
              </w:rPr>
              <w:t>1,974</w:t>
            </w:r>
          </w:p>
        </w:tc>
      </w:tr>
      <w:tr w:rsidR="0087576B" w:rsidRPr="002A6328" w14:paraId="3F7C7979" w14:textId="77777777" w:rsidTr="004B6CD1">
        <w:tc>
          <w:tcPr>
            <w:tcW w:w="2425" w:type="dxa"/>
          </w:tcPr>
          <w:p w14:paraId="7F7078BB" w14:textId="77777777" w:rsidR="0087576B" w:rsidRPr="002A6328" w:rsidRDefault="0087576B" w:rsidP="004B6CD1">
            <w:pPr>
              <w:pStyle w:val="BodyText12"/>
              <w:spacing w:after="0" w:line="240" w:lineRule="auto"/>
              <w:rPr>
                <w:szCs w:val="24"/>
              </w:rPr>
            </w:pPr>
            <w:r w:rsidRPr="002A6328">
              <w:rPr>
                <w:szCs w:val="24"/>
              </w:rPr>
              <w:t>Intent-to-treat analyses</w:t>
            </w:r>
          </w:p>
        </w:tc>
        <w:tc>
          <w:tcPr>
            <w:tcW w:w="1616" w:type="dxa"/>
          </w:tcPr>
          <w:p w14:paraId="18D4A46F" w14:textId="77777777" w:rsidR="0087576B" w:rsidRPr="002A6328" w:rsidRDefault="0087576B" w:rsidP="00922AF2">
            <w:pPr>
              <w:pStyle w:val="BodyText12"/>
              <w:spacing w:after="0" w:line="240" w:lineRule="auto"/>
              <w:jc w:val="right"/>
              <w:rPr>
                <w:szCs w:val="24"/>
              </w:rPr>
            </w:pPr>
          </w:p>
        </w:tc>
        <w:tc>
          <w:tcPr>
            <w:tcW w:w="1536" w:type="dxa"/>
          </w:tcPr>
          <w:p w14:paraId="30B4EB99" w14:textId="77777777" w:rsidR="0087576B" w:rsidRPr="002A6328" w:rsidRDefault="0087576B" w:rsidP="00922AF2">
            <w:pPr>
              <w:pStyle w:val="BodyText12"/>
              <w:spacing w:after="0" w:line="240" w:lineRule="auto"/>
              <w:jc w:val="right"/>
              <w:rPr>
                <w:szCs w:val="24"/>
              </w:rPr>
            </w:pPr>
          </w:p>
        </w:tc>
        <w:tc>
          <w:tcPr>
            <w:tcW w:w="1616" w:type="dxa"/>
          </w:tcPr>
          <w:p w14:paraId="27BF2C0B" w14:textId="77777777" w:rsidR="0087576B" w:rsidRPr="002A6328" w:rsidRDefault="0087576B" w:rsidP="00922AF2">
            <w:pPr>
              <w:pStyle w:val="BodyText12"/>
              <w:spacing w:after="0" w:line="240" w:lineRule="auto"/>
              <w:jc w:val="right"/>
              <w:rPr>
                <w:szCs w:val="24"/>
              </w:rPr>
            </w:pPr>
          </w:p>
        </w:tc>
        <w:tc>
          <w:tcPr>
            <w:tcW w:w="1555" w:type="dxa"/>
          </w:tcPr>
          <w:p w14:paraId="6C096534" w14:textId="77777777" w:rsidR="0087576B" w:rsidRPr="002A6328" w:rsidRDefault="0087576B" w:rsidP="00922AF2">
            <w:pPr>
              <w:pStyle w:val="BodyText12"/>
              <w:spacing w:after="0" w:line="240" w:lineRule="auto"/>
              <w:jc w:val="right"/>
              <w:rPr>
                <w:szCs w:val="24"/>
              </w:rPr>
            </w:pPr>
          </w:p>
        </w:tc>
      </w:tr>
      <w:tr w:rsidR="0087576B" w:rsidRPr="002A6328" w14:paraId="48706142" w14:textId="77777777" w:rsidTr="004B6CD1">
        <w:tc>
          <w:tcPr>
            <w:tcW w:w="2425" w:type="dxa"/>
          </w:tcPr>
          <w:p w14:paraId="254CDAEB" w14:textId="77777777" w:rsidR="0087576B" w:rsidRPr="002A6328" w:rsidRDefault="0087576B" w:rsidP="0087576B">
            <w:pPr>
              <w:pStyle w:val="BodyText12"/>
              <w:spacing w:after="0" w:line="240" w:lineRule="auto"/>
              <w:rPr>
                <w:szCs w:val="24"/>
              </w:rPr>
            </w:pPr>
            <w:r w:rsidRPr="002A6328">
              <w:rPr>
                <w:szCs w:val="24"/>
              </w:rPr>
              <w:t xml:space="preserve">   Keep first</w:t>
            </w:r>
          </w:p>
        </w:tc>
        <w:tc>
          <w:tcPr>
            <w:tcW w:w="1616" w:type="dxa"/>
          </w:tcPr>
          <w:p w14:paraId="1077398C" w14:textId="0AD31766" w:rsidR="0087576B" w:rsidRPr="002A6328" w:rsidRDefault="0087576B" w:rsidP="00922AF2">
            <w:pPr>
              <w:pStyle w:val="BodyText12"/>
              <w:spacing w:after="0" w:line="240" w:lineRule="auto"/>
              <w:jc w:val="right"/>
              <w:rPr>
                <w:szCs w:val="24"/>
              </w:rPr>
            </w:pPr>
            <w:r w:rsidRPr="00922AF2">
              <w:rPr>
                <w:color w:val="333333"/>
                <w:szCs w:val="24"/>
              </w:rPr>
              <w:t>1,813</w:t>
            </w:r>
          </w:p>
        </w:tc>
        <w:tc>
          <w:tcPr>
            <w:tcW w:w="1536" w:type="dxa"/>
          </w:tcPr>
          <w:p w14:paraId="48E770F9" w14:textId="5F354F70" w:rsidR="0087576B" w:rsidRPr="002A6328" w:rsidRDefault="0087576B" w:rsidP="00922AF2">
            <w:pPr>
              <w:pStyle w:val="BodyText12"/>
              <w:spacing w:after="0" w:line="240" w:lineRule="auto"/>
              <w:jc w:val="right"/>
              <w:rPr>
                <w:szCs w:val="24"/>
              </w:rPr>
            </w:pPr>
            <w:r w:rsidRPr="00922AF2">
              <w:rPr>
                <w:color w:val="333333"/>
                <w:szCs w:val="24"/>
              </w:rPr>
              <w:t>2,141</w:t>
            </w:r>
          </w:p>
        </w:tc>
        <w:tc>
          <w:tcPr>
            <w:tcW w:w="1616" w:type="dxa"/>
          </w:tcPr>
          <w:p w14:paraId="71E5D460" w14:textId="62C4CD8B" w:rsidR="0087576B" w:rsidRPr="002A6328" w:rsidRDefault="0087576B" w:rsidP="00922AF2">
            <w:pPr>
              <w:pStyle w:val="BodyText12"/>
              <w:spacing w:after="0" w:line="240" w:lineRule="auto"/>
              <w:jc w:val="right"/>
              <w:rPr>
                <w:szCs w:val="24"/>
              </w:rPr>
            </w:pPr>
            <w:r w:rsidRPr="00922AF2">
              <w:rPr>
                <w:color w:val="333333"/>
                <w:szCs w:val="24"/>
              </w:rPr>
              <w:t>1,117</w:t>
            </w:r>
          </w:p>
        </w:tc>
        <w:tc>
          <w:tcPr>
            <w:tcW w:w="1555" w:type="dxa"/>
          </w:tcPr>
          <w:p w14:paraId="19115180" w14:textId="330E43A9" w:rsidR="0087576B" w:rsidRPr="002A6328" w:rsidRDefault="0087576B" w:rsidP="00922AF2">
            <w:pPr>
              <w:pStyle w:val="BodyText12"/>
              <w:spacing w:after="0" w:line="240" w:lineRule="auto"/>
              <w:jc w:val="right"/>
              <w:rPr>
                <w:szCs w:val="24"/>
              </w:rPr>
            </w:pPr>
            <w:r w:rsidRPr="00922AF2">
              <w:rPr>
                <w:color w:val="333333"/>
                <w:szCs w:val="24"/>
              </w:rPr>
              <w:t>1,543</w:t>
            </w:r>
          </w:p>
        </w:tc>
      </w:tr>
      <w:tr w:rsidR="0087576B" w:rsidRPr="002A6328" w14:paraId="0EA1E439" w14:textId="77777777" w:rsidTr="004B6CD1">
        <w:tc>
          <w:tcPr>
            <w:tcW w:w="2425" w:type="dxa"/>
          </w:tcPr>
          <w:p w14:paraId="1A4FFEF0" w14:textId="77777777" w:rsidR="0087576B" w:rsidRPr="002A6328" w:rsidRDefault="0087576B" w:rsidP="0087576B">
            <w:pPr>
              <w:pStyle w:val="BodyText12"/>
              <w:spacing w:after="0" w:line="240" w:lineRule="auto"/>
              <w:rPr>
                <w:szCs w:val="24"/>
              </w:rPr>
            </w:pPr>
            <w:r w:rsidRPr="002A6328">
              <w:rPr>
                <w:szCs w:val="24"/>
              </w:rPr>
              <w:t xml:space="preserve">   Remove all</w:t>
            </w:r>
          </w:p>
        </w:tc>
        <w:tc>
          <w:tcPr>
            <w:tcW w:w="1616" w:type="dxa"/>
          </w:tcPr>
          <w:p w14:paraId="09F40E7D" w14:textId="31135A44" w:rsidR="0087576B" w:rsidRPr="002A6328" w:rsidRDefault="0087576B" w:rsidP="00922AF2">
            <w:pPr>
              <w:pStyle w:val="BodyText12"/>
              <w:spacing w:after="0" w:line="240" w:lineRule="auto"/>
              <w:jc w:val="right"/>
              <w:rPr>
                <w:szCs w:val="24"/>
              </w:rPr>
            </w:pPr>
            <w:r w:rsidRPr="00922AF2">
              <w:rPr>
                <w:color w:val="333333"/>
                <w:szCs w:val="24"/>
              </w:rPr>
              <w:t>1,413</w:t>
            </w:r>
          </w:p>
        </w:tc>
        <w:tc>
          <w:tcPr>
            <w:tcW w:w="1536" w:type="dxa"/>
          </w:tcPr>
          <w:p w14:paraId="72DC87F5" w14:textId="4E7AA53D" w:rsidR="0087576B" w:rsidRPr="002A6328" w:rsidRDefault="0087576B" w:rsidP="00922AF2">
            <w:pPr>
              <w:pStyle w:val="BodyText12"/>
              <w:spacing w:after="0" w:line="240" w:lineRule="auto"/>
              <w:jc w:val="right"/>
              <w:rPr>
                <w:szCs w:val="24"/>
              </w:rPr>
            </w:pPr>
            <w:r w:rsidRPr="00922AF2">
              <w:rPr>
                <w:color w:val="333333"/>
                <w:szCs w:val="24"/>
              </w:rPr>
              <w:t>1,731</w:t>
            </w:r>
          </w:p>
        </w:tc>
        <w:tc>
          <w:tcPr>
            <w:tcW w:w="1616" w:type="dxa"/>
          </w:tcPr>
          <w:p w14:paraId="1158A4D6" w14:textId="476426B9" w:rsidR="0087576B" w:rsidRPr="002A6328" w:rsidRDefault="0087576B" w:rsidP="00922AF2">
            <w:pPr>
              <w:pStyle w:val="BodyText12"/>
              <w:spacing w:after="0" w:line="240" w:lineRule="auto"/>
              <w:jc w:val="right"/>
              <w:rPr>
                <w:szCs w:val="24"/>
              </w:rPr>
            </w:pPr>
            <w:r w:rsidRPr="00922AF2">
              <w:rPr>
                <w:color w:val="333333"/>
                <w:szCs w:val="24"/>
              </w:rPr>
              <w:t>864</w:t>
            </w:r>
          </w:p>
        </w:tc>
        <w:tc>
          <w:tcPr>
            <w:tcW w:w="1555" w:type="dxa"/>
          </w:tcPr>
          <w:p w14:paraId="10B86FB3" w14:textId="682E72E0" w:rsidR="0087576B" w:rsidRPr="002A6328" w:rsidRDefault="0087576B" w:rsidP="00922AF2">
            <w:pPr>
              <w:pStyle w:val="BodyText12"/>
              <w:spacing w:after="0" w:line="240" w:lineRule="auto"/>
              <w:jc w:val="right"/>
              <w:rPr>
                <w:szCs w:val="24"/>
              </w:rPr>
            </w:pPr>
            <w:r w:rsidRPr="00922AF2">
              <w:rPr>
                <w:color w:val="333333"/>
                <w:szCs w:val="24"/>
              </w:rPr>
              <w:t>1,299</w:t>
            </w:r>
          </w:p>
        </w:tc>
      </w:tr>
    </w:tbl>
    <w:p w14:paraId="7F1E0C3A" w14:textId="77777777" w:rsidR="007F34D9" w:rsidRPr="007F34D9" w:rsidRDefault="007F34D9" w:rsidP="005D2306">
      <w:pPr>
        <w:pStyle w:val="BodyText12"/>
        <w:rPr>
          <w:szCs w:val="24"/>
        </w:rPr>
      </w:pPr>
    </w:p>
    <w:p w14:paraId="59057597" w14:textId="3082E8B1" w:rsidR="00B7761D" w:rsidRPr="00B87A8B" w:rsidRDefault="00EC426E" w:rsidP="00922AF2">
      <w:pPr>
        <w:pStyle w:val="Heading1"/>
        <w:rPr>
          <w:rFonts w:ascii="Times New Roman" w:hAnsi="Times New Roman"/>
          <w:sz w:val="28"/>
          <w:szCs w:val="28"/>
        </w:rPr>
      </w:pPr>
      <w:bookmarkStart w:id="25" w:name="_Toc35611430"/>
      <w:r w:rsidRPr="00B87A8B">
        <w:rPr>
          <w:rFonts w:ascii="Times New Roman" w:hAnsi="Times New Roman"/>
          <w:caps w:val="0"/>
          <w:sz w:val="28"/>
          <w:szCs w:val="28"/>
        </w:rPr>
        <w:t>DATA ANALYSIS PLAN</w:t>
      </w:r>
      <w:bookmarkStart w:id="26" w:name="_Toc31186738"/>
      <w:bookmarkStart w:id="27" w:name="_Toc31186864"/>
      <w:bookmarkStart w:id="28" w:name="_Toc31186988"/>
      <w:bookmarkStart w:id="29" w:name="_Toc31189763"/>
      <w:bookmarkStart w:id="30" w:name="_Toc31189892"/>
      <w:bookmarkStart w:id="31" w:name="_Toc31190020"/>
      <w:bookmarkStart w:id="32" w:name="_Toc31190148"/>
      <w:bookmarkStart w:id="33" w:name="_Toc31231176"/>
      <w:bookmarkStart w:id="34" w:name="_Toc31186739"/>
      <w:bookmarkStart w:id="35" w:name="_Toc31186865"/>
      <w:bookmarkStart w:id="36" w:name="_Toc31186989"/>
      <w:bookmarkStart w:id="37" w:name="_Toc31189764"/>
      <w:bookmarkStart w:id="38" w:name="_Toc31189893"/>
      <w:bookmarkStart w:id="39" w:name="_Toc31190021"/>
      <w:bookmarkStart w:id="40" w:name="_Toc31190149"/>
      <w:bookmarkStart w:id="41" w:name="_Toc3123117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64B8CC7B" w14:textId="72DB0F2D" w:rsidR="002C4285" w:rsidRPr="00B87A8B" w:rsidRDefault="00AA6537" w:rsidP="00922AF2">
      <w:pPr>
        <w:pStyle w:val="Heading2"/>
        <w:rPr>
          <w:rFonts w:ascii="Times New Roman" w:hAnsi="Times New Roman"/>
        </w:rPr>
      </w:pPr>
      <w:bookmarkStart w:id="42" w:name="_Toc35611431"/>
      <w:r w:rsidRPr="00B87A8B">
        <w:rPr>
          <w:rFonts w:ascii="Times New Roman" w:hAnsi="Times New Roman"/>
        </w:rPr>
        <w:t>Patient Characteristics Summary</w:t>
      </w:r>
      <w:bookmarkEnd w:id="42"/>
    </w:p>
    <w:p w14:paraId="63837428" w14:textId="792656FF" w:rsidR="00A64647" w:rsidRPr="00FE52E3" w:rsidRDefault="00A64647" w:rsidP="00922AF2">
      <w:pPr>
        <w:spacing w:after="240" w:line="264" w:lineRule="auto"/>
        <w:rPr>
          <w:szCs w:val="24"/>
        </w:rPr>
      </w:pPr>
      <w:r w:rsidRPr="007F34D9">
        <w:rPr>
          <w:b/>
          <w:i/>
          <w:szCs w:val="24"/>
        </w:rPr>
        <w:t>Descriptive characterization</w:t>
      </w:r>
      <w:r w:rsidR="0088464C" w:rsidRPr="007F34D9">
        <w:rPr>
          <w:b/>
          <w:i/>
          <w:szCs w:val="24"/>
        </w:rPr>
        <w:t>s</w:t>
      </w:r>
    </w:p>
    <w:p w14:paraId="3EC48CFB" w14:textId="56B5F88A" w:rsidR="00ED0E04" w:rsidRPr="00FE52E3" w:rsidRDefault="002C4285" w:rsidP="00922AF2">
      <w:pPr>
        <w:spacing w:after="240" w:line="264" w:lineRule="auto"/>
        <w:jc w:val="both"/>
        <w:rPr>
          <w:szCs w:val="24"/>
        </w:rPr>
      </w:pPr>
      <w:r w:rsidRPr="00FE52E3">
        <w:rPr>
          <w:szCs w:val="24"/>
        </w:rPr>
        <w:t>The demographics of patients within each</w:t>
      </w:r>
      <w:r w:rsidR="00EE5F92" w:rsidRPr="00FE52E3">
        <w:rPr>
          <w:szCs w:val="24"/>
        </w:rPr>
        <w:t xml:space="preserve"> treatment </w:t>
      </w:r>
      <w:r w:rsidRPr="00FE52E3">
        <w:rPr>
          <w:szCs w:val="24"/>
        </w:rPr>
        <w:t>cohort</w:t>
      </w:r>
      <w:r w:rsidR="002210C6">
        <w:rPr>
          <w:szCs w:val="24"/>
        </w:rPr>
        <w:t xml:space="preserve"> </w:t>
      </w:r>
      <w:r w:rsidR="002210C6" w:rsidRPr="00FE52E3">
        <w:rPr>
          <w:szCs w:val="24"/>
        </w:rPr>
        <w:t>(</w:t>
      </w:r>
      <w:r w:rsidR="002210C6">
        <w:rPr>
          <w:szCs w:val="24"/>
        </w:rPr>
        <w:t>including stratified cohorts)</w:t>
      </w:r>
      <w:r w:rsidRPr="00FE52E3">
        <w:rPr>
          <w:szCs w:val="24"/>
        </w:rPr>
        <w:t xml:space="preserve"> will be described </w:t>
      </w:r>
      <w:r w:rsidR="00E01765">
        <w:rPr>
          <w:szCs w:val="24"/>
        </w:rPr>
        <w:t>as well as other</w:t>
      </w:r>
      <w:r w:rsidRPr="00FE52E3">
        <w:rPr>
          <w:szCs w:val="24"/>
        </w:rPr>
        <w:t xml:space="preserve"> conditions, drugs, and procedure</w:t>
      </w:r>
      <w:r w:rsidR="00E01765">
        <w:rPr>
          <w:szCs w:val="24"/>
        </w:rPr>
        <w:t>s</w:t>
      </w:r>
      <w:r w:rsidRPr="00FE52E3">
        <w:rPr>
          <w:szCs w:val="24"/>
        </w:rPr>
        <w:t xml:space="preserve"> used in t</w:t>
      </w:r>
      <w:r w:rsidR="00FE52E3" w:rsidRPr="00FE52E3">
        <w:rPr>
          <w:szCs w:val="24"/>
        </w:rPr>
        <w:t>he 30 days, 180 days, 360 days, and all time preceding the index date.</w:t>
      </w:r>
      <w:r w:rsidR="00E01765">
        <w:rPr>
          <w:szCs w:val="24"/>
        </w:rPr>
        <w:t xml:space="preserve"> The full set of characteristics that will be reported can be found in the population characteristics tab of the Shiny app (link available in Annex section - Document 5).</w:t>
      </w:r>
      <w:r w:rsidR="00FE52E3" w:rsidRPr="00FE52E3">
        <w:rPr>
          <w:szCs w:val="24"/>
        </w:rPr>
        <w:t xml:space="preserve"> </w:t>
      </w:r>
      <w:r w:rsidR="00ED0E04" w:rsidRPr="00FE52E3">
        <w:rPr>
          <w:szCs w:val="24"/>
        </w:rPr>
        <w:t>Continuous variables will be presented as mean (SD) and median (IQR), while categorical data will be presented as n (%).</w:t>
      </w:r>
    </w:p>
    <w:p w14:paraId="14DFE922" w14:textId="12B8E807" w:rsidR="00A64647" w:rsidRPr="00FE52E3" w:rsidRDefault="00A64647" w:rsidP="00922AF2">
      <w:pPr>
        <w:spacing w:after="240" w:line="264" w:lineRule="auto"/>
        <w:jc w:val="both"/>
        <w:rPr>
          <w:b/>
          <w:i/>
          <w:szCs w:val="24"/>
        </w:rPr>
      </w:pPr>
      <w:r w:rsidRPr="00FE52E3">
        <w:rPr>
          <w:b/>
          <w:i/>
          <w:szCs w:val="24"/>
        </w:rPr>
        <w:t>Incidence rates</w:t>
      </w:r>
    </w:p>
    <w:p w14:paraId="6B6109A9" w14:textId="7F485488" w:rsidR="00787D82" w:rsidRPr="00BE7797" w:rsidRDefault="00EE5F92" w:rsidP="00922AF2">
      <w:pPr>
        <w:spacing w:after="240" w:line="264" w:lineRule="auto"/>
        <w:jc w:val="both"/>
        <w:rPr>
          <w:szCs w:val="24"/>
        </w:rPr>
      </w:pPr>
      <w:r w:rsidRPr="00FE52E3">
        <w:rPr>
          <w:szCs w:val="24"/>
        </w:rPr>
        <w:t>For calculation of incidence rates, t</w:t>
      </w:r>
      <w:r w:rsidR="00D02B34" w:rsidRPr="00FE52E3">
        <w:rPr>
          <w:szCs w:val="24"/>
        </w:rPr>
        <w:t xml:space="preserve">he number of persons with each event, the incidence proportion, and </w:t>
      </w:r>
      <w:r w:rsidR="00D02B34" w:rsidRPr="00BE7797">
        <w:rPr>
          <w:szCs w:val="24"/>
        </w:rPr>
        <w:t>the incidence rate adjusted for person-time according to each at-risk time window</w:t>
      </w:r>
      <w:r w:rsidR="00F01CA9" w:rsidRPr="00BE7797">
        <w:rPr>
          <w:szCs w:val="24"/>
        </w:rPr>
        <w:t xml:space="preserve"> for each study population and each of the outcomes of interest wi</w:t>
      </w:r>
      <w:r w:rsidR="002C4285" w:rsidRPr="00BE7797">
        <w:rPr>
          <w:szCs w:val="24"/>
        </w:rPr>
        <w:t>ll be reported</w:t>
      </w:r>
      <w:r w:rsidR="00F01CA9" w:rsidRPr="00BE7797">
        <w:rPr>
          <w:szCs w:val="24"/>
        </w:rPr>
        <w:t>:</w:t>
      </w:r>
    </w:p>
    <w:p w14:paraId="5274B87F" w14:textId="39EDB6F4" w:rsidR="00BE7797" w:rsidRPr="00922AF2" w:rsidRDefault="00BE7797" w:rsidP="00F32CA7">
      <w:pPr>
        <w:pStyle w:val="ListParagraph"/>
        <w:numPr>
          <w:ilvl w:val="0"/>
          <w:numId w:val="26"/>
        </w:numPr>
        <w:spacing w:after="240" w:line="264" w:lineRule="auto"/>
        <w:jc w:val="both"/>
        <w:rPr>
          <w:rFonts w:ascii="Times New Roman" w:hAnsi="Times New Roman" w:cs="Times New Roman"/>
          <w:sz w:val="24"/>
          <w:szCs w:val="24"/>
        </w:rPr>
      </w:pPr>
      <w:r w:rsidRPr="00922AF2">
        <w:rPr>
          <w:rFonts w:ascii="Times New Roman" w:hAnsi="Times New Roman" w:cs="Times New Roman"/>
          <w:sz w:val="24"/>
          <w:szCs w:val="24"/>
        </w:rPr>
        <w:t>Cardiovascular morbidity and mortality</w:t>
      </w:r>
    </w:p>
    <w:p w14:paraId="235F5A66" w14:textId="77777777" w:rsidR="00BE7797" w:rsidRPr="00922AF2" w:rsidRDefault="00BE7797" w:rsidP="00F32CA7">
      <w:pPr>
        <w:pStyle w:val="ListParagraph"/>
        <w:numPr>
          <w:ilvl w:val="1"/>
          <w:numId w:val="26"/>
        </w:numPr>
        <w:spacing w:after="240" w:line="264" w:lineRule="auto"/>
        <w:jc w:val="both"/>
        <w:rPr>
          <w:rFonts w:ascii="Times New Roman" w:hAnsi="Times New Roman" w:cs="Times New Roman"/>
          <w:sz w:val="24"/>
          <w:szCs w:val="24"/>
        </w:rPr>
      </w:pPr>
      <w:r w:rsidRPr="00922AF2">
        <w:rPr>
          <w:rFonts w:ascii="Times New Roman" w:hAnsi="Times New Roman" w:cs="Times New Roman"/>
          <w:sz w:val="24"/>
          <w:szCs w:val="24"/>
        </w:rPr>
        <w:t>Stratified by treatment cohorts</w:t>
      </w:r>
    </w:p>
    <w:p w14:paraId="78FF0B33" w14:textId="76065FC4" w:rsidR="00BE7797" w:rsidRPr="00922AF2" w:rsidRDefault="00BE7797" w:rsidP="00F32CA7">
      <w:pPr>
        <w:pStyle w:val="ListParagraph"/>
        <w:numPr>
          <w:ilvl w:val="1"/>
          <w:numId w:val="26"/>
        </w:numPr>
        <w:spacing w:after="240" w:line="264" w:lineRule="auto"/>
        <w:jc w:val="both"/>
        <w:rPr>
          <w:rFonts w:ascii="Times New Roman" w:hAnsi="Times New Roman" w:cs="Times New Roman"/>
          <w:sz w:val="24"/>
          <w:szCs w:val="24"/>
        </w:rPr>
      </w:pPr>
      <w:r w:rsidRPr="2A2DD85B">
        <w:rPr>
          <w:rFonts w:ascii="Times New Roman" w:hAnsi="Times New Roman" w:cs="Times New Roman"/>
          <w:sz w:val="24"/>
          <w:szCs w:val="24"/>
        </w:rPr>
        <w:t>Stratified by baseline history of CVD present or absent</w:t>
      </w:r>
      <w:r w:rsidR="3161D17A" w:rsidRPr="2A2DD85B">
        <w:rPr>
          <w:rFonts w:ascii="Times New Roman" w:hAnsi="Times New Roman" w:cs="Times New Roman"/>
          <w:sz w:val="24"/>
          <w:szCs w:val="24"/>
        </w:rPr>
        <w:t xml:space="preserve"> if sample size allows</w:t>
      </w:r>
    </w:p>
    <w:p w14:paraId="11087D4C" w14:textId="7C6C02C4" w:rsidR="00DE17C2" w:rsidRPr="00922AF2" w:rsidRDefault="00BE7797" w:rsidP="00F32CA7">
      <w:pPr>
        <w:pStyle w:val="ListParagraph"/>
        <w:numPr>
          <w:ilvl w:val="2"/>
          <w:numId w:val="26"/>
        </w:numPr>
        <w:spacing w:after="240" w:line="264" w:lineRule="auto"/>
        <w:contextualSpacing w:val="0"/>
        <w:jc w:val="both"/>
        <w:rPr>
          <w:rFonts w:ascii="Times New Roman" w:hAnsi="Times New Roman" w:cs="Times New Roman"/>
          <w:sz w:val="24"/>
          <w:szCs w:val="24"/>
        </w:rPr>
      </w:pPr>
      <w:r w:rsidRPr="00922AF2">
        <w:rPr>
          <w:rFonts w:ascii="Times New Roman" w:hAnsi="Times New Roman" w:cs="Times New Roman"/>
          <w:sz w:val="24"/>
          <w:szCs w:val="24"/>
        </w:rPr>
        <w:t xml:space="preserve">Among those with history of CVD, further stratified by </w:t>
      </w:r>
      <w:r w:rsidR="00CD5478">
        <w:rPr>
          <w:rFonts w:ascii="Times New Roman" w:hAnsi="Times New Roman" w:cs="Times New Roman"/>
          <w:sz w:val="24"/>
          <w:szCs w:val="24"/>
        </w:rPr>
        <w:t xml:space="preserve">less </w:t>
      </w:r>
      <w:proofErr w:type="spellStart"/>
      <w:r w:rsidR="00CD5478">
        <w:rPr>
          <w:rFonts w:ascii="Times New Roman" w:hAnsi="Times New Roman" w:cs="Times New Roman"/>
          <w:sz w:val="24"/>
          <w:szCs w:val="24"/>
        </w:rPr>
        <w:t>evere</w:t>
      </w:r>
      <w:proofErr w:type="spellEnd"/>
      <w:r w:rsidRPr="00922AF2">
        <w:rPr>
          <w:rFonts w:ascii="Times New Roman" w:hAnsi="Times New Roman" w:cs="Times New Roman"/>
          <w:sz w:val="24"/>
          <w:szCs w:val="24"/>
        </w:rPr>
        <w:t xml:space="preserve"> or </w:t>
      </w:r>
      <w:r w:rsidR="00CD5478">
        <w:rPr>
          <w:rFonts w:ascii="Times New Roman" w:hAnsi="Times New Roman" w:cs="Times New Roman"/>
          <w:sz w:val="24"/>
          <w:szCs w:val="24"/>
        </w:rPr>
        <w:t>more severe</w:t>
      </w:r>
      <w:r w:rsidRPr="00922AF2">
        <w:rPr>
          <w:rFonts w:ascii="Times New Roman" w:hAnsi="Times New Roman" w:cs="Times New Roman"/>
          <w:sz w:val="24"/>
          <w:szCs w:val="24"/>
        </w:rPr>
        <w:t xml:space="preserve"> CVD</w:t>
      </w:r>
    </w:p>
    <w:p w14:paraId="337F1846" w14:textId="1B1E795F" w:rsidR="00696F8C" w:rsidRPr="00FE52E3" w:rsidRDefault="008766DC" w:rsidP="00922AF2">
      <w:pPr>
        <w:spacing w:after="240" w:line="264" w:lineRule="auto"/>
        <w:jc w:val="both"/>
      </w:pPr>
      <w:r>
        <w:lastRenderedPageBreak/>
        <w:t xml:space="preserve">We will estimate incidence rates in the crude/unmatched study population as well as the matched study population. </w:t>
      </w:r>
      <w:r w:rsidR="00CE4598">
        <w:rPr>
          <w:szCs w:val="24"/>
        </w:rPr>
        <w:t xml:space="preserve">Patients will be excluded from the analysis if they have a history of the outcome at any point in the database before the index date. </w:t>
      </w:r>
      <w:r w:rsidR="00FF1BE0">
        <w:rPr>
          <w:szCs w:val="24"/>
        </w:rPr>
        <w:t xml:space="preserve">So, for the analysis assessing the outcome of ischemic stroke hospitalization, any patients who were hospitalized for ischemic stroke before their index date were excluded from the analysis. </w:t>
      </w:r>
      <w:r w:rsidR="00CE4598">
        <w:rPr>
          <w:szCs w:val="24"/>
        </w:rPr>
        <w:t>F</w:t>
      </w:r>
      <w:r w:rsidR="00D02B34" w:rsidRPr="00BE7797">
        <w:rPr>
          <w:szCs w:val="24"/>
        </w:rPr>
        <w:t>or the calculation of incidence rates for all</w:t>
      </w:r>
      <w:r w:rsidR="002A62A9" w:rsidRPr="00BE7797">
        <w:rPr>
          <w:szCs w:val="24"/>
        </w:rPr>
        <w:t xml:space="preserve"> time-at-</w:t>
      </w:r>
      <w:r w:rsidR="00D02B34" w:rsidRPr="00BE7797">
        <w:rPr>
          <w:szCs w:val="24"/>
        </w:rPr>
        <w:t xml:space="preserve">risk </w:t>
      </w:r>
      <w:r>
        <w:rPr>
          <w:szCs w:val="24"/>
        </w:rPr>
        <w:t>definitions</w:t>
      </w:r>
      <w:r w:rsidR="00D02B34" w:rsidRPr="00BE7797">
        <w:rPr>
          <w:szCs w:val="24"/>
        </w:rPr>
        <w:t>, patients will</w:t>
      </w:r>
      <w:r w:rsidR="00D02B34" w:rsidRPr="007F34D9">
        <w:rPr>
          <w:szCs w:val="24"/>
        </w:rPr>
        <w:t xml:space="preserve"> be followed from </w:t>
      </w:r>
      <w:r>
        <w:rPr>
          <w:szCs w:val="24"/>
        </w:rPr>
        <w:t>30 days past their index</w:t>
      </w:r>
      <w:r w:rsidR="00D02B34" w:rsidRPr="007F34D9">
        <w:rPr>
          <w:szCs w:val="24"/>
        </w:rPr>
        <w:t xml:space="preserve"> </w:t>
      </w:r>
      <w:r w:rsidR="00D02B34" w:rsidRPr="00FE52E3">
        <w:rPr>
          <w:szCs w:val="24"/>
        </w:rPr>
        <w:t xml:space="preserve">date through death, end of enrollment, or occurrence of the outcome of interest, whichever comes first. For incidence rates within the exposure-specific time window, person-time will be captured as cumulative duration of exposure based on drug eras that have been previously defined via the OMOP Common Data Model (CDM). </w:t>
      </w:r>
    </w:p>
    <w:p w14:paraId="2DD3089A" w14:textId="78FAEEBE" w:rsidR="00BC0EA4" w:rsidRPr="00B87A8B" w:rsidRDefault="00AA6537" w:rsidP="00AA6537">
      <w:pPr>
        <w:pStyle w:val="Heading2"/>
        <w:rPr>
          <w:rFonts w:ascii="Times New Roman" w:hAnsi="Times New Roman"/>
          <w:szCs w:val="24"/>
        </w:rPr>
      </w:pPr>
      <w:bookmarkStart w:id="43" w:name="_Toc35611432"/>
      <w:r w:rsidRPr="00B87A8B">
        <w:rPr>
          <w:rFonts w:ascii="Times New Roman" w:hAnsi="Times New Roman"/>
          <w:szCs w:val="24"/>
        </w:rPr>
        <w:t>Model Specification</w:t>
      </w:r>
      <w:bookmarkEnd w:id="43"/>
    </w:p>
    <w:p w14:paraId="776BD6DE" w14:textId="2D2704A0" w:rsidR="00F01CA9" w:rsidRPr="00FE52E3" w:rsidRDefault="00F01CA9" w:rsidP="00922AF2">
      <w:pPr>
        <w:shd w:val="clear" w:color="auto" w:fill="FFFFFF"/>
        <w:spacing w:after="240" w:line="264" w:lineRule="auto"/>
        <w:jc w:val="both"/>
        <w:rPr>
          <w:szCs w:val="24"/>
        </w:rPr>
      </w:pPr>
      <w:r w:rsidRPr="00FE52E3">
        <w:rPr>
          <w:szCs w:val="24"/>
        </w:rPr>
        <w:t>For the purpose of contextualizing the event rates and quantifying relative risk while controlling for additional confounding factors, which could potentially influence unadjusted incidence rates, a new user cohort design will be used to conduct comparative analyses if the exposed</w:t>
      </w:r>
      <w:r w:rsidR="00D100E8" w:rsidRPr="00FE52E3">
        <w:rPr>
          <w:szCs w:val="24"/>
        </w:rPr>
        <w:t xml:space="preserve"> (abiraterone)</w:t>
      </w:r>
      <w:r w:rsidRPr="00FE52E3">
        <w:rPr>
          <w:szCs w:val="24"/>
        </w:rPr>
        <w:t xml:space="preserve"> population can be appropriately matched to the selected comparator population </w:t>
      </w:r>
      <w:r w:rsidR="00D100E8" w:rsidRPr="00FE52E3">
        <w:rPr>
          <w:szCs w:val="24"/>
        </w:rPr>
        <w:t xml:space="preserve">(enzalutamide) </w:t>
      </w:r>
      <w:r w:rsidRPr="00FE52E3">
        <w:rPr>
          <w:szCs w:val="24"/>
        </w:rPr>
        <w:t xml:space="preserve">based on a defined set of patient and clinical characteristics, using propensity score matching. </w:t>
      </w:r>
      <w:r w:rsidRPr="00FE52E3">
        <w:rPr>
          <w:szCs w:val="24"/>
          <w:shd w:val="clear" w:color="auto" w:fill="FFFFFF"/>
        </w:rPr>
        <w:t>Propensity scores will be used as an analytic strategy to reduce potential confounding due to imbalance between the target and comparator cohorts in baseline covariates.</w:t>
      </w:r>
      <w:r w:rsidR="005F466D" w:rsidRPr="00FE52E3">
        <w:rPr>
          <w:szCs w:val="24"/>
          <w:shd w:val="clear" w:color="auto" w:fill="FFFFFF"/>
        </w:rPr>
        <w:t xml:space="preserve"> </w:t>
      </w:r>
      <w:r w:rsidRPr="00FE52E3">
        <w:rPr>
          <w:szCs w:val="24"/>
          <w:shd w:val="clear" w:color="auto" w:fill="FFFFFF"/>
        </w:rPr>
        <w:t>The propensity score is the probability of a patient being classified in the target cohort vs. the comparator cohort, given a set of observed covariates. The propensity score will be estimated for each patient, using the predicted probability from a regularized logistic regression model, fit with a Laplace prior (LASSO) and the regularization hyperparameter selected by optimizing the likelihood in a 10-fold cross validation, using a starting variance of 0.01 and a tolerance of 2e-7. </w:t>
      </w:r>
      <w:r w:rsidR="00475589" w:rsidRPr="00475589">
        <w:rPr>
          <w:szCs w:val="24"/>
          <w:shd w:val="clear" w:color="auto" w:fill="FFFFFF"/>
        </w:rPr>
        <w:t>Covariates that occur in fewer than 0.1% of the combined target and comparator cohort in a pairwise comparison will be excluded prior to model fitting</w:t>
      </w:r>
      <w:r w:rsidRPr="00FE52E3">
        <w:rPr>
          <w:szCs w:val="24"/>
        </w:rPr>
        <w:t>. Patients in the target cohort will be matched to patients in the comparator cohort, using a ratio of</w:t>
      </w:r>
      <w:r w:rsidR="00D100E8" w:rsidRPr="00FE52E3">
        <w:rPr>
          <w:szCs w:val="24"/>
        </w:rPr>
        <w:t xml:space="preserve"> either</w:t>
      </w:r>
      <w:r w:rsidRPr="00FE52E3">
        <w:rPr>
          <w:szCs w:val="24"/>
        </w:rPr>
        <w:t> 1:1 matching</w:t>
      </w:r>
      <w:r w:rsidR="00D100E8" w:rsidRPr="00FE52E3">
        <w:rPr>
          <w:szCs w:val="24"/>
        </w:rPr>
        <w:t xml:space="preserve"> or 1:100 variable ratio matching</w:t>
      </w:r>
      <w:r w:rsidRPr="00FE52E3">
        <w:rPr>
          <w:szCs w:val="24"/>
        </w:rPr>
        <w:t>, using a greedy matching algorithm</w:t>
      </w:r>
      <w:r w:rsidR="00D100E8" w:rsidRPr="00FE52E3">
        <w:rPr>
          <w:szCs w:val="24"/>
        </w:rPr>
        <w:t xml:space="preserve"> with </w:t>
      </w:r>
      <w:r w:rsidRPr="00FE52E3">
        <w:rPr>
          <w:szCs w:val="24"/>
        </w:rPr>
        <w:t xml:space="preserve">a caliper of 0.25 of the standard deviation of the propensity score distribution. </w:t>
      </w:r>
      <w:r w:rsidR="006F736A" w:rsidRPr="00FE52E3">
        <w:rPr>
          <w:szCs w:val="24"/>
        </w:rPr>
        <w:t xml:space="preserve">Comparative analyses will only be run in the case that feasibility assessments show appropriate comparable clinical cohorts can be identified based on diagnostics (see Evidence Evaluation below). </w:t>
      </w:r>
      <w:r w:rsidR="00D100E8" w:rsidRPr="00FE52E3">
        <w:rPr>
          <w:szCs w:val="24"/>
        </w:rPr>
        <w:t xml:space="preserve">Using this approach to matching, the hazard ratios we produce will estimate the average effect in the population treated with abiraterone (as opposed to the average effect in the entire study population which may differ if there is effect heterogeneity by treatment status). </w:t>
      </w:r>
    </w:p>
    <w:p w14:paraId="01421807" w14:textId="2A2DFFE8" w:rsidR="00BC0EA4" w:rsidRPr="00FE52E3" w:rsidRDefault="00F01CA9" w:rsidP="00922AF2">
      <w:pPr>
        <w:spacing w:after="240" w:line="264" w:lineRule="auto"/>
        <w:jc w:val="both"/>
      </w:pPr>
      <w:r w:rsidRPr="00FE52E3">
        <w:rPr>
          <w:szCs w:val="24"/>
        </w:rPr>
        <w:t>Cox proportional hazards will be used to estimate the hazards of </w:t>
      </w:r>
      <w:r w:rsidRPr="00FE52E3">
        <w:rPr>
          <w:bCs/>
          <w:szCs w:val="24"/>
        </w:rPr>
        <w:t>each outcome in the target cohort</w:t>
      </w:r>
      <w:r w:rsidRPr="00FE52E3">
        <w:rPr>
          <w:szCs w:val="24"/>
        </w:rPr>
        <w:t>, relative to </w:t>
      </w:r>
      <w:r w:rsidRPr="00FE52E3">
        <w:rPr>
          <w:bCs/>
          <w:szCs w:val="24"/>
        </w:rPr>
        <w:t>the comparator cohort</w:t>
      </w:r>
      <w:r w:rsidRPr="00FE52E3">
        <w:rPr>
          <w:szCs w:val="24"/>
        </w:rPr>
        <w:t xml:space="preserve">. The </w:t>
      </w:r>
      <w:proofErr w:type="gramStart"/>
      <w:r w:rsidRPr="00FE52E3">
        <w:rPr>
          <w:szCs w:val="24"/>
        </w:rPr>
        <w:t>final outcome</w:t>
      </w:r>
      <w:proofErr w:type="gramEnd"/>
      <w:r w:rsidRPr="00FE52E3">
        <w:rPr>
          <w:szCs w:val="24"/>
        </w:rPr>
        <w:t xml:space="preserve"> model will be summarized by providing the hazards ratio and associated 95% confidence interval. The number of persons, amount of time-at-risk, and number of outcomes in each cohort will also be reported. Additionally, a Kaplan-Meier plot will be generated to characterize the contour of risk over time for the outcome of interest.</w:t>
      </w:r>
    </w:p>
    <w:p w14:paraId="5FA08056" w14:textId="122679AB" w:rsidR="00BC0EA4" w:rsidRPr="00B87A8B" w:rsidRDefault="00AA6537" w:rsidP="00AA6537">
      <w:pPr>
        <w:pStyle w:val="Heading2"/>
        <w:rPr>
          <w:rFonts w:ascii="Times New Roman" w:hAnsi="Times New Roman"/>
          <w:szCs w:val="24"/>
        </w:rPr>
      </w:pPr>
      <w:bookmarkStart w:id="44" w:name="_Toc35611433"/>
      <w:r w:rsidRPr="00B87A8B">
        <w:rPr>
          <w:rFonts w:ascii="Times New Roman" w:hAnsi="Times New Roman"/>
          <w:szCs w:val="24"/>
        </w:rPr>
        <w:t>Evidence Evaluation</w:t>
      </w:r>
      <w:bookmarkEnd w:id="44"/>
    </w:p>
    <w:p w14:paraId="1B2B06F4" w14:textId="2C98CD6E" w:rsidR="0073240C" w:rsidRDefault="00F01CA9" w:rsidP="0073240C">
      <w:pPr>
        <w:shd w:val="clear" w:color="auto" w:fill="FFFFFF"/>
        <w:spacing w:after="240" w:line="264" w:lineRule="auto"/>
        <w:jc w:val="both"/>
        <w:rPr>
          <w:szCs w:val="24"/>
        </w:rPr>
      </w:pPr>
      <w:r w:rsidRPr="007F34D9">
        <w:rPr>
          <w:szCs w:val="24"/>
        </w:rPr>
        <w:t>Covariate balance will be summarized in tabular form by showing the mean va</w:t>
      </w:r>
      <w:r w:rsidRPr="00FE52E3">
        <w:rPr>
          <w:szCs w:val="24"/>
        </w:rPr>
        <w:t xml:space="preserve">lue for all baseline covariates in the target and comparator cohort, with the associated standardized mean difference computed for each covariate. Once the propensity score model is fit, we will plot the propensity </w:t>
      </w:r>
      <w:r w:rsidRPr="00FE52E3">
        <w:rPr>
          <w:szCs w:val="24"/>
        </w:rPr>
        <w:lastRenderedPageBreak/>
        <w:t>score distribution of the target and comparator cohorts to evaluate the comparability of the two cohorts. The plot will be scaled to the preference score, normalizing for any imbalance in cohort size. The area under the Receiver Operating Characteristic (ROC) curve (AUC) will be reported. An attrition diagram will be provided to detail the loss of patients from the original target cohort, </w:t>
      </w:r>
      <w:r w:rsidRPr="00FE52E3">
        <w:rPr>
          <w:bCs/>
          <w:szCs w:val="24"/>
        </w:rPr>
        <w:t>T</w:t>
      </w:r>
      <w:r w:rsidRPr="00FE52E3">
        <w:rPr>
          <w:szCs w:val="24"/>
        </w:rPr>
        <w:t>, and comparator cohort </w:t>
      </w:r>
      <w:r w:rsidRPr="00FE52E3">
        <w:rPr>
          <w:bCs/>
          <w:szCs w:val="24"/>
        </w:rPr>
        <w:t xml:space="preserve">C </w:t>
      </w:r>
      <w:r w:rsidRPr="00FE52E3">
        <w:rPr>
          <w:szCs w:val="24"/>
        </w:rPr>
        <w:t>to the subpopulations that remain after all design considerations have been applied.</w:t>
      </w:r>
    </w:p>
    <w:p w14:paraId="5D2D3139" w14:textId="6AD6676C" w:rsidR="005519AD" w:rsidRPr="00FE52E3" w:rsidRDefault="005519AD" w:rsidP="00B87A8B">
      <w:pPr>
        <w:pStyle w:val="BodyText12"/>
        <w:rPr>
          <w:szCs w:val="24"/>
        </w:rPr>
      </w:pPr>
      <w:bookmarkStart w:id="45" w:name="_Hlk35610890"/>
      <w:r w:rsidRPr="0000262A">
        <w:rPr>
          <w:rFonts w:eastAsia="TimesNewRoman"/>
        </w:rPr>
        <w:t xml:space="preserve">As described in Section 7, the distribution of estimates on negative control outcomes (i.e. the empirical null distribution) describes the residual error of a study specification after confounding control has been implemented. </w:t>
      </w:r>
      <w:bookmarkEnd w:id="45"/>
      <w:r w:rsidR="00F01CA9" w:rsidRPr="007F34D9">
        <w:rPr>
          <w:szCs w:val="24"/>
        </w:rPr>
        <w:t xml:space="preserve">Negative control outcomes will be used to evaluate the potential impact of residual systematic </w:t>
      </w:r>
      <w:r w:rsidR="00F01CA9" w:rsidRPr="00FE52E3">
        <w:rPr>
          <w:szCs w:val="24"/>
        </w:rPr>
        <w:t xml:space="preserve">error in the study design, and to facilitate empirical calibration of the p-value for the outcomes of interest. Negative control outcomes are concepts known not to be associated with either the target or comparator group, such that we can assume the true relative risk should equal 1. For each negative control outcome, the study design described above will be implemented and the effect estimate will be recorded. </w:t>
      </w:r>
      <w:r>
        <w:t xml:space="preserve">We will also generate and include synthetic positive control outcomes. Positive control outcomes developed on the basis the observed negative controls, but where the true effect size is artificially increased to a desired effect size by injection of additional, simulated outcomes </w:t>
      </w:r>
      <w:r>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 </w:instrText>
      </w:r>
      <w:r>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EN.CITE.DATA </w:instrText>
      </w:r>
      <w:r>
        <w:fldChar w:fldCharType="end"/>
      </w:r>
      <w:r>
        <w:fldChar w:fldCharType="separate"/>
      </w:r>
      <w:r>
        <w:rPr>
          <w:noProof/>
        </w:rPr>
        <w:t>[3]</w:t>
      </w:r>
      <w:r>
        <w:fldChar w:fldCharType="end"/>
      </w:r>
      <w:r>
        <w:t xml:space="preserve">. Using both negative and positive controls, we fit a systematic error model and with which we calibrated the hazard ratio, confidence interval, and p-value to account for residual error not addressed by other methods for confounding </w:t>
      </w:r>
      <w:r w:rsidRPr="00013AE8">
        <w:t xml:space="preserve">control (i.e. propensity score adjustment) </w:t>
      </w:r>
      <w:r w:rsidRPr="00013AE8">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 </w:instrText>
      </w:r>
      <w:r>
        <w:fldChar w:fldCharType="begin">
          <w:fldData xml:space="preserve">PEVuZE5vdGU+PENpdGU+PEF1dGhvcj5TY2h1ZW1pZTwvQXV0aG9yPjxZZWFyPjIwMTg8L1llYXI+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aXRlPjwvRW5kTm90ZT4A
</w:fldData>
        </w:fldChar>
      </w:r>
      <w:r>
        <w:instrText xml:space="preserve"> ADDIN EN.CITE.DATA </w:instrText>
      </w:r>
      <w:r>
        <w:fldChar w:fldCharType="end"/>
      </w:r>
      <w:r w:rsidRPr="00013AE8">
        <w:fldChar w:fldCharType="separate"/>
      </w:r>
      <w:r>
        <w:rPr>
          <w:noProof/>
        </w:rPr>
        <w:t>[3]</w:t>
      </w:r>
      <w:r w:rsidRPr="00013AE8">
        <w:fldChar w:fldCharType="end"/>
      </w:r>
      <w:r w:rsidRPr="00013AE8">
        <w:t>.</w:t>
      </w:r>
      <w:r w:rsidR="00F01CA9" w:rsidRPr="00FE52E3">
        <w:rPr>
          <w:szCs w:val="24"/>
        </w:rPr>
        <w:t xml:space="preserve">The empirical null distribution will then be applied to the target outcome of interest to calibrate the p-value. Empirical calibration serves as an important diagnostic tool to evaluate if the residual systematic error is </w:t>
      </w:r>
      <w:proofErr w:type="gramStart"/>
      <w:r w:rsidR="00F01CA9" w:rsidRPr="00FE52E3">
        <w:rPr>
          <w:szCs w:val="24"/>
        </w:rPr>
        <w:t>sufficient</w:t>
      </w:r>
      <w:proofErr w:type="gramEnd"/>
      <w:r w:rsidR="00F01CA9" w:rsidRPr="00FE52E3">
        <w:rPr>
          <w:szCs w:val="24"/>
        </w:rPr>
        <w:t xml:space="preserve"> to cast doubt on the accuracy of the unknown effect estimate. The calibration effect plot and calibration probability plots will be generated for review. We will report the traditional p-value and empirically calibrated p-value for each negative control, as well as each outcome of interest.</w:t>
      </w:r>
    </w:p>
    <w:p w14:paraId="12FD4285" w14:textId="055006D7" w:rsidR="00A30C0F" w:rsidRPr="007F34D9" w:rsidRDefault="00276712" w:rsidP="00922AF2">
      <w:pPr>
        <w:spacing w:after="240" w:line="264" w:lineRule="auto"/>
        <w:jc w:val="both"/>
      </w:pPr>
      <w:r w:rsidRPr="00FE52E3">
        <w:rPr>
          <w:szCs w:val="24"/>
        </w:rPr>
        <w:t xml:space="preserve">The estimation study described </w:t>
      </w:r>
      <w:r w:rsidR="00A30C0F" w:rsidRPr="00FE52E3">
        <w:rPr>
          <w:szCs w:val="24"/>
        </w:rPr>
        <w:t xml:space="preserve">in the protocol above </w:t>
      </w:r>
      <w:r w:rsidRPr="00FE52E3">
        <w:rPr>
          <w:szCs w:val="24"/>
        </w:rPr>
        <w:t>has</w:t>
      </w:r>
      <w:r w:rsidR="00A30C0F" w:rsidRPr="00FE52E3">
        <w:rPr>
          <w:szCs w:val="24"/>
        </w:rPr>
        <w:t xml:space="preserve"> already</w:t>
      </w:r>
      <w:r w:rsidRPr="00FE52E3">
        <w:rPr>
          <w:szCs w:val="24"/>
        </w:rPr>
        <w:t xml:space="preserve"> been fully specified using the Atlas web-interface. The following link leads to that specification, which can be reviewed in detail: </w:t>
      </w:r>
      <w:hyperlink r:id="rId39" w:anchor="/estimation/cca/91" w:history="1">
        <w:r w:rsidRPr="007F34D9">
          <w:rPr>
            <w:rStyle w:val="Hyperlink"/>
          </w:rPr>
          <w:t>https://epi.j</w:t>
        </w:r>
        <w:r w:rsidRPr="00FE52E3">
          <w:rPr>
            <w:rStyle w:val="Hyperlink"/>
          </w:rPr>
          <w:t>nj.com/atlas/#/estimation/cca/91</w:t>
        </w:r>
      </w:hyperlink>
    </w:p>
    <w:p w14:paraId="2A57F8C9" w14:textId="642AC069" w:rsidR="00A30C0F" w:rsidRPr="007F34D9" w:rsidRDefault="33C3EBEE" w:rsidP="00922AF2">
      <w:pPr>
        <w:spacing w:after="240" w:line="264" w:lineRule="auto"/>
        <w:jc w:val="both"/>
      </w:pPr>
      <w:r>
        <w:t>W</w:t>
      </w:r>
      <w:r w:rsidR="00A30C0F">
        <w:t xml:space="preserve">e have </w:t>
      </w:r>
      <w:r w:rsidR="7A48DF7B">
        <w:t xml:space="preserve">executed and </w:t>
      </w:r>
      <w:r w:rsidR="00A30C0F">
        <w:t>reviewed the study diagnostics (described above) in detail and use</w:t>
      </w:r>
      <w:r w:rsidR="54B23D7F">
        <w:t>d</w:t>
      </w:r>
      <w:r w:rsidR="00A30C0F">
        <w:t xml:space="preserve"> them to make decisions on which analyses should be unblinded</w:t>
      </w:r>
      <w:r w:rsidR="4B70B22A">
        <w:t xml:space="preserve"> once the protocol is approved</w:t>
      </w:r>
      <w:r w:rsidR="00A30C0F">
        <w:t xml:space="preserve">. The diagnostics for each analysis are presented in an interactive, web-based Shiny app which can be accessed using the following link: </w:t>
      </w:r>
      <w:hyperlink r:id="rId40" w:history="1">
        <w:r w:rsidR="00F92F7C" w:rsidRPr="2A2DD85B">
          <w:rPr>
            <w:rStyle w:val="Hyperlink"/>
          </w:rPr>
          <w:t>https://sharedshiny.jnj.com/user/mconove1/EPI720_3/</w:t>
        </w:r>
      </w:hyperlink>
    </w:p>
    <w:p w14:paraId="2F476056" w14:textId="5CE8C0F4" w:rsidR="00654836" w:rsidRPr="009B4B69" w:rsidRDefault="00654836" w:rsidP="2A2DD85B">
      <w:pPr>
        <w:spacing w:after="240" w:line="264" w:lineRule="auto"/>
        <w:jc w:val="both"/>
        <w:rPr>
          <w:color w:val="FF0000"/>
        </w:rPr>
      </w:pPr>
      <w:bookmarkStart w:id="46" w:name="_Hlk35518490"/>
      <w:r>
        <w:t xml:space="preserve">In collaboration with colleagues within the Observational Health Data Analytics (OHDA) department, we specified a rule for determining when to not move forward with an analysis </w:t>
      </w:r>
      <w:proofErr w:type="gramStart"/>
      <w:r>
        <w:t>on the basis of</w:t>
      </w:r>
      <w:proofErr w:type="gramEnd"/>
      <w:r>
        <w:t xml:space="preserve"> covariate imbalance between the two groups we would like to compare. This data-driven rule is applied a priori (before the adjusted effect estimates are unblinded to study investigators) in order to determine which </w:t>
      </w:r>
      <w:proofErr w:type="gramStart"/>
      <w:r>
        <w:t>analyses</w:t>
      </w:r>
      <w:proofErr w:type="gramEnd"/>
      <w:r>
        <w:t xml:space="preserve"> we expect to be sufficiently unbiased to provide an informative effect estimate. We </w:t>
      </w:r>
      <w:r w:rsidR="00FF3DA1">
        <w:t>only</w:t>
      </w:r>
      <w:r>
        <w:t xml:space="preserve"> plan to proceed with analys</w:t>
      </w:r>
      <w:r w:rsidR="00FF3DA1">
        <w:t>e</w:t>
      </w:r>
      <w:r>
        <w:t xml:space="preserve">s </w:t>
      </w:r>
      <w:r w:rsidR="00FF3DA1">
        <w:t>where all covariates</w:t>
      </w:r>
      <w:r>
        <w:t xml:space="preserve"> that satisf</w:t>
      </w:r>
      <w:r w:rsidR="00FF3DA1">
        <w:t>y</w:t>
      </w:r>
      <w:r>
        <w:t xml:space="preserve"> </w:t>
      </w:r>
      <w:r w:rsidR="00FF3DA1">
        <w:t xml:space="preserve">one </w:t>
      </w:r>
      <w:r>
        <w:t xml:space="preserve">of the following conditions: [1] an absolute standardized mean difference </w:t>
      </w:r>
      <w:r w:rsidR="00FF3DA1">
        <w:t>&lt;</w:t>
      </w:r>
      <w:r>
        <w:t xml:space="preserve"> 0.10 (after adjustment), [2] an absolute difference in (un-standardized) prevalence </w:t>
      </w:r>
      <w:r w:rsidR="00FF3DA1">
        <w:t>&lt;</w:t>
      </w:r>
      <w:r>
        <w:t xml:space="preserve"> 0.05 (after adjustment). </w:t>
      </w:r>
      <w:r w:rsidR="00FF3DA1">
        <w:t>Rule [1] is widely used in observational research conducted using these data</w:t>
      </w:r>
      <w:r w:rsidR="00A24E18">
        <w:t xml:space="preserve"> (Austin, 2009)</w:t>
      </w:r>
      <w:r w:rsidR="00FF3DA1">
        <w:t xml:space="preserve">. </w:t>
      </w:r>
      <w:r w:rsidR="00FF3DA1">
        <w:lastRenderedPageBreak/>
        <w:t>However, we added the second rule since the</w:t>
      </w:r>
      <w:r>
        <w:t xml:space="preserve"> covariate is unlikely to confound the effect </w:t>
      </w:r>
      <w:proofErr w:type="gramStart"/>
      <w:r>
        <w:t>as long as</w:t>
      </w:r>
      <w:proofErr w:type="gramEnd"/>
      <w:r>
        <w:t xml:space="preserve"> the actual difference in prevalence isn’t extreme (i.e. greater than 0.05).</w:t>
      </w:r>
      <w:r w:rsidR="00FF3DA1">
        <w:t xml:space="preserve"> </w:t>
      </w:r>
      <w:r w:rsidR="0F6D9BC8">
        <w:t>A</w:t>
      </w:r>
      <w:r w:rsidR="00FF3DA1">
        <w:t>s an additional protection against unblinding analyses where results may be biased, we also had five study team member manually review all covariates that failed criteria [1] but passed criteria [2] and flagged all covariates that at least one reviewer considered to be a plausible risk-factor for any of the cardiovascular outcomes being studied. Doing so, we reviewed 473 covariates and found that 419</w:t>
      </w:r>
      <w:r w:rsidR="506F31A1">
        <w:t xml:space="preserve"> may conservatively </w:t>
      </w:r>
      <w:proofErr w:type="gramStart"/>
      <w:r w:rsidR="506F31A1">
        <w:t>be considered to be</w:t>
      </w:r>
      <w:proofErr w:type="gramEnd"/>
      <w:r w:rsidR="00FF3DA1">
        <w:t xml:space="preserve"> confounders. Using this list, we also </w:t>
      </w:r>
      <w:r w:rsidR="6314582E">
        <w:t xml:space="preserve">choose to not unblind </w:t>
      </w:r>
      <w:r w:rsidR="00FF3DA1">
        <w:t>any analysis where one of these 419 covariates was imbalanced with an absolute standardized mean difference ≥ 0.10</w:t>
      </w:r>
      <w:r w:rsidR="0094791F">
        <w:t xml:space="preserve">, even if it’s absolute difference in prevalence was &lt; 0.05. </w:t>
      </w:r>
    </w:p>
    <w:p w14:paraId="4D239D3A" w14:textId="77777777" w:rsidR="00F32CA7" w:rsidRDefault="75C3F089" w:rsidP="00922AF2">
      <w:pPr>
        <w:spacing w:after="240" w:line="264" w:lineRule="auto"/>
        <w:jc w:val="both"/>
      </w:pPr>
      <w:r>
        <w:t>Initially, based on the objectives of this protocol across 3 databases with multiple subgroup analyses, there were</w:t>
      </w:r>
      <w:r w:rsidR="0094791F">
        <w:t xml:space="preserve"> 600 analyses </w:t>
      </w:r>
      <w:r w:rsidR="6E047E2E">
        <w:t xml:space="preserve">included </w:t>
      </w:r>
      <w:r w:rsidR="0094791F">
        <w:t>as part of this feasibility assessment</w:t>
      </w:r>
      <w:r w:rsidR="3E4DBF99">
        <w:t>.</w:t>
      </w:r>
      <w:r w:rsidR="0094791F">
        <w:t xml:space="preserve"> </w:t>
      </w:r>
      <w:r w:rsidR="50846102">
        <w:t>This</w:t>
      </w:r>
      <w:r w:rsidR="0094791F">
        <w:t xml:space="preserve"> includes the combinations of 5 target/comparator combinations, 6 outcomes, two databases, and 10 analysis variations. Of these 600 analyses, 9 analyses met all of the criteria for unblinding, all of which were analyses in the Optum Extended DOD database comparing the primary/</w:t>
      </w:r>
      <w:proofErr w:type="gramStart"/>
      <w:r w:rsidR="0094791F">
        <w:t>unstratified  target</w:t>
      </w:r>
      <w:proofErr w:type="gramEnd"/>
      <w:r w:rsidR="0094791F">
        <w:t xml:space="preserve"> and comparator cohorts (new users of abiraterone + </w:t>
      </w:r>
      <w:proofErr w:type="spellStart"/>
      <w:r w:rsidR="0094791F">
        <w:t>predniso</w:t>
      </w:r>
      <w:proofErr w:type="spellEnd"/>
      <w:r w:rsidR="00E60D69">
        <w:t>(lo)</w:t>
      </w:r>
      <w:r w:rsidR="0094791F">
        <w:t xml:space="preserve">ne versus new users of enzalutamide among patients with CRPC). </w:t>
      </w:r>
      <w:r w:rsidR="00291338">
        <w:t xml:space="preserve">Furthermore, the 9 analyses recommended for unblinding included only the as-treated analyses, specifically those where all patient observations were kept, regardless of whether an individual patient appears in both the target and comparator group (due to switching). </w:t>
      </w:r>
      <w:r w:rsidR="0094791F">
        <w:t xml:space="preserve">The specific outcomes and </w:t>
      </w:r>
      <w:r w:rsidR="00291338">
        <w:t>propensity-score matching settings</w:t>
      </w:r>
      <w:r w:rsidR="0094791F">
        <w:t xml:space="preserve"> for the 9 analyses recommended for unblinding are displayed in</w:t>
      </w:r>
      <w:r w:rsidR="00291338">
        <w:t xml:space="preserve"> Table </w:t>
      </w:r>
      <w:r w:rsidR="00551159">
        <w:t>6</w:t>
      </w:r>
      <w:r w:rsidR="00291338">
        <w:t xml:space="preserve"> </w:t>
      </w:r>
      <w:r w:rsidR="0094791F">
        <w:t>below.</w:t>
      </w:r>
      <w:r w:rsidR="006A6AD4">
        <w:t xml:space="preserve"> The </w:t>
      </w:r>
      <w:proofErr w:type="gramStart"/>
      <w:r w:rsidR="006A6AD4">
        <w:t>minimally-detectable</w:t>
      </w:r>
      <w:proofErr w:type="gramEnd"/>
      <w:r w:rsidR="006A6AD4">
        <w:t xml:space="preserve"> risk ratios for these analyses ranged between 1.50 and infinite. </w:t>
      </w:r>
      <w:r w:rsidR="00FF1BE0">
        <w:t xml:space="preserve">It is likely implausible that the real effect exceeds a risk ratio of 2. If this is indeed the case, all analyses with </w:t>
      </w:r>
      <w:proofErr w:type="gramStart"/>
      <w:r w:rsidR="00FF1BE0">
        <w:t>minimally-detectable</w:t>
      </w:r>
      <w:proofErr w:type="gramEnd"/>
      <w:r w:rsidR="00FF1BE0">
        <w:t xml:space="preserve"> risk ratios &gt;2 will produce a null finding, even if a real effect with risk ratio &lt; 2 exists (type II error). Thus</w:t>
      </w:r>
      <w:r w:rsidR="006A6AD4">
        <w:t xml:space="preserve">, we applied an additional rule blinding any analysis where the minimally detectable risk ratio was &gt; 2. </w:t>
      </w:r>
      <w:r w:rsidR="6F6B933F">
        <w:t>Finally, f</w:t>
      </w:r>
      <w:r w:rsidR="00813977">
        <w:t xml:space="preserve">our analyses </w:t>
      </w:r>
      <w:r w:rsidR="3C0483F4">
        <w:t>are</w:t>
      </w:r>
      <w:r w:rsidR="00813977">
        <w:t xml:space="preserve"> recommended for unblinding</w:t>
      </w:r>
      <w:r w:rsidR="46C6F5D4">
        <w:t xml:space="preserve">. In other words, we are confident that we are able to control for the bias that exists in observational data for these four </w:t>
      </w:r>
      <w:r w:rsidR="3F2960F5">
        <w:t xml:space="preserve">outcomes: myocardial infarction (both with 1:1 matching and 1:100 variable matching), heart failure, and </w:t>
      </w:r>
      <w:r w:rsidR="29193202">
        <w:t>ischemic stroke</w:t>
      </w:r>
      <w:r w:rsidR="46C6F5D4">
        <w:t>.</w:t>
      </w:r>
      <w:r w:rsidR="00813977">
        <w:t xml:space="preserve"> </w:t>
      </w:r>
      <w:r w:rsidR="5485B451">
        <w:t xml:space="preserve">Given we do not expect the matching ratio to influence the extent or direction of the effect estimate, </w:t>
      </w:r>
      <w:r w:rsidR="748BB0F4">
        <w:t>f</w:t>
      </w:r>
      <w:r w:rsidR="5485B451">
        <w:t xml:space="preserve">or ease of interpretation we will move forward with </w:t>
      </w:r>
      <w:r w:rsidR="1CC506B3">
        <w:t>one analysis for each outcome</w:t>
      </w:r>
      <w:r w:rsidR="5485B451">
        <w:t xml:space="preserve"> </w:t>
      </w:r>
      <w:r w:rsidR="1082BB83">
        <w:t xml:space="preserve">that met our criteria </w:t>
      </w:r>
      <w:r w:rsidR="5485B451">
        <w:t xml:space="preserve">using </w:t>
      </w:r>
      <w:r w:rsidR="64ED13A7">
        <w:t xml:space="preserve">only </w:t>
      </w:r>
      <w:r w:rsidR="5485B451">
        <w:t>1:100 variable matching</w:t>
      </w:r>
      <w:r w:rsidR="0E98A32C">
        <w:t>.</w:t>
      </w:r>
      <w:r w:rsidR="5485B451">
        <w:t xml:space="preserve"> </w:t>
      </w:r>
    </w:p>
    <w:p w14:paraId="1F30ED22" w14:textId="6A538718" w:rsidR="00291338" w:rsidRDefault="00291338" w:rsidP="00922AF2">
      <w:pPr>
        <w:spacing w:after="240" w:line="264" w:lineRule="auto"/>
        <w:jc w:val="both"/>
      </w:pPr>
      <w:r w:rsidRPr="00B87A8B">
        <w:rPr>
          <w:b/>
          <w:bCs/>
        </w:rPr>
        <w:t xml:space="preserve">Table </w:t>
      </w:r>
      <w:r w:rsidR="00551159">
        <w:rPr>
          <w:b/>
          <w:bCs/>
        </w:rPr>
        <w:t>6</w:t>
      </w:r>
      <w:r w:rsidRPr="00B87A8B">
        <w:rPr>
          <w:b/>
          <w:bCs/>
        </w:rPr>
        <w:t>.</w:t>
      </w:r>
      <w:r w:rsidRPr="009B4B69">
        <w:t xml:space="preserve"> Outcomes</w:t>
      </w:r>
      <w:r w:rsidR="004C5651" w:rsidRPr="009B4B69">
        <w:t xml:space="preserve">, </w:t>
      </w:r>
      <w:r w:rsidRPr="009B4B69">
        <w:t>propensity-score matching settings</w:t>
      </w:r>
      <w:r w:rsidR="004C5651" w:rsidRPr="009B4B69">
        <w:t xml:space="preserve">, and </w:t>
      </w:r>
      <w:proofErr w:type="gramStart"/>
      <w:r w:rsidR="004C5651" w:rsidRPr="009B4B69">
        <w:t>minimally-detectable</w:t>
      </w:r>
      <w:proofErr w:type="gramEnd"/>
      <w:r w:rsidR="004C5651" w:rsidRPr="009B4B69">
        <w:t xml:space="preserve"> risk ratios (MDRRs)</w:t>
      </w:r>
      <w:r w:rsidRPr="009B4B69">
        <w:t xml:space="preserve"> for the 9 analyses that met the </w:t>
      </w:r>
      <w:r w:rsidR="00131F22" w:rsidRPr="009B4B69">
        <w:t>covariate</w:t>
      </w:r>
      <w:r w:rsidR="00F92408" w:rsidRPr="00B87A8B">
        <w:t xml:space="preserve">-based </w:t>
      </w:r>
      <w:r w:rsidRPr="009B4B69">
        <w:t>criteria for unblinding</w:t>
      </w:r>
    </w:p>
    <w:tbl>
      <w:tblPr>
        <w:tblStyle w:val="TableGrid"/>
        <w:tblW w:w="930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600"/>
        <w:gridCol w:w="2586"/>
        <w:gridCol w:w="1047"/>
      </w:tblGrid>
      <w:tr w:rsidR="00131F22" w:rsidRPr="0094791F" w14:paraId="11592442" w14:textId="4BC1B0E0" w:rsidTr="00F32CA7">
        <w:trPr>
          <w:trHeight w:val="288"/>
        </w:trPr>
        <w:tc>
          <w:tcPr>
            <w:tcW w:w="2070" w:type="dxa"/>
            <w:tcBorders>
              <w:top w:val="single" w:sz="4" w:space="0" w:color="auto"/>
              <w:bottom w:val="single" w:sz="4" w:space="0" w:color="auto"/>
            </w:tcBorders>
            <w:vAlign w:val="bottom"/>
          </w:tcPr>
          <w:p w14:paraId="4A05684B" w14:textId="702402B7" w:rsidR="00131F22" w:rsidRDefault="00131F22" w:rsidP="00B87A8B">
            <w:r>
              <w:t>Final blinding recommendation</w:t>
            </w:r>
          </w:p>
        </w:tc>
        <w:tc>
          <w:tcPr>
            <w:tcW w:w="3600" w:type="dxa"/>
            <w:tcBorders>
              <w:top w:val="single" w:sz="4" w:space="0" w:color="auto"/>
              <w:bottom w:val="single" w:sz="4" w:space="0" w:color="auto"/>
            </w:tcBorders>
            <w:vAlign w:val="bottom"/>
          </w:tcPr>
          <w:p w14:paraId="754B1E4F" w14:textId="0C0C2C1F" w:rsidR="00131F22" w:rsidRPr="0094791F" w:rsidRDefault="00131F22" w:rsidP="00B87A8B">
            <w:r>
              <w:t>Outcome</w:t>
            </w:r>
          </w:p>
        </w:tc>
        <w:tc>
          <w:tcPr>
            <w:tcW w:w="2586" w:type="dxa"/>
            <w:tcBorders>
              <w:top w:val="single" w:sz="4" w:space="0" w:color="auto"/>
              <w:bottom w:val="single" w:sz="4" w:space="0" w:color="auto"/>
            </w:tcBorders>
            <w:vAlign w:val="bottom"/>
          </w:tcPr>
          <w:p w14:paraId="16824444" w14:textId="4921C5E0" w:rsidR="00131F22" w:rsidRDefault="00131F22" w:rsidP="00B87A8B">
            <w:r>
              <w:t>Propensity-score matching</w:t>
            </w:r>
          </w:p>
        </w:tc>
        <w:tc>
          <w:tcPr>
            <w:tcW w:w="1047" w:type="dxa"/>
            <w:tcBorders>
              <w:top w:val="single" w:sz="4" w:space="0" w:color="auto"/>
              <w:bottom w:val="single" w:sz="4" w:space="0" w:color="auto"/>
            </w:tcBorders>
            <w:vAlign w:val="bottom"/>
          </w:tcPr>
          <w:p w14:paraId="60AB5E0F" w14:textId="34A548B0" w:rsidR="00131F22" w:rsidRDefault="00131F22" w:rsidP="00B87A8B">
            <w:r>
              <w:t>MDRR</w:t>
            </w:r>
          </w:p>
        </w:tc>
      </w:tr>
      <w:tr w:rsidR="00131F22" w:rsidRPr="0094791F" w14:paraId="13F71805" w14:textId="77777777" w:rsidTr="00F32CA7">
        <w:trPr>
          <w:trHeight w:val="288"/>
        </w:trPr>
        <w:tc>
          <w:tcPr>
            <w:tcW w:w="2070" w:type="dxa"/>
            <w:vMerge w:val="restart"/>
            <w:tcBorders>
              <w:top w:val="single" w:sz="4" w:space="0" w:color="auto"/>
            </w:tcBorders>
            <w:shd w:val="clear" w:color="auto" w:fill="auto"/>
            <w:vAlign w:val="center"/>
          </w:tcPr>
          <w:p w14:paraId="15B932C8" w14:textId="46D0A744" w:rsidR="00131F22" w:rsidRPr="0094791F" w:rsidRDefault="00131F22" w:rsidP="00B87A8B">
            <w:r>
              <w:t>Unblind</w:t>
            </w:r>
            <w:r w:rsidR="002210C6">
              <w:t>ed</w:t>
            </w:r>
          </w:p>
        </w:tc>
        <w:tc>
          <w:tcPr>
            <w:tcW w:w="3600" w:type="dxa"/>
            <w:tcBorders>
              <w:top w:val="single" w:sz="4" w:space="0" w:color="auto"/>
            </w:tcBorders>
            <w:shd w:val="clear" w:color="auto" w:fill="auto"/>
          </w:tcPr>
          <w:p w14:paraId="7CDDE138" w14:textId="77777777" w:rsidR="00131F22" w:rsidRPr="0094791F" w:rsidRDefault="00131F22" w:rsidP="00AF743B">
            <w:pPr>
              <w:jc w:val="both"/>
            </w:pPr>
            <w:r w:rsidRPr="0094791F">
              <w:t>Acute myocardial infarction (AMI)</w:t>
            </w:r>
          </w:p>
        </w:tc>
        <w:tc>
          <w:tcPr>
            <w:tcW w:w="2586" w:type="dxa"/>
            <w:tcBorders>
              <w:top w:val="single" w:sz="4" w:space="0" w:color="auto"/>
            </w:tcBorders>
            <w:shd w:val="clear" w:color="auto" w:fill="auto"/>
          </w:tcPr>
          <w:p w14:paraId="671614E2" w14:textId="77777777" w:rsidR="00131F22" w:rsidRPr="0094791F" w:rsidRDefault="00131F22" w:rsidP="00AF743B">
            <w:pPr>
              <w:jc w:val="both"/>
            </w:pPr>
            <w:r w:rsidRPr="0094791F">
              <w:t>1:100 variable ratio</w:t>
            </w:r>
          </w:p>
        </w:tc>
        <w:tc>
          <w:tcPr>
            <w:tcW w:w="1047" w:type="dxa"/>
            <w:tcBorders>
              <w:top w:val="single" w:sz="4" w:space="0" w:color="auto"/>
            </w:tcBorders>
            <w:shd w:val="clear" w:color="auto" w:fill="auto"/>
          </w:tcPr>
          <w:p w14:paraId="552BFF89" w14:textId="77777777" w:rsidR="00131F22" w:rsidRPr="0094791F" w:rsidRDefault="00131F22" w:rsidP="00AF743B">
            <w:pPr>
              <w:jc w:val="both"/>
            </w:pPr>
            <w:r>
              <w:t>1.78</w:t>
            </w:r>
          </w:p>
        </w:tc>
      </w:tr>
      <w:tr w:rsidR="00131F22" w:rsidRPr="0094791F" w14:paraId="3DEE5A11" w14:textId="77777777" w:rsidTr="00F32CA7">
        <w:trPr>
          <w:trHeight w:val="288"/>
        </w:trPr>
        <w:tc>
          <w:tcPr>
            <w:tcW w:w="2070" w:type="dxa"/>
            <w:vMerge/>
            <w:shd w:val="clear" w:color="auto" w:fill="auto"/>
            <w:vAlign w:val="center"/>
          </w:tcPr>
          <w:p w14:paraId="096124DA" w14:textId="77777777" w:rsidR="00131F22" w:rsidRPr="0094791F" w:rsidRDefault="00131F22" w:rsidP="00B87A8B"/>
        </w:tc>
        <w:tc>
          <w:tcPr>
            <w:tcW w:w="3600" w:type="dxa"/>
            <w:shd w:val="clear" w:color="auto" w:fill="auto"/>
          </w:tcPr>
          <w:p w14:paraId="6ECF790A" w14:textId="77777777" w:rsidR="00131F22" w:rsidRPr="0094791F" w:rsidRDefault="00131F22" w:rsidP="00AF743B">
            <w:pPr>
              <w:jc w:val="both"/>
            </w:pPr>
            <w:r w:rsidRPr="0094791F">
              <w:t>Acute myocardial infarction (AMI)</w:t>
            </w:r>
          </w:p>
        </w:tc>
        <w:tc>
          <w:tcPr>
            <w:tcW w:w="2586" w:type="dxa"/>
            <w:shd w:val="clear" w:color="auto" w:fill="auto"/>
          </w:tcPr>
          <w:p w14:paraId="2863572A" w14:textId="4E2698C1" w:rsidR="00B8450C" w:rsidRPr="0094791F" w:rsidRDefault="00B8450C" w:rsidP="00AF743B">
            <w:pPr>
              <w:jc w:val="both"/>
            </w:pPr>
            <w:r w:rsidRPr="0094791F">
              <w:t>1:100 variable ratio</w:t>
            </w:r>
          </w:p>
        </w:tc>
        <w:tc>
          <w:tcPr>
            <w:tcW w:w="1047" w:type="dxa"/>
            <w:shd w:val="clear" w:color="auto" w:fill="auto"/>
          </w:tcPr>
          <w:p w14:paraId="0613BAB5" w14:textId="1CD7A419" w:rsidR="00B8450C" w:rsidRPr="0094791F" w:rsidRDefault="00B8450C" w:rsidP="00AF743B">
            <w:pPr>
              <w:jc w:val="both"/>
            </w:pPr>
            <w:r>
              <w:t>1.99</w:t>
            </w:r>
          </w:p>
        </w:tc>
      </w:tr>
      <w:tr w:rsidR="00B8450C" w:rsidRPr="0094791F" w14:paraId="067EA75F" w14:textId="77777777" w:rsidTr="00F32CA7">
        <w:trPr>
          <w:trHeight w:val="58"/>
        </w:trPr>
        <w:tc>
          <w:tcPr>
            <w:tcW w:w="2070" w:type="dxa"/>
            <w:vMerge/>
            <w:tcBorders>
              <w:bottom w:val="single" w:sz="4" w:space="0" w:color="auto"/>
            </w:tcBorders>
            <w:shd w:val="clear" w:color="auto" w:fill="auto"/>
            <w:vAlign w:val="center"/>
          </w:tcPr>
          <w:p w14:paraId="52AFA5F9" w14:textId="77777777" w:rsidR="00B8450C" w:rsidRPr="0094791F" w:rsidRDefault="00B8450C" w:rsidP="00B87A8B"/>
        </w:tc>
        <w:tc>
          <w:tcPr>
            <w:tcW w:w="3600" w:type="dxa"/>
            <w:tcBorders>
              <w:bottom w:val="single" w:sz="4" w:space="0" w:color="auto"/>
            </w:tcBorders>
            <w:shd w:val="clear" w:color="auto" w:fill="auto"/>
          </w:tcPr>
          <w:p w14:paraId="377F2856" w14:textId="58B4829A" w:rsidR="00B8450C" w:rsidRPr="0094791F" w:rsidRDefault="00B8450C" w:rsidP="0094791F">
            <w:pPr>
              <w:jc w:val="both"/>
            </w:pPr>
            <w:r w:rsidRPr="0094791F">
              <w:t>Heart failure</w:t>
            </w:r>
          </w:p>
        </w:tc>
        <w:tc>
          <w:tcPr>
            <w:tcW w:w="2586" w:type="dxa"/>
            <w:tcBorders>
              <w:bottom w:val="single" w:sz="4" w:space="0" w:color="auto"/>
            </w:tcBorders>
            <w:shd w:val="clear" w:color="auto" w:fill="auto"/>
          </w:tcPr>
          <w:p w14:paraId="243B2DC8" w14:textId="47790C2F" w:rsidR="00B8450C" w:rsidRPr="0094791F" w:rsidRDefault="00B8450C" w:rsidP="0094791F">
            <w:pPr>
              <w:jc w:val="both"/>
            </w:pPr>
            <w:r w:rsidRPr="0094791F">
              <w:t>1:100 variable ratio</w:t>
            </w:r>
          </w:p>
        </w:tc>
        <w:tc>
          <w:tcPr>
            <w:tcW w:w="1047" w:type="dxa"/>
            <w:tcBorders>
              <w:bottom w:val="single" w:sz="4" w:space="0" w:color="auto"/>
            </w:tcBorders>
            <w:shd w:val="clear" w:color="auto" w:fill="auto"/>
          </w:tcPr>
          <w:p w14:paraId="0D581086" w14:textId="35239921" w:rsidR="00B8450C" w:rsidRPr="0094791F" w:rsidRDefault="00B8450C" w:rsidP="0094791F">
            <w:pPr>
              <w:jc w:val="both"/>
            </w:pPr>
            <w:r>
              <w:t>1.50</w:t>
            </w:r>
          </w:p>
        </w:tc>
      </w:tr>
      <w:tr w:rsidR="00B8450C" w:rsidRPr="0094791F" w14:paraId="72049816" w14:textId="77777777" w:rsidTr="00F32CA7">
        <w:trPr>
          <w:trHeight w:val="288"/>
        </w:trPr>
        <w:tc>
          <w:tcPr>
            <w:tcW w:w="2070" w:type="dxa"/>
            <w:vMerge w:val="restart"/>
            <w:tcBorders>
              <w:top w:val="single" w:sz="4" w:space="0" w:color="auto"/>
              <w:bottom w:val="nil"/>
            </w:tcBorders>
            <w:shd w:val="clear" w:color="auto" w:fill="auto"/>
            <w:vAlign w:val="center"/>
          </w:tcPr>
          <w:p w14:paraId="6E38902F" w14:textId="09B8D122" w:rsidR="00B8450C" w:rsidRDefault="00B8450C" w:rsidP="00B87A8B">
            <w:r>
              <w:t>Blinded</w:t>
            </w:r>
          </w:p>
        </w:tc>
        <w:tc>
          <w:tcPr>
            <w:tcW w:w="3600" w:type="dxa"/>
            <w:tcBorders>
              <w:top w:val="single" w:sz="4" w:space="0" w:color="auto"/>
              <w:bottom w:val="nil"/>
            </w:tcBorders>
            <w:shd w:val="clear" w:color="auto" w:fill="auto"/>
          </w:tcPr>
          <w:p w14:paraId="0B00562F" w14:textId="0E152459" w:rsidR="00B8450C" w:rsidRPr="0094791F" w:rsidRDefault="00B8450C" w:rsidP="0094791F">
            <w:pPr>
              <w:jc w:val="both"/>
            </w:pPr>
            <w:r w:rsidRPr="0094791F">
              <w:t>Ischemic stroke</w:t>
            </w:r>
          </w:p>
        </w:tc>
        <w:tc>
          <w:tcPr>
            <w:tcW w:w="2586" w:type="dxa"/>
            <w:tcBorders>
              <w:top w:val="single" w:sz="4" w:space="0" w:color="auto"/>
              <w:bottom w:val="nil"/>
            </w:tcBorders>
            <w:shd w:val="clear" w:color="auto" w:fill="auto"/>
          </w:tcPr>
          <w:p w14:paraId="26F70D56" w14:textId="3C7EF982" w:rsidR="00B8450C" w:rsidRPr="0094791F" w:rsidRDefault="00B8450C" w:rsidP="0094791F">
            <w:pPr>
              <w:jc w:val="both"/>
            </w:pPr>
            <w:r w:rsidRPr="0094791F">
              <w:t>1:1 matching</w:t>
            </w:r>
            <w:r>
              <w:t>*</w:t>
            </w:r>
          </w:p>
        </w:tc>
        <w:tc>
          <w:tcPr>
            <w:tcW w:w="1047" w:type="dxa"/>
            <w:tcBorders>
              <w:top w:val="single" w:sz="4" w:space="0" w:color="auto"/>
              <w:bottom w:val="nil"/>
            </w:tcBorders>
            <w:shd w:val="clear" w:color="auto" w:fill="auto"/>
          </w:tcPr>
          <w:p w14:paraId="6EC761EC" w14:textId="5CED8C2F" w:rsidR="00B8450C" w:rsidRDefault="00B8450C" w:rsidP="0094791F">
            <w:pPr>
              <w:jc w:val="both"/>
            </w:pPr>
            <w:r>
              <w:t>1.82</w:t>
            </w:r>
          </w:p>
        </w:tc>
      </w:tr>
      <w:tr w:rsidR="00B8450C" w:rsidRPr="0094791F" w14:paraId="74EE72CA" w14:textId="5871E361" w:rsidTr="00F32CA7">
        <w:trPr>
          <w:trHeight w:val="288"/>
        </w:trPr>
        <w:tc>
          <w:tcPr>
            <w:tcW w:w="2070" w:type="dxa"/>
            <w:vMerge/>
            <w:tcBorders>
              <w:top w:val="nil"/>
              <w:bottom w:val="nil"/>
            </w:tcBorders>
            <w:shd w:val="clear" w:color="auto" w:fill="auto"/>
            <w:vAlign w:val="center"/>
          </w:tcPr>
          <w:p w14:paraId="23E21B4F" w14:textId="65019B89" w:rsidR="00B8450C" w:rsidRPr="0094791F" w:rsidRDefault="00B8450C" w:rsidP="00B87A8B"/>
        </w:tc>
        <w:tc>
          <w:tcPr>
            <w:tcW w:w="3600" w:type="dxa"/>
            <w:tcBorders>
              <w:top w:val="nil"/>
              <w:bottom w:val="nil"/>
            </w:tcBorders>
            <w:shd w:val="clear" w:color="auto" w:fill="auto"/>
          </w:tcPr>
          <w:p w14:paraId="583732F6" w14:textId="03105038" w:rsidR="00B8450C" w:rsidRPr="0094791F" w:rsidRDefault="00B8450C" w:rsidP="0094791F">
            <w:pPr>
              <w:jc w:val="both"/>
            </w:pPr>
            <w:r w:rsidRPr="0094791F">
              <w:t>Ischemic stroke</w:t>
            </w:r>
          </w:p>
        </w:tc>
        <w:tc>
          <w:tcPr>
            <w:tcW w:w="2586" w:type="dxa"/>
            <w:tcBorders>
              <w:top w:val="nil"/>
              <w:bottom w:val="nil"/>
            </w:tcBorders>
            <w:shd w:val="clear" w:color="auto" w:fill="auto"/>
          </w:tcPr>
          <w:p w14:paraId="633DD6C9" w14:textId="0DB884B5" w:rsidR="00B8450C" w:rsidRPr="0094791F" w:rsidRDefault="00B8450C" w:rsidP="0094791F">
            <w:pPr>
              <w:jc w:val="both"/>
            </w:pPr>
            <w:r w:rsidRPr="0094791F">
              <w:t>1:1 matching</w:t>
            </w:r>
          </w:p>
        </w:tc>
        <w:tc>
          <w:tcPr>
            <w:tcW w:w="1047" w:type="dxa"/>
            <w:tcBorders>
              <w:top w:val="nil"/>
              <w:bottom w:val="nil"/>
            </w:tcBorders>
            <w:shd w:val="clear" w:color="auto" w:fill="auto"/>
          </w:tcPr>
          <w:p w14:paraId="242CDFA0" w14:textId="2C19F00B" w:rsidR="00B8450C" w:rsidRPr="0094791F" w:rsidRDefault="00B8450C" w:rsidP="0094791F">
            <w:pPr>
              <w:jc w:val="both"/>
            </w:pPr>
            <w:r>
              <w:t>2.03</w:t>
            </w:r>
          </w:p>
        </w:tc>
      </w:tr>
      <w:tr w:rsidR="00B8450C" w:rsidRPr="0094791F" w14:paraId="475AF2BC" w14:textId="688BB95D" w:rsidTr="00F32CA7">
        <w:trPr>
          <w:trHeight w:val="288"/>
        </w:trPr>
        <w:tc>
          <w:tcPr>
            <w:tcW w:w="2070" w:type="dxa"/>
            <w:vMerge/>
            <w:tcBorders>
              <w:top w:val="nil"/>
              <w:bottom w:val="nil"/>
            </w:tcBorders>
            <w:shd w:val="clear" w:color="auto" w:fill="auto"/>
          </w:tcPr>
          <w:p w14:paraId="598ADE05" w14:textId="77777777" w:rsidR="00B8450C" w:rsidRPr="0094791F" w:rsidRDefault="00B8450C" w:rsidP="0094791F">
            <w:pPr>
              <w:jc w:val="both"/>
            </w:pPr>
          </w:p>
        </w:tc>
        <w:tc>
          <w:tcPr>
            <w:tcW w:w="3600" w:type="dxa"/>
            <w:tcBorders>
              <w:top w:val="nil"/>
              <w:bottom w:val="nil"/>
            </w:tcBorders>
            <w:shd w:val="clear" w:color="auto" w:fill="auto"/>
          </w:tcPr>
          <w:p w14:paraId="2DF906A7" w14:textId="343E6A90" w:rsidR="00B8450C" w:rsidRPr="0094791F" w:rsidRDefault="00B8450C" w:rsidP="0094791F">
            <w:pPr>
              <w:jc w:val="both"/>
            </w:pPr>
            <w:r w:rsidRPr="0094791F">
              <w:t>Hemorrhagic stroke</w:t>
            </w:r>
          </w:p>
        </w:tc>
        <w:tc>
          <w:tcPr>
            <w:tcW w:w="2586" w:type="dxa"/>
            <w:tcBorders>
              <w:top w:val="nil"/>
              <w:bottom w:val="nil"/>
            </w:tcBorders>
            <w:shd w:val="clear" w:color="auto" w:fill="auto"/>
          </w:tcPr>
          <w:p w14:paraId="177843D9" w14:textId="1A557DBE" w:rsidR="00B8450C" w:rsidRPr="0094791F" w:rsidRDefault="00B8450C" w:rsidP="0094791F">
            <w:pPr>
              <w:jc w:val="both"/>
            </w:pPr>
            <w:r w:rsidRPr="0094791F">
              <w:t>1:100 variable ratio</w:t>
            </w:r>
          </w:p>
        </w:tc>
        <w:tc>
          <w:tcPr>
            <w:tcW w:w="1047" w:type="dxa"/>
            <w:tcBorders>
              <w:top w:val="nil"/>
              <w:bottom w:val="nil"/>
            </w:tcBorders>
            <w:shd w:val="clear" w:color="auto" w:fill="auto"/>
          </w:tcPr>
          <w:p w14:paraId="5353267C" w14:textId="4C05870A" w:rsidR="00B8450C" w:rsidRPr="0094791F" w:rsidRDefault="00B8450C" w:rsidP="0094791F">
            <w:pPr>
              <w:jc w:val="both"/>
            </w:pPr>
            <w:r w:rsidRPr="004C5651">
              <w:t>∞</w:t>
            </w:r>
          </w:p>
        </w:tc>
      </w:tr>
      <w:tr w:rsidR="00B8450C" w:rsidRPr="0094791F" w14:paraId="5A4E41F0" w14:textId="37F84CFF" w:rsidTr="00F32CA7">
        <w:trPr>
          <w:trHeight w:val="288"/>
        </w:trPr>
        <w:tc>
          <w:tcPr>
            <w:tcW w:w="2070" w:type="dxa"/>
            <w:vMerge/>
            <w:tcBorders>
              <w:top w:val="nil"/>
              <w:bottom w:val="nil"/>
            </w:tcBorders>
            <w:shd w:val="clear" w:color="auto" w:fill="auto"/>
          </w:tcPr>
          <w:p w14:paraId="68C0CCF4" w14:textId="77777777" w:rsidR="00B8450C" w:rsidRPr="0094791F" w:rsidRDefault="00B8450C" w:rsidP="0094791F">
            <w:pPr>
              <w:jc w:val="both"/>
            </w:pPr>
          </w:p>
        </w:tc>
        <w:tc>
          <w:tcPr>
            <w:tcW w:w="3600" w:type="dxa"/>
            <w:tcBorders>
              <w:top w:val="nil"/>
              <w:bottom w:val="nil"/>
            </w:tcBorders>
            <w:shd w:val="clear" w:color="auto" w:fill="auto"/>
          </w:tcPr>
          <w:p w14:paraId="00A3BF18" w14:textId="3F743923" w:rsidR="00B8450C" w:rsidRPr="0094791F" w:rsidRDefault="00B8450C" w:rsidP="0094791F">
            <w:pPr>
              <w:jc w:val="both"/>
            </w:pPr>
            <w:r w:rsidRPr="0094791F">
              <w:t>Hemorrhagic stroke</w:t>
            </w:r>
          </w:p>
        </w:tc>
        <w:tc>
          <w:tcPr>
            <w:tcW w:w="2586" w:type="dxa"/>
            <w:tcBorders>
              <w:top w:val="nil"/>
              <w:bottom w:val="nil"/>
            </w:tcBorders>
            <w:shd w:val="clear" w:color="auto" w:fill="auto"/>
          </w:tcPr>
          <w:p w14:paraId="63FEC3C6" w14:textId="7AC7DD41" w:rsidR="00B8450C" w:rsidRPr="0094791F" w:rsidRDefault="00B8450C" w:rsidP="0094791F">
            <w:pPr>
              <w:jc w:val="both"/>
            </w:pPr>
            <w:r w:rsidRPr="0094791F">
              <w:t>1:1 matching</w:t>
            </w:r>
          </w:p>
        </w:tc>
        <w:tc>
          <w:tcPr>
            <w:tcW w:w="1047" w:type="dxa"/>
            <w:tcBorders>
              <w:top w:val="nil"/>
              <w:bottom w:val="nil"/>
            </w:tcBorders>
            <w:shd w:val="clear" w:color="auto" w:fill="auto"/>
          </w:tcPr>
          <w:p w14:paraId="4BAEA655" w14:textId="395F8391" w:rsidR="00B8450C" w:rsidRPr="0094791F" w:rsidRDefault="00B8450C" w:rsidP="0094791F">
            <w:pPr>
              <w:jc w:val="both"/>
            </w:pPr>
            <w:r w:rsidRPr="004C5651">
              <w:t>∞</w:t>
            </w:r>
          </w:p>
        </w:tc>
      </w:tr>
      <w:tr w:rsidR="00B8450C" w:rsidRPr="0094791F" w14:paraId="30E5647B" w14:textId="38EB8B5D" w:rsidTr="00F32CA7">
        <w:trPr>
          <w:trHeight w:val="64"/>
        </w:trPr>
        <w:tc>
          <w:tcPr>
            <w:tcW w:w="2070" w:type="dxa"/>
            <w:vMerge/>
            <w:tcBorders>
              <w:top w:val="nil"/>
              <w:bottom w:val="nil"/>
            </w:tcBorders>
            <w:shd w:val="clear" w:color="auto" w:fill="auto"/>
          </w:tcPr>
          <w:p w14:paraId="27CD59C0" w14:textId="77777777" w:rsidR="00B8450C" w:rsidRPr="0094791F" w:rsidRDefault="00B8450C" w:rsidP="0094791F">
            <w:pPr>
              <w:jc w:val="both"/>
            </w:pPr>
          </w:p>
        </w:tc>
        <w:tc>
          <w:tcPr>
            <w:tcW w:w="3600" w:type="dxa"/>
            <w:tcBorders>
              <w:top w:val="nil"/>
              <w:bottom w:val="nil"/>
            </w:tcBorders>
            <w:shd w:val="clear" w:color="auto" w:fill="auto"/>
          </w:tcPr>
          <w:p w14:paraId="154B046A" w14:textId="70207249" w:rsidR="00B8450C" w:rsidRPr="0094791F" w:rsidRDefault="00B8450C" w:rsidP="0094791F">
            <w:pPr>
              <w:jc w:val="both"/>
            </w:pPr>
            <w:r w:rsidRPr="0094791F">
              <w:t>Sudden cardiac death</w:t>
            </w:r>
          </w:p>
        </w:tc>
        <w:tc>
          <w:tcPr>
            <w:tcW w:w="2586" w:type="dxa"/>
            <w:tcBorders>
              <w:top w:val="nil"/>
              <w:bottom w:val="nil"/>
            </w:tcBorders>
            <w:shd w:val="clear" w:color="auto" w:fill="auto"/>
          </w:tcPr>
          <w:p w14:paraId="547F10F9" w14:textId="1F0E96B6" w:rsidR="00B8450C" w:rsidRPr="0094791F" w:rsidRDefault="00B8450C" w:rsidP="0094791F">
            <w:pPr>
              <w:jc w:val="both"/>
            </w:pPr>
            <w:r w:rsidRPr="0094791F">
              <w:t>1:100 variable ratio</w:t>
            </w:r>
          </w:p>
        </w:tc>
        <w:tc>
          <w:tcPr>
            <w:tcW w:w="1047" w:type="dxa"/>
            <w:tcBorders>
              <w:top w:val="nil"/>
              <w:bottom w:val="nil"/>
            </w:tcBorders>
            <w:shd w:val="clear" w:color="auto" w:fill="auto"/>
          </w:tcPr>
          <w:p w14:paraId="3F4E4747" w14:textId="081FE488" w:rsidR="00B8450C" w:rsidRPr="0094791F" w:rsidRDefault="00B8450C" w:rsidP="0094791F">
            <w:pPr>
              <w:jc w:val="both"/>
            </w:pPr>
            <w:r>
              <w:t>2.41</w:t>
            </w:r>
          </w:p>
        </w:tc>
      </w:tr>
      <w:tr w:rsidR="00B8450C" w:rsidRPr="0094791F" w14:paraId="674F6E3A" w14:textId="39113620" w:rsidTr="00F32CA7">
        <w:trPr>
          <w:trHeight w:val="288"/>
        </w:trPr>
        <w:tc>
          <w:tcPr>
            <w:tcW w:w="2070" w:type="dxa"/>
            <w:vMerge/>
            <w:tcBorders>
              <w:top w:val="nil"/>
              <w:bottom w:val="single" w:sz="4" w:space="0" w:color="auto"/>
            </w:tcBorders>
            <w:shd w:val="clear" w:color="auto" w:fill="auto"/>
          </w:tcPr>
          <w:p w14:paraId="6584BC4A" w14:textId="77777777" w:rsidR="00B8450C" w:rsidRPr="0094791F" w:rsidRDefault="00B8450C" w:rsidP="0094791F">
            <w:pPr>
              <w:jc w:val="both"/>
            </w:pPr>
          </w:p>
        </w:tc>
        <w:tc>
          <w:tcPr>
            <w:tcW w:w="3600" w:type="dxa"/>
            <w:tcBorders>
              <w:top w:val="nil"/>
              <w:bottom w:val="single" w:sz="4" w:space="0" w:color="auto"/>
            </w:tcBorders>
            <w:shd w:val="clear" w:color="auto" w:fill="auto"/>
          </w:tcPr>
          <w:p w14:paraId="49BAACA4" w14:textId="0BF8DEB7" w:rsidR="00B8450C" w:rsidRPr="0094791F" w:rsidRDefault="00B8450C" w:rsidP="0094791F">
            <w:pPr>
              <w:jc w:val="both"/>
            </w:pPr>
            <w:r w:rsidRPr="0094791F">
              <w:t>Sudden cardiac death</w:t>
            </w:r>
          </w:p>
        </w:tc>
        <w:tc>
          <w:tcPr>
            <w:tcW w:w="2586" w:type="dxa"/>
            <w:tcBorders>
              <w:top w:val="nil"/>
              <w:bottom w:val="single" w:sz="4" w:space="0" w:color="auto"/>
            </w:tcBorders>
            <w:shd w:val="clear" w:color="auto" w:fill="auto"/>
          </w:tcPr>
          <w:p w14:paraId="0703F18F" w14:textId="2BA9250E" w:rsidR="00B8450C" w:rsidRPr="0094791F" w:rsidRDefault="00B8450C" w:rsidP="0094791F">
            <w:pPr>
              <w:jc w:val="both"/>
            </w:pPr>
            <w:r w:rsidRPr="0094791F">
              <w:t>1:1 matching</w:t>
            </w:r>
          </w:p>
        </w:tc>
        <w:tc>
          <w:tcPr>
            <w:tcW w:w="1047" w:type="dxa"/>
            <w:tcBorders>
              <w:top w:val="nil"/>
              <w:bottom w:val="single" w:sz="4" w:space="0" w:color="auto"/>
            </w:tcBorders>
            <w:shd w:val="clear" w:color="auto" w:fill="auto"/>
          </w:tcPr>
          <w:p w14:paraId="64564077" w14:textId="6EC887C6" w:rsidR="00B8450C" w:rsidRPr="0094791F" w:rsidRDefault="00B8450C" w:rsidP="0094791F">
            <w:pPr>
              <w:jc w:val="both"/>
            </w:pPr>
            <w:r>
              <w:t>2.48</w:t>
            </w:r>
          </w:p>
        </w:tc>
      </w:tr>
    </w:tbl>
    <w:bookmarkEnd w:id="46"/>
    <w:p w14:paraId="3471A434" w14:textId="49D8B453" w:rsidR="00BF1C4B" w:rsidRPr="00EB0627" w:rsidRDefault="00EB0627" w:rsidP="00D2616E">
      <w:pPr>
        <w:spacing w:after="240" w:line="264" w:lineRule="auto"/>
        <w:ind w:left="180" w:hanging="180"/>
        <w:jc w:val="both"/>
        <w:rPr>
          <w:sz w:val="22"/>
          <w:szCs w:val="22"/>
        </w:rPr>
      </w:pPr>
      <w:r w:rsidRPr="00EB0627">
        <w:rPr>
          <w:sz w:val="22"/>
          <w:szCs w:val="22"/>
        </w:rPr>
        <w:t xml:space="preserve">* </w:t>
      </w:r>
      <w:r w:rsidR="00B8450C">
        <w:rPr>
          <w:sz w:val="22"/>
          <w:szCs w:val="22"/>
        </w:rPr>
        <w:t>Only</w:t>
      </w:r>
      <w:r w:rsidRPr="00EB0627">
        <w:rPr>
          <w:sz w:val="22"/>
          <w:szCs w:val="22"/>
        </w:rPr>
        <w:t xml:space="preserve"> one analysis that employed a 1:1 propensity-score matching ratio was recommended for unblinding</w:t>
      </w:r>
      <w:r w:rsidR="00B8450C">
        <w:rPr>
          <w:sz w:val="22"/>
          <w:szCs w:val="22"/>
        </w:rPr>
        <w:t xml:space="preserve"> and its corresponding 1:100 variable ratio matching analysis was also recommended for unblinding.  </w:t>
      </w:r>
      <w:proofErr w:type="gramStart"/>
      <w:r w:rsidR="00B8450C">
        <w:rPr>
          <w:sz w:val="22"/>
          <w:szCs w:val="22"/>
        </w:rPr>
        <w:t>Thus</w:t>
      </w:r>
      <w:proofErr w:type="gramEnd"/>
      <w:r w:rsidR="00B8450C">
        <w:rPr>
          <w:sz w:val="22"/>
          <w:szCs w:val="22"/>
        </w:rPr>
        <w:t xml:space="preserve"> we chose not to unblind the 1:1 matched analysis for ischemic stroke.</w:t>
      </w:r>
    </w:p>
    <w:p w14:paraId="0003C5ED" w14:textId="77777777" w:rsidR="00EB0627" w:rsidRPr="00FE52E3" w:rsidRDefault="00EB0627" w:rsidP="00922AF2">
      <w:pPr>
        <w:spacing w:after="240" w:line="264" w:lineRule="auto"/>
        <w:jc w:val="both"/>
      </w:pPr>
    </w:p>
    <w:p w14:paraId="584BA6A8" w14:textId="3E44EE4A" w:rsidR="00970C9E" w:rsidRPr="00922AF2" w:rsidRDefault="00970C9E" w:rsidP="00922AF2">
      <w:pPr>
        <w:pStyle w:val="Heading1"/>
        <w:rPr>
          <w:sz w:val="28"/>
          <w:szCs w:val="28"/>
        </w:rPr>
      </w:pPr>
      <w:bookmarkStart w:id="47" w:name="_Toc31186745"/>
      <w:bookmarkStart w:id="48" w:name="_Toc31186871"/>
      <w:bookmarkStart w:id="49" w:name="_Toc31186995"/>
      <w:bookmarkStart w:id="50" w:name="_Toc31189770"/>
      <w:bookmarkStart w:id="51" w:name="_Toc31189899"/>
      <w:bookmarkStart w:id="52" w:name="_Toc31190027"/>
      <w:bookmarkStart w:id="53" w:name="_Toc31190155"/>
      <w:bookmarkStart w:id="54" w:name="_Toc31231183"/>
      <w:bookmarkStart w:id="55" w:name="_Toc31186746"/>
      <w:bookmarkStart w:id="56" w:name="_Toc31186872"/>
      <w:bookmarkStart w:id="57" w:name="_Toc31186996"/>
      <w:bookmarkStart w:id="58" w:name="_Toc31189771"/>
      <w:bookmarkStart w:id="59" w:name="_Toc31189900"/>
      <w:bookmarkStart w:id="60" w:name="_Toc31190028"/>
      <w:bookmarkStart w:id="61" w:name="_Toc31190156"/>
      <w:bookmarkStart w:id="62" w:name="_Toc31231184"/>
      <w:bookmarkStart w:id="63" w:name="_Toc31186747"/>
      <w:bookmarkStart w:id="64" w:name="_Toc31186873"/>
      <w:bookmarkStart w:id="65" w:name="_Toc31186997"/>
      <w:bookmarkStart w:id="66" w:name="_Toc31189772"/>
      <w:bookmarkStart w:id="67" w:name="_Toc31189901"/>
      <w:bookmarkStart w:id="68" w:name="_Toc31190029"/>
      <w:bookmarkStart w:id="69" w:name="_Toc31190157"/>
      <w:bookmarkStart w:id="70" w:name="_Toc31231185"/>
      <w:bookmarkStart w:id="71" w:name="_Toc31186748"/>
      <w:bookmarkStart w:id="72" w:name="_Toc31186874"/>
      <w:bookmarkStart w:id="73" w:name="_Toc31186998"/>
      <w:bookmarkStart w:id="74" w:name="_Toc31189773"/>
      <w:bookmarkStart w:id="75" w:name="_Toc31189902"/>
      <w:bookmarkStart w:id="76" w:name="_Toc31190030"/>
      <w:bookmarkStart w:id="77" w:name="_Toc31190158"/>
      <w:bookmarkStart w:id="78" w:name="_Toc31231186"/>
      <w:bookmarkStart w:id="79" w:name="_Toc31186749"/>
      <w:bookmarkStart w:id="80" w:name="_Toc31186875"/>
      <w:bookmarkStart w:id="81" w:name="_Toc31186999"/>
      <w:bookmarkStart w:id="82" w:name="_Toc31189774"/>
      <w:bookmarkStart w:id="83" w:name="_Toc31189903"/>
      <w:bookmarkStart w:id="84" w:name="_Toc31190031"/>
      <w:bookmarkStart w:id="85" w:name="_Toc31190159"/>
      <w:bookmarkStart w:id="86" w:name="_Toc31231187"/>
      <w:bookmarkStart w:id="87" w:name="_Toc31186750"/>
      <w:bookmarkStart w:id="88" w:name="_Toc31186876"/>
      <w:bookmarkStart w:id="89" w:name="_Toc31187000"/>
      <w:bookmarkStart w:id="90" w:name="_Toc31189775"/>
      <w:bookmarkStart w:id="91" w:name="_Toc31189904"/>
      <w:bookmarkStart w:id="92" w:name="_Toc31190032"/>
      <w:bookmarkStart w:id="93" w:name="_Toc31190160"/>
      <w:bookmarkStart w:id="94" w:name="_Toc31231188"/>
      <w:bookmarkStart w:id="95" w:name="_Toc31186751"/>
      <w:bookmarkStart w:id="96" w:name="_Toc31186877"/>
      <w:bookmarkStart w:id="97" w:name="_Toc31187001"/>
      <w:bookmarkStart w:id="98" w:name="_Toc31189776"/>
      <w:bookmarkStart w:id="99" w:name="_Toc31189905"/>
      <w:bookmarkStart w:id="100" w:name="_Toc31190033"/>
      <w:bookmarkStart w:id="101" w:name="_Toc31190161"/>
      <w:bookmarkStart w:id="102" w:name="_Toc31231189"/>
      <w:bookmarkStart w:id="103" w:name="_Toc31186752"/>
      <w:bookmarkStart w:id="104" w:name="_Toc31186878"/>
      <w:bookmarkStart w:id="105" w:name="_Toc31187002"/>
      <w:bookmarkStart w:id="106" w:name="_Toc31189777"/>
      <w:bookmarkStart w:id="107" w:name="_Toc31189906"/>
      <w:bookmarkStart w:id="108" w:name="_Toc31190034"/>
      <w:bookmarkStart w:id="109" w:name="_Toc31190162"/>
      <w:bookmarkStart w:id="110" w:name="_Toc31231190"/>
      <w:bookmarkStart w:id="111" w:name="_Toc31186753"/>
      <w:bookmarkStart w:id="112" w:name="_Toc31186879"/>
      <w:bookmarkStart w:id="113" w:name="_Toc31187003"/>
      <w:bookmarkStart w:id="114" w:name="_Toc31189778"/>
      <w:bookmarkStart w:id="115" w:name="_Toc31189907"/>
      <w:bookmarkStart w:id="116" w:name="_Toc31190035"/>
      <w:bookmarkStart w:id="117" w:name="_Toc31190163"/>
      <w:bookmarkStart w:id="118" w:name="_Toc31231191"/>
      <w:bookmarkStart w:id="119" w:name="_Toc31186754"/>
      <w:bookmarkStart w:id="120" w:name="_Toc31186880"/>
      <w:bookmarkStart w:id="121" w:name="_Toc31187004"/>
      <w:bookmarkStart w:id="122" w:name="_Toc31189779"/>
      <w:bookmarkStart w:id="123" w:name="_Toc31189908"/>
      <w:bookmarkStart w:id="124" w:name="_Toc31190036"/>
      <w:bookmarkStart w:id="125" w:name="_Toc31190164"/>
      <w:bookmarkStart w:id="126" w:name="_Toc31231192"/>
      <w:bookmarkStart w:id="127" w:name="_Toc31186755"/>
      <w:bookmarkStart w:id="128" w:name="_Toc31186881"/>
      <w:bookmarkStart w:id="129" w:name="_Toc31187005"/>
      <w:bookmarkStart w:id="130" w:name="_Toc31189780"/>
      <w:bookmarkStart w:id="131" w:name="_Toc31189909"/>
      <w:bookmarkStart w:id="132" w:name="_Toc31190037"/>
      <w:bookmarkStart w:id="133" w:name="_Toc31190165"/>
      <w:bookmarkStart w:id="134" w:name="_Toc31231193"/>
      <w:bookmarkStart w:id="135" w:name="_Toc31186756"/>
      <w:bookmarkStart w:id="136" w:name="_Toc31186882"/>
      <w:bookmarkStart w:id="137" w:name="_Toc31187006"/>
      <w:bookmarkStart w:id="138" w:name="_Toc31189781"/>
      <w:bookmarkStart w:id="139" w:name="_Toc31189910"/>
      <w:bookmarkStart w:id="140" w:name="_Toc31190038"/>
      <w:bookmarkStart w:id="141" w:name="_Toc31190166"/>
      <w:bookmarkStart w:id="142" w:name="_Toc31231194"/>
      <w:bookmarkStart w:id="143" w:name="_Toc31186757"/>
      <w:bookmarkStart w:id="144" w:name="_Toc31186883"/>
      <w:bookmarkStart w:id="145" w:name="_Toc31187007"/>
      <w:bookmarkStart w:id="146" w:name="_Toc31189782"/>
      <w:bookmarkStart w:id="147" w:name="_Toc31189911"/>
      <w:bookmarkStart w:id="148" w:name="_Toc31190039"/>
      <w:bookmarkStart w:id="149" w:name="_Toc31190167"/>
      <w:bookmarkStart w:id="150" w:name="_Toc31231195"/>
      <w:bookmarkStart w:id="151" w:name="_Toc31186758"/>
      <w:bookmarkStart w:id="152" w:name="_Toc31186884"/>
      <w:bookmarkStart w:id="153" w:name="_Toc31187008"/>
      <w:bookmarkStart w:id="154" w:name="_Toc31189783"/>
      <w:bookmarkStart w:id="155" w:name="_Toc31189912"/>
      <w:bookmarkStart w:id="156" w:name="_Toc31190040"/>
      <w:bookmarkStart w:id="157" w:name="_Toc31190168"/>
      <w:bookmarkStart w:id="158" w:name="_Toc31186759"/>
      <w:bookmarkStart w:id="159" w:name="_Toc31186885"/>
      <w:bookmarkStart w:id="160" w:name="_Toc31187009"/>
      <w:bookmarkStart w:id="161" w:name="_Toc31189784"/>
      <w:bookmarkStart w:id="162" w:name="_Toc31189913"/>
      <w:bookmarkStart w:id="163" w:name="_Toc31190041"/>
      <w:bookmarkStart w:id="164" w:name="_Toc31190169"/>
      <w:bookmarkStart w:id="165" w:name="_Toc31231197"/>
      <w:bookmarkStart w:id="166" w:name="_Toc31186760"/>
      <w:bookmarkStart w:id="167" w:name="_Toc31186886"/>
      <w:bookmarkStart w:id="168" w:name="_Toc31187010"/>
      <w:bookmarkStart w:id="169" w:name="_Toc31189785"/>
      <w:bookmarkStart w:id="170" w:name="_Toc31189914"/>
      <w:bookmarkStart w:id="171" w:name="_Toc31190042"/>
      <w:bookmarkStart w:id="172" w:name="_Toc31190170"/>
      <w:bookmarkStart w:id="173" w:name="_Toc31231198"/>
      <w:bookmarkStart w:id="174" w:name="_Toc31186762"/>
      <w:bookmarkStart w:id="175" w:name="_Toc31186888"/>
      <w:bookmarkStart w:id="176" w:name="_Toc31187012"/>
      <w:bookmarkStart w:id="177" w:name="_Toc31189787"/>
      <w:bookmarkStart w:id="178" w:name="_Toc31189916"/>
      <w:bookmarkStart w:id="179" w:name="_Toc31190044"/>
      <w:bookmarkStart w:id="180" w:name="_Toc31190172"/>
      <w:bookmarkStart w:id="181" w:name="_Toc31231200"/>
      <w:bookmarkStart w:id="182" w:name="_Toc31186763"/>
      <w:bookmarkStart w:id="183" w:name="_Toc31186889"/>
      <w:bookmarkStart w:id="184" w:name="_Toc31187013"/>
      <w:bookmarkStart w:id="185" w:name="_Toc31189788"/>
      <w:bookmarkStart w:id="186" w:name="_Toc31189917"/>
      <w:bookmarkStart w:id="187" w:name="_Toc31190045"/>
      <w:bookmarkStart w:id="188" w:name="_Toc31190173"/>
      <w:bookmarkStart w:id="189" w:name="_Toc31231201"/>
      <w:bookmarkStart w:id="190" w:name="_Toc31186765"/>
      <w:bookmarkStart w:id="191" w:name="_Toc31186891"/>
      <w:bookmarkStart w:id="192" w:name="_Toc31187015"/>
      <w:bookmarkStart w:id="193" w:name="_Toc31189790"/>
      <w:bookmarkStart w:id="194" w:name="_Toc31189919"/>
      <w:bookmarkStart w:id="195" w:name="_Toc31190047"/>
      <w:bookmarkStart w:id="196" w:name="_Toc31190175"/>
      <w:bookmarkStart w:id="197" w:name="_Toc31231203"/>
      <w:bookmarkStart w:id="198" w:name="_Toc31186766"/>
      <w:bookmarkStart w:id="199" w:name="_Toc31186892"/>
      <w:bookmarkStart w:id="200" w:name="_Toc31187016"/>
      <w:bookmarkStart w:id="201" w:name="_Toc31189791"/>
      <w:bookmarkStart w:id="202" w:name="_Toc31189920"/>
      <w:bookmarkStart w:id="203" w:name="_Toc31190048"/>
      <w:bookmarkStart w:id="204" w:name="_Toc31190176"/>
      <w:bookmarkStart w:id="205" w:name="_Toc31231204"/>
      <w:bookmarkStart w:id="206" w:name="_Toc31186768"/>
      <w:bookmarkStart w:id="207" w:name="_Toc31186894"/>
      <w:bookmarkStart w:id="208" w:name="_Toc31187018"/>
      <w:bookmarkStart w:id="209" w:name="_Toc31189793"/>
      <w:bookmarkStart w:id="210" w:name="_Toc31189922"/>
      <w:bookmarkStart w:id="211" w:name="_Toc31190050"/>
      <w:bookmarkStart w:id="212" w:name="_Toc31190178"/>
      <w:bookmarkStart w:id="213" w:name="_Toc31231206"/>
      <w:bookmarkStart w:id="214" w:name="_Toc31186769"/>
      <w:bookmarkStart w:id="215" w:name="_Toc31186895"/>
      <w:bookmarkStart w:id="216" w:name="_Toc31187019"/>
      <w:bookmarkStart w:id="217" w:name="_Toc31189794"/>
      <w:bookmarkStart w:id="218" w:name="_Toc31189923"/>
      <w:bookmarkStart w:id="219" w:name="_Toc31190051"/>
      <w:bookmarkStart w:id="220" w:name="_Toc31190179"/>
      <w:bookmarkStart w:id="221" w:name="_Toc31231207"/>
      <w:bookmarkStart w:id="222" w:name="_Toc31186771"/>
      <w:bookmarkStart w:id="223" w:name="_Toc31186897"/>
      <w:bookmarkStart w:id="224" w:name="_Toc31187021"/>
      <w:bookmarkStart w:id="225" w:name="_Toc31189796"/>
      <w:bookmarkStart w:id="226" w:name="_Toc31189925"/>
      <w:bookmarkStart w:id="227" w:name="_Toc31190053"/>
      <w:bookmarkStart w:id="228" w:name="_Toc31190181"/>
      <w:bookmarkStart w:id="229" w:name="_Toc31231209"/>
      <w:bookmarkStart w:id="230" w:name="_Toc31186772"/>
      <w:bookmarkStart w:id="231" w:name="_Toc31186898"/>
      <w:bookmarkStart w:id="232" w:name="_Toc31187022"/>
      <w:bookmarkStart w:id="233" w:name="_Toc31189797"/>
      <w:bookmarkStart w:id="234" w:name="_Toc31189926"/>
      <w:bookmarkStart w:id="235" w:name="_Toc31190054"/>
      <w:bookmarkStart w:id="236" w:name="_Toc31190182"/>
      <w:bookmarkStart w:id="237" w:name="_Toc31231210"/>
      <w:bookmarkStart w:id="238" w:name="_Toc31186774"/>
      <w:bookmarkStart w:id="239" w:name="_Toc31186900"/>
      <w:bookmarkStart w:id="240" w:name="_Toc31187024"/>
      <w:bookmarkStart w:id="241" w:name="_Toc31189799"/>
      <w:bookmarkStart w:id="242" w:name="_Toc31189928"/>
      <w:bookmarkStart w:id="243" w:name="_Toc31190056"/>
      <w:bookmarkStart w:id="244" w:name="_Toc31190184"/>
      <w:bookmarkStart w:id="245" w:name="_Toc31231212"/>
      <w:bookmarkStart w:id="246" w:name="_Toc31186775"/>
      <w:bookmarkStart w:id="247" w:name="_Toc31186901"/>
      <w:bookmarkStart w:id="248" w:name="_Toc31187025"/>
      <w:bookmarkStart w:id="249" w:name="_Toc31189800"/>
      <w:bookmarkStart w:id="250" w:name="_Toc31189929"/>
      <w:bookmarkStart w:id="251" w:name="_Toc31190057"/>
      <w:bookmarkStart w:id="252" w:name="_Toc31190185"/>
      <w:bookmarkStart w:id="253" w:name="_Toc31231213"/>
      <w:bookmarkStart w:id="254" w:name="_Toc31186777"/>
      <w:bookmarkStart w:id="255" w:name="_Toc31186903"/>
      <w:bookmarkStart w:id="256" w:name="_Toc31187027"/>
      <w:bookmarkStart w:id="257" w:name="_Toc31189802"/>
      <w:bookmarkStart w:id="258" w:name="_Toc31189931"/>
      <w:bookmarkStart w:id="259" w:name="_Toc31190059"/>
      <w:bookmarkStart w:id="260" w:name="_Toc31190187"/>
      <w:bookmarkStart w:id="261" w:name="_Toc31231215"/>
      <w:bookmarkStart w:id="262" w:name="_Toc31186778"/>
      <w:bookmarkStart w:id="263" w:name="_Toc31186904"/>
      <w:bookmarkStart w:id="264" w:name="_Toc31187028"/>
      <w:bookmarkStart w:id="265" w:name="_Toc31189803"/>
      <w:bookmarkStart w:id="266" w:name="_Toc31189932"/>
      <w:bookmarkStart w:id="267" w:name="_Toc31190060"/>
      <w:bookmarkStart w:id="268" w:name="_Toc31190188"/>
      <w:bookmarkStart w:id="269" w:name="_Toc31231216"/>
      <w:bookmarkStart w:id="270" w:name="_Toc31186780"/>
      <w:bookmarkStart w:id="271" w:name="_Toc31186906"/>
      <w:bookmarkStart w:id="272" w:name="_Toc31187030"/>
      <w:bookmarkStart w:id="273" w:name="_Toc31189805"/>
      <w:bookmarkStart w:id="274" w:name="_Toc31189934"/>
      <w:bookmarkStart w:id="275" w:name="_Toc31190062"/>
      <w:bookmarkStart w:id="276" w:name="_Toc31190190"/>
      <w:bookmarkStart w:id="277" w:name="_Toc31231218"/>
      <w:bookmarkStart w:id="278" w:name="_Toc31186781"/>
      <w:bookmarkStart w:id="279" w:name="_Toc31186907"/>
      <w:bookmarkStart w:id="280" w:name="_Toc31187031"/>
      <w:bookmarkStart w:id="281" w:name="_Toc31189806"/>
      <w:bookmarkStart w:id="282" w:name="_Toc31189935"/>
      <w:bookmarkStart w:id="283" w:name="_Toc31190063"/>
      <w:bookmarkStart w:id="284" w:name="_Toc31190191"/>
      <w:bookmarkStart w:id="285" w:name="_Toc31231219"/>
      <w:bookmarkStart w:id="286" w:name="_Toc31186783"/>
      <w:bookmarkStart w:id="287" w:name="_Toc31186909"/>
      <w:bookmarkStart w:id="288" w:name="_Toc31187033"/>
      <w:bookmarkStart w:id="289" w:name="_Toc31189808"/>
      <w:bookmarkStart w:id="290" w:name="_Toc31189937"/>
      <w:bookmarkStart w:id="291" w:name="_Toc31190065"/>
      <w:bookmarkStart w:id="292" w:name="_Toc31190193"/>
      <w:bookmarkStart w:id="293" w:name="_Toc31231221"/>
      <w:bookmarkStart w:id="294" w:name="_Toc31186784"/>
      <w:bookmarkStart w:id="295" w:name="_Toc31186910"/>
      <w:bookmarkStart w:id="296" w:name="_Toc31187034"/>
      <w:bookmarkStart w:id="297" w:name="_Toc31189809"/>
      <w:bookmarkStart w:id="298" w:name="_Toc31189938"/>
      <w:bookmarkStart w:id="299" w:name="_Toc31190066"/>
      <w:bookmarkStart w:id="300" w:name="_Toc31190194"/>
      <w:bookmarkStart w:id="301" w:name="_Toc31231222"/>
      <w:bookmarkStart w:id="302" w:name="_Toc31186786"/>
      <w:bookmarkStart w:id="303" w:name="_Toc31186912"/>
      <w:bookmarkStart w:id="304" w:name="_Toc31187036"/>
      <w:bookmarkStart w:id="305" w:name="_Toc31189811"/>
      <w:bookmarkStart w:id="306" w:name="_Toc31189940"/>
      <w:bookmarkStart w:id="307" w:name="_Toc31190068"/>
      <w:bookmarkStart w:id="308" w:name="_Toc31190196"/>
      <w:bookmarkStart w:id="309" w:name="_Toc31231224"/>
      <w:bookmarkStart w:id="310" w:name="_Toc31186787"/>
      <w:bookmarkStart w:id="311" w:name="_Toc31186913"/>
      <w:bookmarkStart w:id="312" w:name="_Toc31187037"/>
      <w:bookmarkStart w:id="313" w:name="_Toc31189812"/>
      <w:bookmarkStart w:id="314" w:name="_Toc31189941"/>
      <w:bookmarkStart w:id="315" w:name="_Toc31190069"/>
      <w:bookmarkStart w:id="316" w:name="_Toc31190197"/>
      <w:bookmarkStart w:id="317" w:name="_Toc31231225"/>
      <w:bookmarkStart w:id="318" w:name="_Toc31186789"/>
      <w:bookmarkStart w:id="319" w:name="_Toc31186915"/>
      <w:bookmarkStart w:id="320" w:name="_Toc31187039"/>
      <w:bookmarkStart w:id="321" w:name="_Toc31189814"/>
      <w:bookmarkStart w:id="322" w:name="_Toc31189943"/>
      <w:bookmarkStart w:id="323" w:name="_Toc31190071"/>
      <w:bookmarkStart w:id="324" w:name="_Toc31190199"/>
      <w:bookmarkStart w:id="325" w:name="_Toc31231227"/>
      <w:bookmarkStart w:id="326" w:name="_Toc31186790"/>
      <w:bookmarkStart w:id="327" w:name="_Toc31186916"/>
      <w:bookmarkStart w:id="328" w:name="_Toc31187040"/>
      <w:bookmarkStart w:id="329" w:name="_Toc31189815"/>
      <w:bookmarkStart w:id="330" w:name="_Toc31189944"/>
      <w:bookmarkStart w:id="331" w:name="_Toc31190072"/>
      <w:bookmarkStart w:id="332" w:name="_Toc31190200"/>
      <w:bookmarkStart w:id="333" w:name="_Toc31231228"/>
      <w:bookmarkStart w:id="334" w:name="_Toc31186791"/>
      <w:bookmarkStart w:id="335" w:name="_Toc31186917"/>
      <w:bookmarkStart w:id="336" w:name="_Toc31187041"/>
      <w:bookmarkStart w:id="337" w:name="_Toc31189816"/>
      <w:bookmarkStart w:id="338" w:name="_Toc31189945"/>
      <w:bookmarkStart w:id="339" w:name="_Toc31190073"/>
      <w:bookmarkStart w:id="340" w:name="_Toc31190201"/>
      <w:bookmarkStart w:id="341" w:name="_Toc31231229"/>
      <w:bookmarkStart w:id="342" w:name="_Toc31186792"/>
      <w:bookmarkStart w:id="343" w:name="_Toc31186918"/>
      <w:bookmarkStart w:id="344" w:name="_Toc31187042"/>
      <w:bookmarkStart w:id="345" w:name="_Toc31189817"/>
      <w:bookmarkStart w:id="346" w:name="_Toc31189946"/>
      <w:bookmarkStart w:id="347" w:name="_Toc31190074"/>
      <w:bookmarkStart w:id="348" w:name="_Toc31190202"/>
      <w:bookmarkStart w:id="349" w:name="_Toc31231230"/>
      <w:bookmarkStart w:id="350" w:name="_Toc31186793"/>
      <w:bookmarkStart w:id="351" w:name="_Toc31186919"/>
      <w:bookmarkStart w:id="352" w:name="_Toc31187043"/>
      <w:bookmarkStart w:id="353" w:name="_Toc31189818"/>
      <w:bookmarkStart w:id="354" w:name="_Toc31189947"/>
      <w:bookmarkStart w:id="355" w:name="_Toc31190075"/>
      <w:bookmarkStart w:id="356" w:name="_Toc31190203"/>
      <w:bookmarkStart w:id="357" w:name="_Toc31231231"/>
      <w:bookmarkStart w:id="358" w:name="_Toc31186795"/>
      <w:bookmarkStart w:id="359" w:name="_Toc31186921"/>
      <w:bookmarkStart w:id="360" w:name="_Toc31187045"/>
      <w:bookmarkStart w:id="361" w:name="_Toc31189820"/>
      <w:bookmarkStart w:id="362" w:name="_Toc31189949"/>
      <w:bookmarkStart w:id="363" w:name="_Toc31190077"/>
      <w:bookmarkStart w:id="364" w:name="_Toc31190205"/>
      <w:bookmarkStart w:id="365" w:name="_Toc31231233"/>
      <w:bookmarkStart w:id="366" w:name="_Toc31186796"/>
      <w:bookmarkStart w:id="367" w:name="_Toc31186922"/>
      <w:bookmarkStart w:id="368" w:name="_Toc31187046"/>
      <w:bookmarkStart w:id="369" w:name="_Toc31189821"/>
      <w:bookmarkStart w:id="370" w:name="_Toc31189950"/>
      <w:bookmarkStart w:id="371" w:name="_Toc31190078"/>
      <w:bookmarkStart w:id="372" w:name="_Toc31190206"/>
      <w:bookmarkStart w:id="373" w:name="_Toc31231234"/>
      <w:bookmarkStart w:id="374" w:name="_Toc31186798"/>
      <w:bookmarkStart w:id="375" w:name="_Toc31186924"/>
      <w:bookmarkStart w:id="376" w:name="_Toc31187048"/>
      <w:bookmarkStart w:id="377" w:name="_Toc31189823"/>
      <w:bookmarkStart w:id="378" w:name="_Toc31189952"/>
      <w:bookmarkStart w:id="379" w:name="_Toc31190080"/>
      <w:bookmarkStart w:id="380" w:name="_Toc31190208"/>
      <w:bookmarkStart w:id="381" w:name="_Toc31231236"/>
      <w:bookmarkStart w:id="382" w:name="_Toc31186799"/>
      <w:bookmarkStart w:id="383" w:name="_Toc31186925"/>
      <w:bookmarkStart w:id="384" w:name="_Toc31187049"/>
      <w:bookmarkStart w:id="385" w:name="_Toc31189824"/>
      <w:bookmarkStart w:id="386" w:name="_Toc31189953"/>
      <w:bookmarkStart w:id="387" w:name="_Toc31190081"/>
      <w:bookmarkStart w:id="388" w:name="_Toc31190209"/>
      <w:bookmarkStart w:id="389" w:name="_Toc31231237"/>
      <w:bookmarkStart w:id="390" w:name="_Toc31186801"/>
      <w:bookmarkStart w:id="391" w:name="_Toc31186927"/>
      <w:bookmarkStart w:id="392" w:name="_Toc31187051"/>
      <w:bookmarkStart w:id="393" w:name="_Toc31189826"/>
      <w:bookmarkStart w:id="394" w:name="_Toc31189955"/>
      <w:bookmarkStart w:id="395" w:name="_Toc31190083"/>
      <w:bookmarkStart w:id="396" w:name="_Toc31190211"/>
      <w:bookmarkStart w:id="397" w:name="_Toc31231239"/>
      <w:bookmarkStart w:id="398" w:name="_Toc31186802"/>
      <w:bookmarkStart w:id="399" w:name="_Toc31186928"/>
      <w:bookmarkStart w:id="400" w:name="_Toc31187052"/>
      <w:bookmarkStart w:id="401" w:name="_Toc31189827"/>
      <w:bookmarkStart w:id="402" w:name="_Toc31189956"/>
      <w:bookmarkStart w:id="403" w:name="_Toc31190084"/>
      <w:bookmarkStart w:id="404" w:name="_Toc31190212"/>
      <w:bookmarkStart w:id="405" w:name="_Toc31231240"/>
      <w:bookmarkStart w:id="406" w:name="_Toc31186803"/>
      <w:bookmarkStart w:id="407" w:name="_Toc31186929"/>
      <w:bookmarkStart w:id="408" w:name="_Toc31187053"/>
      <w:bookmarkStart w:id="409" w:name="_Toc31189828"/>
      <w:bookmarkStart w:id="410" w:name="_Toc31189957"/>
      <w:bookmarkStart w:id="411" w:name="_Toc31190085"/>
      <w:bookmarkStart w:id="412" w:name="_Toc31190213"/>
      <w:bookmarkStart w:id="413" w:name="_Toc31231241"/>
      <w:bookmarkStart w:id="414" w:name="_Toc31186804"/>
      <w:bookmarkStart w:id="415" w:name="_Toc31186930"/>
      <w:bookmarkStart w:id="416" w:name="_Toc31187054"/>
      <w:bookmarkStart w:id="417" w:name="_Toc31189829"/>
      <w:bookmarkStart w:id="418" w:name="_Toc31189958"/>
      <w:bookmarkStart w:id="419" w:name="_Toc31190086"/>
      <w:bookmarkStart w:id="420" w:name="_Toc31190214"/>
      <w:bookmarkStart w:id="421" w:name="_Toc31231242"/>
      <w:bookmarkStart w:id="422" w:name="_Toc31186806"/>
      <w:bookmarkStart w:id="423" w:name="_Toc31186932"/>
      <w:bookmarkStart w:id="424" w:name="_Toc31187056"/>
      <w:bookmarkStart w:id="425" w:name="_Toc31189831"/>
      <w:bookmarkStart w:id="426" w:name="_Toc31189960"/>
      <w:bookmarkStart w:id="427" w:name="_Toc31190088"/>
      <w:bookmarkStart w:id="428" w:name="_Toc31190216"/>
      <w:bookmarkStart w:id="429" w:name="_Toc31231244"/>
      <w:bookmarkStart w:id="430" w:name="_Toc31186807"/>
      <w:bookmarkStart w:id="431" w:name="_Toc31186933"/>
      <w:bookmarkStart w:id="432" w:name="_Toc31187057"/>
      <w:bookmarkStart w:id="433" w:name="_Toc31189832"/>
      <w:bookmarkStart w:id="434" w:name="_Toc31189961"/>
      <w:bookmarkStart w:id="435" w:name="_Toc31190089"/>
      <w:bookmarkStart w:id="436" w:name="_Toc31190217"/>
      <w:bookmarkStart w:id="437" w:name="_Toc31231245"/>
      <w:bookmarkStart w:id="438" w:name="_Toc31186809"/>
      <w:bookmarkStart w:id="439" w:name="_Toc31186935"/>
      <w:bookmarkStart w:id="440" w:name="_Toc31187059"/>
      <w:bookmarkStart w:id="441" w:name="_Toc31189834"/>
      <w:bookmarkStart w:id="442" w:name="_Toc31189963"/>
      <w:bookmarkStart w:id="443" w:name="_Toc31190091"/>
      <w:bookmarkStart w:id="444" w:name="_Toc31190219"/>
      <w:bookmarkStart w:id="445" w:name="_Toc31231247"/>
      <w:bookmarkStart w:id="446" w:name="_Toc31186810"/>
      <w:bookmarkStart w:id="447" w:name="_Toc31186936"/>
      <w:bookmarkStart w:id="448" w:name="_Toc31187060"/>
      <w:bookmarkStart w:id="449" w:name="_Toc31189835"/>
      <w:bookmarkStart w:id="450" w:name="_Toc31189964"/>
      <w:bookmarkStart w:id="451" w:name="_Toc31190092"/>
      <w:bookmarkStart w:id="452" w:name="_Toc31190220"/>
      <w:bookmarkStart w:id="453" w:name="_Toc31231248"/>
      <w:bookmarkStart w:id="454" w:name="_Toc31186812"/>
      <w:bookmarkStart w:id="455" w:name="_Toc31186938"/>
      <w:bookmarkStart w:id="456" w:name="_Toc31187062"/>
      <w:bookmarkStart w:id="457" w:name="_Toc31189837"/>
      <w:bookmarkStart w:id="458" w:name="_Toc31189966"/>
      <w:bookmarkStart w:id="459" w:name="_Toc31190094"/>
      <w:bookmarkStart w:id="460" w:name="_Toc31190222"/>
      <w:bookmarkStart w:id="461" w:name="_Toc31231250"/>
      <w:bookmarkStart w:id="462" w:name="_Toc31186813"/>
      <w:bookmarkStart w:id="463" w:name="_Toc31186939"/>
      <w:bookmarkStart w:id="464" w:name="_Toc31187063"/>
      <w:bookmarkStart w:id="465" w:name="_Toc31189838"/>
      <w:bookmarkStart w:id="466" w:name="_Toc31189967"/>
      <w:bookmarkStart w:id="467" w:name="_Toc31190095"/>
      <w:bookmarkStart w:id="468" w:name="_Toc31190223"/>
      <w:bookmarkStart w:id="469" w:name="_Toc31231251"/>
      <w:bookmarkStart w:id="470" w:name="_Toc31186814"/>
      <w:bookmarkStart w:id="471" w:name="_Toc31186940"/>
      <w:bookmarkStart w:id="472" w:name="_Toc31187064"/>
      <w:bookmarkStart w:id="473" w:name="_Toc31189839"/>
      <w:bookmarkStart w:id="474" w:name="_Toc31189968"/>
      <w:bookmarkStart w:id="475" w:name="_Toc31190096"/>
      <w:bookmarkStart w:id="476" w:name="_Toc31190224"/>
      <w:bookmarkStart w:id="477" w:name="_Toc31231252"/>
      <w:bookmarkStart w:id="478" w:name="_Toc31186815"/>
      <w:bookmarkStart w:id="479" w:name="_Toc31186941"/>
      <w:bookmarkStart w:id="480" w:name="_Toc31187065"/>
      <w:bookmarkStart w:id="481" w:name="_Toc31189840"/>
      <w:bookmarkStart w:id="482" w:name="_Toc31189969"/>
      <w:bookmarkStart w:id="483" w:name="_Toc31190097"/>
      <w:bookmarkStart w:id="484" w:name="_Toc31190225"/>
      <w:bookmarkStart w:id="485" w:name="_Toc31231253"/>
      <w:bookmarkStart w:id="486" w:name="_Toc31186817"/>
      <w:bookmarkStart w:id="487" w:name="_Toc31186943"/>
      <w:bookmarkStart w:id="488" w:name="_Toc31187067"/>
      <w:bookmarkStart w:id="489" w:name="_Toc31189842"/>
      <w:bookmarkStart w:id="490" w:name="_Toc31189971"/>
      <w:bookmarkStart w:id="491" w:name="_Toc31190099"/>
      <w:bookmarkStart w:id="492" w:name="_Toc31190227"/>
      <w:bookmarkStart w:id="493" w:name="_Toc31231255"/>
      <w:bookmarkStart w:id="494" w:name="_Toc31186818"/>
      <w:bookmarkStart w:id="495" w:name="_Toc31186944"/>
      <w:bookmarkStart w:id="496" w:name="_Toc31187068"/>
      <w:bookmarkStart w:id="497" w:name="_Toc31189843"/>
      <w:bookmarkStart w:id="498" w:name="_Toc31189972"/>
      <w:bookmarkStart w:id="499" w:name="_Toc31190100"/>
      <w:bookmarkStart w:id="500" w:name="_Toc31190228"/>
      <w:bookmarkStart w:id="501" w:name="_Toc31231256"/>
      <w:bookmarkStart w:id="502" w:name="_Toc31186820"/>
      <w:bookmarkStart w:id="503" w:name="_Toc31186946"/>
      <w:bookmarkStart w:id="504" w:name="_Toc31187070"/>
      <w:bookmarkStart w:id="505" w:name="_Toc31189845"/>
      <w:bookmarkStart w:id="506" w:name="_Toc31189974"/>
      <w:bookmarkStart w:id="507" w:name="_Toc31190102"/>
      <w:bookmarkStart w:id="508" w:name="_Toc31190230"/>
      <w:bookmarkStart w:id="509" w:name="_Toc31231258"/>
      <w:bookmarkStart w:id="510" w:name="_Toc31186821"/>
      <w:bookmarkStart w:id="511" w:name="_Toc31186947"/>
      <w:bookmarkStart w:id="512" w:name="_Toc31187071"/>
      <w:bookmarkStart w:id="513" w:name="_Toc31189846"/>
      <w:bookmarkStart w:id="514" w:name="_Toc31189975"/>
      <w:bookmarkStart w:id="515" w:name="_Toc31190103"/>
      <w:bookmarkStart w:id="516" w:name="_Toc31190231"/>
      <w:bookmarkStart w:id="517" w:name="_Toc31231259"/>
      <w:bookmarkStart w:id="518" w:name="_Toc31186823"/>
      <w:bookmarkStart w:id="519" w:name="_Toc31186949"/>
      <w:bookmarkStart w:id="520" w:name="_Toc31187073"/>
      <w:bookmarkStart w:id="521" w:name="_Toc31189848"/>
      <w:bookmarkStart w:id="522" w:name="_Toc31189977"/>
      <w:bookmarkStart w:id="523" w:name="_Toc31190105"/>
      <w:bookmarkStart w:id="524" w:name="_Toc31190233"/>
      <w:bookmarkStart w:id="525" w:name="_Toc31231261"/>
      <w:bookmarkStart w:id="526" w:name="_Toc31186824"/>
      <w:bookmarkStart w:id="527" w:name="_Toc31186950"/>
      <w:bookmarkStart w:id="528" w:name="_Toc31187074"/>
      <w:bookmarkStart w:id="529" w:name="_Toc31189849"/>
      <w:bookmarkStart w:id="530" w:name="_Toc31189978"/>
      <w:bookmarkStart w:id="531" w:name="_Toc31190106"/>
      <w:bookmarkStart w:id="532" w:name="_Toc31190234"/>
      <w:bookmarkStart w:id="533" w:name="_Toc31231262"/>
      <w:bookmarkStart w:id="534" w:name="_Toc31186826"/>
      <w:bookmarkStart w:id="535" w:name="_Toc31186952"/>
      <w:bookmarkStart w:id="536" w:name="_Toc31187076"/>
      <w:bookmarkStart w:id="537" w:name="_Toc31189851"/>
      <w:bookmarkStart w:id="538" w:name="_Toc31189980"/>
      <w:bookmarkStart w:id="539" w:name="_Toc31190108"/>
      <w:bookmarkStart w:id="540" w:name="_Toc31190236"/>
      <w:bookmarkStart w:id="541" w:name="_Toc31231264"/>
      <w:bookmarkStart w:id="542" w:name="_Toc31186827"/>
      <w:bookmarkStart w:id="543" w:name="_Toc31186953"/>
      <w:bookmarkStart w:id="544" w:name="_Toc31187077"/>
      <w:bookmarkStart w:id="545" w:name="_Toc31189852"/>
      <w:bookmarkStart w:id="546" w:name="_Toc31189981"/>
      <w:bookmarkStart w:id="547" w:name="_Toc31190109"/>
      <w:bookmarkStart w:id="548" w:name="_Toc31190237"/>
      <w:bookmarkStart w:id="549" w:name="_Toc31231265"/>
      <w:bookmarkStart w:id="550" w:name="_Toc31186829"/>
      <w:bookmarkStart w:id="551" w:name="_Toc31186955"/>
      <w:bookmarkStart w:id="552" w:name="_Toc31187079"/>
      <w:bookmarkStart w:id="553" w:name="_Toc31189854"/>
      <w:bookmarkStart w:id="554" w:name="_Toc31189983"/>
      <w:bookmarkStart w:id="555" w:name="_Toc31190111"/>
      <w:bookmarkStart w:id="556" w:name="_Toc31190239"/>
      <w:bookmarkStart w:id="557" w:name="_Toc31231267"/>
      <w:bookmarkStart w:id="558" w:name="_Toc31186830"/>
      <w:bookmarkStart w:id="559" w:name="_Toc31186956"/>
      <w:bookmarkStart w:id="560" w:name="_Toc31187080"/>
      <w:bookmarkStart w:id="561" w:name="_Toc31189855"/>
      <w:bookmarkStart w:id="562" w:name="_Toc31189984"/>
      <w:bookmarkStart w:id="563" w:name="_Toc31190112"/>
      <w:bookmarkStart w:id="564" w:name="_Toc31190240"/>
      <w:bookmarkStart w:id="565" w:name="_Toc31231268"/>
      <w:bookmarkStart w:id="566" w:name="_Toc31186832"/>
      <w:bookmarkStart w:id="567" w:name="_Toc31186958"/>
      <w:bookmarkStart w:id="568" w:name="_Toc31187082"/>
      <w:bookmarkStart w:id="569" w:name="_Toc31189857"/>
      <w:bookmarkStart w:id="570" w:name="_Toc31189986"/>
      <w:bookmarkStart w:id="571" w:name="_Toc31190114"/>
      <w:bookmarkStart w:id="572" w:name="_Toc31190242"/>
      <w:bookmarkStart w:id="573" w:name="_Toc31231270"/>
      <w:bookmarkStart w:id="574" w:name="_Toc31186833"/>
      <w:bookmarkStart w:id="575" w:name="_Toc31186959"/>
      <w:bookmarkStart w:id="576" w:name="_Toc31187083"/>
      <w:bookmarkStart w:id="577" w:name="_Toc31189858"/>
      <w:bookmarkStart w:id="578" w:name="_Toc31189987"/>
      <w:bookmarkStart w:id="579" w:name="_Toc31190115"/>
      <w:bookmarkStart w:id="580" w:name="_Toc31190243"/>
      <w:bookmarkStart w:id="581" w:name="_Toc31231271"/>
      <w:bookmarkStart w:id="582" w:name="_Toc3561143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r w:rsidRPr="00922AF2">
        <w:rPr>
          <w:rFonts w:ascii="Times New Roman" w:hAnsi="Times New Roman"/>
          <w:sz w:val="28"/>
          <w:szCs w:val="28"/>
        </w:rPr>
        <w:t>STRengths and limitations of the research methods</w:t>
      </w:r>
      <w:bookmarkEnd w:id="582"/>
    </w:p>
    <w:p w14:paraId="26E09BA4" w14:textId="33E168CA" w:rsidR="00970C9E" w:rsidRPr="00B87A8B" w:rsidRDefault="00C17786" w:rsidP="00922AF2">
      <w:pPr>
        <w:pStyle w:val="Heading2"/>
        <w:rPr>
          <w:rFonts w:ascii="Times New Roman" w:hAnsi="Times New Roman"/>
        </w:rPr>
      </w:pPr>
      <w:bookmarkStart w:id="583" w:name="_Toc35611435"/>
      <w:r w:rsidRPr="00B87A8B">
        <w:rPr>
          <w:rFonts w:ascii="Times New Roman" w:hAnsi="Times New Roman"/>
        </w:rPr>
        <w:t>Strengths</w:t>
      </w:r>
      <w:bookmarkEnd w:id="583"/>
    </w:p>
    <w:p w14:paraId="11BFAF88" w14:textId="51AA13B0" w:rsidR="00970C9E" w:rsidRPr="007F34D9" w:rsidRDefault="00970C9E" w:rsidP="00F32CA7">
      <w:pPr>
        <w:pStyle w:val="BodyText12"/>
        <w:numPr>
          <w:ilvl w:val="0"/>
          <w:numId w:val="24"/>
        </w:numPr>
      </w:pPr>
      <w:r w:rsidRPr="007F34D9">
        <w:t>Use of large observational datasets that include a nation-wid</w:t>
      </w:r>
      <w:r w:rsidRPr="00FE52E3">
        <w:t>e sample of insured US adults and provide complementary perspectives about treatment utilization and effects within the US population.</w:t>
      </w:r>
      <w:r w:rsidR="002C107E">
        <w:t xml:space="preserve"> The outcomes we propose to study </w:t>
      </w:r>
      <w:r w:rsidR="00DB37C4">
        <w:t xml:space="preserve">are rare and it is unlikely that experimental or randomized research would have </w:t>
      </w:r>
      <w:proofErr w:type="gramStart"/>
      <w:r w:rsidR="00DB37C4">
        <w:t>sufficient</w:t>
      </w:r>
      <w:proofErr w:type="gramEnd"/>
      <w:r w:rsidR="00DB37C4">
        <w:t xml:space="preserve"> statistical power to meaningfully study them. </w:t>
      </w:r>
    </w:p>
    <w:p w14:paraId="01BDBCCB" w14:textId="7960A233" w:rsidR="00970C9E" w:rsidRPr="00FE52E3" w:rsidRDefault="00970C9E" w:rsidP="00F32CA7">
      <w:pPr>
        <w:pStyle w:val="BodyText12"/>
        <w:numPr>
          <w:ilvl w:val="0"/>
          <w:numId w:val="24"/>
        </w:numPr>
      </w:pPr>
      <w:r w:rsidRPr="00FE52E3">
        <w:t xml:space="preserve">Cohort studies allow direct estimation of incidence rates following exposure of interest, and the new-user design can capture early events following </w:t>
      </w:r>
      <w:r w:rsidR="00DB6443" w:rsidRPr="00FE52E3">
        <w:t xml:space="preserve">initiation of </w:t>
      </w:r>
      <w:r w:rsidRPr="00FE52E3">
        <w:t>treatment</w:t>
      </w:r>
      <w:r w:rsidR="00DB6443" w:rsidRPr="00FE52E3">
        <w:t>. By aligning the start of follow-up at the point of treatment initiation for both the target exposure and the comparator exposure, the new user design prevents bias that can result from comparing populations that differ with respect to the time they’ve been on the treatment. Anchoring the index date on treatment initiation</w:t>
      </w:r>
      <w:r w:rsidRPr="00FE52E3">
        <w:t xml:space="preserve"> </w:t>
      </w:r>
      <w:r w:rsidR="00DB6443" w:rsidRPr="00FE52E3">
        <w:t>also clarifies the temporal distinction between potentially confounding baseline variables (e.g. comorbid conditions) which precede treatment and variables that are the result of treatment (which may be mediators of the causal effects being studied and should not be included in adjustment.</w:t>
      </w:r>
    </w:p>
    <w:p w14:paraId="670056B0" w14:textId="5E6EA0BE" w:rsidR="00970C9E" w:rsidRPr="00FE52E3" w:rsidRDefault="00970C9E" w:rsidP="00F32CA7">
      <w:pPr>
        <w:pStyle w:val="BodyText12"/>
        <w:numPr>
          <w:ilvl w:val="0"/>
          <w:numId w:val="24"/>
        </w:numPr>
      </w:pPr>
      <w:r w:rsidRPr="00FE52E3">
        <w:t>Propensity score adjustment allows balancing on many baseline potential confounders</w:t>
      </w:r>
      <w:r w:rsidR="00DB6443" w:rsidRPr="00FE52E3">
        <w:t>. In this study, the outcomes of interest are rare and controlling for confounding by modeling the relationship between covariates and outcomes would result in a substantial loss in statistical power. Propensity score methods are a better analytical choice since they allow for confounding to be controlled by modeling the relationships between covariates and exposures.</w:t>
      </w:r>
    </w:p>
    <w:p w14:paraId="107A0329" w14:textId="7B3B8ABC" w:rsidR="00970C9E" w:rsidRPr="00FE52E3" w:rsidRDefault="00970C9E" w:rsidP="00F32CA7">
      <w:pPr>
        <w:pStyle w:val="BodyText12"/>
        <w:numPr>
          <w:ilvl w:val="0"/>
          <w:numId w:val="24"/>
        </w:numPr>
      </w:pPr>
      <w:r w:rsidRPr="00FE52E3">
        <w:t>The use of a set of negative control outcomes allows for estimation of residual bias inherent to the study design and data.</w:t>
      </w:r>
      <w:r w:rsidR="00E46160" w:rsidRPr="00FE52E3">
        <w:t xml:space="preserve"> By using the distribution of error observed in the </w:t>
      </w:r>
      <w:r w:rsidR="00DB37C4">
        <w:t xml:space="preserve">estimates produced by analyses of the </w:t>
      </w:r>
      <w:r w:rsidR="00E46160" w:rsidRPr="007F34D9">
        <w:t>192 negative control analyses</w:t>
      </w:r>
      <w:r w:rsidR="00E46160" w:rsidRPr="00FE52E3">
        <w:t xml:space="preserve">, we seek to correct (or recalibrate) effect estimates and confidence intervals, </w:t>
      </w:r>
      <w:proofErr w:type="gramStart"/>
      <w:r w:rsidR="00E46160" w:rsidRPr="00FE52E3">
        <w:t>taking into account</w:t>
      </w:r>
      <w:proofErr w:type="gramEnd"/>
      <w:r w:rsidR="00E46160" w:rsidRPr="00FE52E3">
        <w:t xml:space="preserve"> random and non-random sources of bias.</w:t>
      </w:r>
    </w:p>
    <w:p w14:paraId="5B678E48" w14:textId="3A4DC265" w:rsidR="00970C9E" w:rsidRPr="00B87A8B" w:rsidRDefault="00970C9E" w:rsidP="00922AF2">
      <w:pPr>
        <w:pStyle w:val="Heading2"/>
        <w:rPr>
          <w:rFonts w:ascii="Times New Roman" w:hAnsi="Times New Roman"/>
        </w:rPr>
      </w:pPr>
      <w:bookmarkStart w:id="584" w:name="_Toc35611436"/>
      <w:r w:rsidRPr="00B87A8B">
        <w:rPr>
          <w:rFonts w:ascii="Times New Roman" w:hAnsi="Times New Roman"/>
        </w:rPr>
        <w:t>Limitations</w:t>
      </w:r>
      <w:bookmarkEnd w:id="584"/>
    </w:p>
    <w:p w14:paraId="7F2F8501" w14:textId="65F082C4" w:rsidR="00E46160" w:rsidRPr="00FE52E3" w:rsidRDefault="00E46160" w:rsidP="00F32CA7">
      <w:pPr>
        <w:pStyle w:val="BodyText12"/>
        <w:numPr>
          <w:ilvl w:val="0"/>
          <w:numId w:val="25"/>
        </w:numPr>
      </w:pPr>
      <w:r w:rsidRPr="007F34D9">
        <w:t xml:space="preserve">The study will be subject to the limitation that some confounders may be unmeasured or inadequately represented </w:t>
      </w:r>
      <w:r w:rsidRPr="00FE52E3">
        <w:t>in claims data, including weight, smoking status, many clinical measurements, frailty, and lifestyle behaviors, such as diet and exercise. Adjustment by propensity score may not completely remove bias due to unmeasured or mis</w:t>
      </w:r>
      <w:r w:rsidR="000512F6">
        <w:t>-</w:t>
      </w:r>
      <w:r w:rsidRPr="00FE52E3">
        <w:t xml:space="preserve">specified </w:t>
      </w:r>
      <w:r w:rsidRPr="00FE52E3">
        <w:lastRenderedPageBreak/>
        <w:t>confounder</w:t>
      </w:r>
      <w:r w:rsidR="00F52F01" w:rsidRPr="00FE52E3">
        <w:t>s.</w:t>
      </w:r>
      <w:r w:rsidR="00AB2CC3">
        <w:t xml:space="preserve"> However, this study compares two treatments (abiraterone and enzalutamide) which are prescribed to patients with similar clinical conditions and disease stage</w:t>
      </w:r>
      <w:r w:rsidR="00E506AF">
        <w:t>. Using an active comparator reduces the likelihood that these potential confounders are imbalanced and bias estimates</w:t>
      </w:r>
      <w:r w:rsidR="006B546E">
        <w:t xml:space="preserve"> (</w:t>
      </w:r>
      <w:proofErr w:type="spellStart"/>
      <w:r w:rsidR="006B546E">
        <w:t>Schneeweiss</w:t>
      </w:r>
      <w:proofErr w:type="spellEnd"/>
      <w:r w:rsidR="006B546E">
        <w:t xml:space="preserve"> et al., 2007).</w:t>
      </w:r>
      <w:r w:rsidR="00E506AF">
        <w:t xml:space="preserve"> </w:t>
      </w:r>
    </w:p>
    <w:p w14:paraId="27F57818" w14:textId="2E4A4823" w:rsidR="00870C73" w:rsidRPr="007F34D9" w:rsidRDefault="00BE775A" w:rsidP="00F32CA7">
      <w:pPr>
        <w:pStyle w:val="BodyText12"/>
        <w:numPr>
          <w:ilvl w:val="0"/>
          <w:numId w:val="25"/>
        </w:numPr>
      </w:pPr>
      <w:r w:rsidRPr="00FE52E3">
        <w:t xml:space="preserve">Informative right-censoring over time may mean differences in outcome observed later in follow-up are </w:t>
      </w:r>
      <w:proofErr w:type="gramStart"/>
      <w:r w:rsidRPr="00FE52E3">
        <w:t>actually the</w:t>
      </w:r>
      <w:proofErr w:type="gramEnd"/>
      <w:r w:rsidRPr="00FE52E3">
        <w:t xml:space="preserve"> result of imbalance between the patients in each exposure group who remain in the analysis. </w:t>
      </w:r>
      <w:r w:rsidR="00870C73" w:rsidRPr="00FE52E3">
        <w:t xml:space="preserve">As implemented in this new-user study design, propensity score matching produces a study population which is balanced at baseline on various confounders that preceded the index date. However, informative censoring of follow-up time is possible, meaning confounders may become imbalanced over the course of the study due to patients being lost to follow-up. While analytic strategies are available to address this problem (e.g. </w:t>
      </w:r>
      <w:proofErr w:type="gramStart"/>
      <w:r w:rsidRPr="00FE52E3">
        <w:t>inverse-probability</w:t>
      </w:r>
      <w:proofErr w:type="gramEnd"/>
      <w:r w:rsidRPr="00FE52E3">
        <w:t xml:space="preserve"> of censoring weights) we have not employed them here.</w:t>
      </w:r>
      <w:r w:rsidR="00DB37C4">
        <w:t xml:space="preserve"> </w:t>
      </w:r>
    </w:p>
    <w:p w14:paraId="78D9D08C" w14:textId="778B9F94" w:rsidR="00CF4FA5" w:rsidRPr="00FE52E3" w:rsidRDefault="00CF4FA5" w:rsidP="00F32CA7">
      <w:pPr>
        <w:pStyle w:val="BodyText12"/>
        <w:numPr>
          <w:ilvl w:val="0"/>
          <w:numId w:val="25"/>
        </w:numPr>
      </w:pPr>
      <w:r w:rsidRPr="007F34D9">
        <w:t>In</w:t>
      </w:r>
      <w:r w:rsidRPr="00FE52E3">
        <w:t xml:space="preserve"> any observational study of secondary-health databases, misclassification of the outcome is an important concern. Non-differential outcome misclassification (i.e. misclassification that does not differ between the two exposure groups being compared) will bias results towards the null while differential outcome misclassification could bias estimates in any direction. In this instance, we study serious acute medical events which are likely to be recorded in administrative claims data and electronic medical record. However, sensitivity and specificity of outcome ascertainment in database analyses is rarely perfect.</w:t>
      </w:r>
      <w:r w:rsidR="00C32D29" w:rsidRPr="00FE52E3">
        <w:t xml:space="preserve"> In these analyses</w:t>
      </w:r>
      <w:r w:rsidR="00734FD3" w:rsidRPr="00FE52E3">
        <w:t xml:space="preserve">, we exclude any patients who had the outcome of interest before exposure initiation. However, it is possible that outcomes observed during follow-up (e.g. </w:t>
      </w:r>
      <w:r w:rsidR="00922AF2">
        <w:t>heart failure</w:t>
      </w:r>
      <w:r w:rsidR="00734FD3" w:rsidRPr="00FE52E3">
        <w:t xml:space="preserve">) were </w:t>
      </w:r>
      <w:proofErr w:type="gramStart"/>
      <w:r w:rsidR="00734FD3" w:rsidRPr="00FE52E3">
        <w:t>actually present</w:t>
      </w:r>
      <w:proofErr w:type="gramEnd"/>
      <w:r w:rsidR="00734FD3" w:rsidRPr="00FE52E3">
        <w:t xml:space="preserve"> before exposure was initiated and just not observed in the available pre-exposure data.</w:t>
      </w:r>
    </w:p>
    <w:p w14:paraId="38280BF5" w14:textId="56D5900A" w:rsidR="00C32D29" w:rsidRPr="00FE52E3" w:rsidRDefault="00CF4FA5" w:rsidP="00F32CA7">
      <w:pPr>
        <w:pStyle w:val="BodyText12"/>
        <w:numPr>
          <w:ilvl w:val="0"/>
          <w:numId w:val="25"/>
        </w:numPr>
      </w:pPr>
      <w:r w:rsidRPr="00FE52E3">
        <w:t>We know a priori that we substantially under-ascertain the outcome of sudden cardiac death.</w:t>
      </w:r>
      <w:r w:rsidR="00C32D29" w:rsidRPr="00FE52E3">
        <w:t xml:space="preserve"> Both the IBM databases (CCAE and MDCR) only capture </w:t>
      </w:r>
      <w:r w:rsidR="00C32D29" w:rsidRPr="00FE52E3">
        <w:rPr>
          <w:szCs w:val="24"/>
        </w:rPr>
        <w:t xml:space="preserve">mortality that occurs </w:t>
      </w:r>
      <w:proofErr w:type="gramStart"/>
      <w:r w:rsidR="00C32D29" w:rsidRPr="00FE52E3">
        <w:rPr>
          <w:szCs w:val="24"/>
        </w:rPr>
        <w:t>during the course of</w:t>
      </w:r>
      <w:proofErr w:type="gramEnd"/>
      <w:r w:rsidR="00C32D29" w:rsidRPr="00FE52E3">
        <w:rPr>
          <w:szCs w:val="24"/>
        </w:rPr>
        <w:t xml:space="preserve"> an inpatient hospitalization. Mortality outside of the inpatient setting is not noted and simply results in disenrollment from the database. In the Optum DOD database, death outside of the inpatient setting is ascertained from the Social Security Administration’s Death Master File (DMF). It is important to note that there were important changes in the accuracy of the DMF pre-post 2011.  One study </w:t>
      </w:r>
      <w:r w:rsidR="00C32D29" w:rsidRPr="007F34D9">
        <w:rPr>
          <w:szCs w:val="24"/>
        </w:rPr>
        <w:t xml:space="preserve">found that the DMF </w:t>
      </w:r>
      <w:r w:rsidR="00C32D29" w:rsidRPr="00FE52E3">
        <w:rPr>
          <w:szCs w:val="24"/>
        </w:rPr>
        <w:t>ascertained in-hospital mortality with a sensitivity of 71.4% before 2011 and 28.9% post-2011</w:t>
      </w:r>
      <w:r w:rsidR="006B546E">
        <w:rPr>
          <w:szCs w:val="24"/>
        </w:rPr>
        <w:t xml:space="preserve"> (Levin, 2019).</w:t>
      </w:r>
      <w:r w:rsidR="00C32D29" w:rsidRPr="00FE52E3">
        <w:t xml:space="preserve"> </w:t>
      </w:r>
      <w:r w:rsidR="00870C73" w:rsidRPr="00FE52E3">
        <w:t>Even if a meaningful effect of these exposures on the outcome sudden cardiac death does exist, under-ascertainment of the outcome has the potential to bias the result to the null. Thus, we plan to interpret any null findings from that analysis with appropriate caution.</w:t>
      </w:r>
    </w:p>
    <w:p w14:paraId="2E2AC00D" w14:textId="41C9304F" w:rsidR="00870C73" w:rsidRPr="00FE52E3" w:rsidRDefault="00870C73" w:rsidP="00F32CA7">
      <w:pPr>
        <w:pStyle w:val="BodyText12"/>
        <w:numPr>
          <w:ilvl w:val="0"/>
          <w:numId w:val="25"/>
        </w:numPr>
      </w:pPr>
      <w:r w:rsidRPr="00FE52E3">
        <w:t xml:space="preserve">Causality between drug exposure and any given event cannot be drawn for individual cases. These analyses </w:t>
      </w:r>
      <w:r w:rsidR="00DB37C4">
        <w:t>are intended</w:t>
      </w:r>
      <w:r w:rsidRPr="007F34D9">
        <w:t xml:space="preserve"> to </w:t>
      </w:r>
      <w:r w:rsidR="00DB37C4">
        <w:t>estimate</w:t>
      </w:r>
      <w:r w:rsidRPr="007F34D9">
        <w:t xml:space="preserve"> the average </w:t>
      </w:r>
      <w:r w:rsidR="00F52F01" w:rsidRPr="00FE52E3">
        <w:t>effect of exposure</w:t>
      </w:r>
      <w:r w:rsidR="00DB37C4">
        <w:t xml:space="preserve"> (abiraterone vs. enzalutamide)</w:t>
      </w:r>
      <w:r w:rsidR="00F52F01" w:rsidRPr="007F34D9">
        <w:t xml:space="preserve"> among those who were treated with abiraterone</w:t>
      </w:r>
      <w:r w:rsidR="00F52F01" w:rsidRPr="00FE52E3">
        <w:t xml:space="preserve"> (i.e. the average population-level effect in the treated).</w:t>
      </w:r>
    </w:p>
    <w:p w14:paraId="3DA01A4E" w14:textId="77777777" w:rsidR="00762F22" w:rsidRDefault="00B045A1" w:rsidP="00F32CA7">
      <w:pPr>
        <w:pStyle w:val="BodyText12"/>
        <w:numPr>
          <w:ilvl w:val="0"/>
          <w:numId w:val="25"/>
        </w:numPr>
      </w:pPr>
      <w:r w:rsidRPr="00FE52E3">
        <w:lastRenderedPageBreak/>
        <w:t>In this analysis we impose no upper limit on the length of follow-up, meaning that if a person does not experience one of the censoring events, their follow-up time will extend until the end of the database.  There are several implications to this design choice.</w:t>
      </w:r>
      <w:r w:rsidR="00762F22">
        <w:t xml:space="preserve"> </w:t>
      </w:r>
    </w:p>
    <w:p w14:paraId="3A279FF3" w14:textId="5A2E48FF" w:rsidR="00762F22" w:rsidRDefault="00762F22" w:rsidP="00F32CA7">
      <w:pPr>
        <w:pStyle w:val="BodyText12"/>
        <w:numPr>
          <w:ilvl w:val="1"/>
          <w:numId w:val="25"/>
        </w:numPr>
      </w:pPr>
      <w:r>
        <w:t>First, we may be concerned if we observe meaningfully different amounts of available follow-up in the database for the two drugs being compared (abiraterone and enzalutamide).  However, the initial diagnostics presented in the Shiny app do not seem to indicate a meaningful difference in the distribution of available follow-up time / time-at-risk.</w:t>
      </w:r>
    </w:p>
    <w:p w14:paraId="3FFE543B" w14:textId="4D76B4D5" w:rsidR="00B045A1" w:rsidRPr="00922AF2" w:rsidRDefault="00762F22" w:rsidP="00F32CA7">
      <w:pPr>
        <w:pStyle w:val="BodyText12"/>
        <w:numPr>
          <w:ilvl w:val="1"/>
          <w:numId w:val="25"/>
        </w:numPr>
      </w:pPr>
      <w:r>
        <w:t>Second</w:t>
      </w:r>
      <w:r w:rsidR="0040668A">
        <w:t>, we present a single estimate of the hazard ratio, which is averaged over the duration of follow-up. For the primary comparison</w:t>
      </w:r>
      <w:r w:rsidR="00384220">
        <w:t xml:space="preserve"> (i.e. not stratified by CVD risk factors)</w:t>
      </w:r>
      <w:r w:rsidR="0040668A">
        <w:t xml:space="preserve">, the maximum follow-up available was </w:t>
      </w:r>
      <w:r w:rsidR="0040668A">
        <w:rPr>
          <w:color w:val="000000"/>
          <w:shd w:val="clear" w:color="auto" w:fill="FFFFFF"/>
        </w:rPr>
        <w:t xml:space="preserve">2,410 days (6.6 years) in the intent-to-treat analysis and 2,006 days </w:t>
      </w:r>
      <w:r w:rsidR="0040668A" w:rsidRPr="00013C1D">
        <w:rPr>
          <w:color w:val="000000"/>
          <w:shd w:val="clear" w:color="auto" w:fill="FFFFFF"/>
        </w:rPr>
        <w:t>(5.5 years)</w:t>
      </w:r>
      <w:r w:rsidR="0040668A">
        <w:rPr>
          <w:color w:val="000000"/>
          <w:shd w:val="clear" w:color="auto" w:fill="FFFFFF"/>
        </w:rPr>
        <w:t xml:space="preserve"> in the as-treated analysis.</w:t>
      </w:r>
      <w:r w:rsidR="0040668A">
        <w:t xml:space="preserve">  </w:t>
      </w:r>
      <w:r w:rsidR="00384220">
        <w:t>However, in these analyses the median follow-up was 355 days (1.0 years) and 148 days (0.41 years), respectively</w:t>
      </w:r>
      <w:r w:rsidR="001C5AE8">
        <w:t>, indicating that half the cohort had less than a year of follow-up available in these analyses. As pointed out by Miguel Hernan, “</w:t>
      </w:r>
      <w:r w:rsidR="001C5AE8">
        <w:rPr>
          <w:color w:val="000000"/>
          <w:shd w:val="clear" w:color="auto" w:fill="FFFFFF"/>
        </w:rPr>
        <w:t>The magnitude of the average HR depends on the length of follow-up because the average HR ignores the distribution of events during the follow-up.”</w:t>
      </w:r>
      <w:r w:rsidR="006B546E">
        <w:rPr>
          <w:color w:val="000000"/>
          <w:shd w:val="clear" w:color="auto" w:fill="FFFFFF"/>
        </w:rPr>
        <w:t xml:space="preserve"> (</w:t>
      </w:r>
      <w:proofErr w:type="spellStart"/>
      <w:r w:rsidR="006B546E" w:rsidRPr="00013C1D">
        <w:t>Hernán</w:t>
      </w:r>
      <w:proofErr w:type="spellEnd"/>
      <w:r w:rsidR="006B546E">
        <w:t>, 2010).</w:t>
      </w:r>
      <w:r w:rsidR="006B546E">
        <w:rPr>
          <w:color w:val="000000"/>
          <w:shd w:val="clear" w:color="auto" w:fill="FFFFFF"/>
        </w:rPr>
        <w:t xml:space="preserve"> </w:t>
      </w:r>
      <w:r w:rsidR="001C5AE8">
        <w:rPr>
          <w:color w:val="000000"/>
          <w:shd w:val="clear" w:color="auto" w:fill="FFFFFF"/>
        </w:rPr>
        <w:t xml:space="preserve">  In order to address this short-coming, we also plan to consider Kaplan-Meier survival curves which, when fit with the appropriate confidence intervals, will allow us to explore whether the survival functions differ significantly from one another at any given point in follow-up. Sudden and/or dramatic changes in the separation of the survival curves over the course of follow-up will indicate that that the follow-up averaged hazard ratio estimate may be masking important heterogeneity in the effect over time. However, Kaplan-Meier curves suffer from their own limitations.  Specifically, </w:t>
      </w:r>
      <w:r>
        <w:rPr>
          <w:color w:val="000000"/>
          <w:shd w:val="clear" w:color="auto" w:fill="FFFFFF"/>
        </w:rPr>
        <w:t>a comparison of</w:t>
      </w:r>
      <w:r w:rsidR="001C5AE8">
        <w:rPr>
          <w:color w:val="000000"/>
          <w:shd w:val="clear" w:color="auto" w:fill="FFFFFF"/>
        </w:rPr>
        <w:t xml:space="preserve"> the survival probabilities at a given point in the Kaplan-Meier curve</w:t>
      </w:r>
      <w:r>
        <w:rPr>
          <w:color w:val="000000"/>
          <w:shd w:val="clear" w:color="auto" w:fill="FFFFFF"/>
        </w:rPr>
        <w:t xml:space="preserve"> does not </w:t>
      </w:r>
      <w:r>
        <w:t>account</w:t>
      </w:r>
      <w:r w:rsidRPr="007F34D9">
        <w:rPr>
          <w:color w:val="000000"/>
          <w:shd w:val="clear" w:color="auto" w:fill="FFFFFF"/>
        </w:rPr>
        <w:t xml:space="preserve"> for</w:t>
      </w:r>
      <w:r w:rsidR="001C5AE8" w:rsidRPr="00762F22">
        <w:rPr>
          <w:color w:val="000000"/>
          <w:shd w:val="clear" w:color="auto" w:fill="FFFFFF"/>
        </w:rPr>
        <w:t xml:space="preserve"> </w:t>
      </w:r>
      <w:r w:rsidRPr="00762F22">
        <w:rPr>
          <w:color w:val="000000"/>
          <w:shd w:val="clear" w:color="auto" w:fill="FFFFFF"/>
        </w:rPr>
        <w:t xml:space="preserve">“the distribution of events between baseline and </w:t>
      </w:r>
      <w:r w:rsidRPr="00762F22">
        <w:rPr>
          <w:i/>
          <w:color w:val="000000"/>
          <w:shd w:val="clear" w:color="auto" w:fill="FFFFFF"/>
        </w:rPr>
        <w:t>t</w:t>
      </w:r>
      <w:r w:rsidRPr="00762F22">
        <w:rPr>
          <w:color w:val="000000"/>
          <w:shd w:val="clear" w:color="auto" w:fill="FFFFFF"/>
        </w:rPr>
        <w:t>.” However, we consider these two approaches to be complimentary to one another and, together, capable of informing the evidence.</w:t>
      </w:r>
    </w:p>
    <w:p w14:paraId="3AF924CB" w14:textId="4A8EFEB1" w:rsidR="00DF7E7E" w:rsidRDefault="00A76BFC" w:rsidP="00F32CA7">
      <w:pPr>
        <w:pStyle w:val="BodyText12"/>
        <w:numPr>
          <w:ilvl w:val="0"/>
          <w:numId w:val="25"/>
        </w:numPr>
      </w:pPr>
      <w:r>
        <w:t xml:space="preserve">Using these data, we are limited in our ability to meaningfully differentiate patients with </w:t>
      </w:r>
      <w:r w:rsidR="00CD5478">
        <w:t xml:space="preserve">less severe vs. more severe </w:t>
      </w:r>
      <w:r>
        <w:t xml:space="preserve">cardiovascular disease. In this study, we define </w:t>
      </w:r>
      <w:r w:rsidR="00CD5478">
        <w:t xml:space="preserve">less severe </w:t>
      </w:r>
      <w:r>
        <w:t xml:space="preserve">cardiovascular disease as having one or two CVD-related diagnoses or procedures in the 180 days before index and we define </w:t>
      </w:r>
      <w:r w:rsidR="00CD5478">
        <w:t xml:space="preserve">more severe </w:t>
      </w:r>
      <w:r>
        <w:t xml:space="preserve">cardiovascular as having three or more CVD-related diagnoses or procedures in the 180 days before index. While we understand that this definition is somewhat crude, we believe that using it to stratify estimates will provide valuable information about whether effects are heterogeneous with respect to baseline cardiovascular condition.  </w:t>
      </w:r>
    </w:p>
    <w:p w14:paraId="45F166B0" w14:textId="37C19697" w:rsidR="00F92F7C" w:rsidRDefault="00F92F7C" w:rsidP="00F32CA7">
      <w:pPr>
        <w:pStyle w:val="BodyText12"/>
        <w:numPr>
          <w:ilvl w:val="0"/>
          <w:numId w:val="25"/>
        </w:numPr>
      </w:pPr>
      <w:r>
        <w:t xml:space="preserve">Our definition of abiraterone initiation requires a concomitant </w:t>
      </w:r>
      <w:proofErr w:type="spellStart"/>
      <w:r>
        <w:t>predniso</w:t>
      </w:r>
      <w:proofErr w:type="spellEnd"/>
      <w:r w:rsidR="00E60D69">
        <w:t>(lo)</w:t>
      </w:r>
      <w:r>
        <w:t xml:space="preserve">ne prescription within 30 days of first observed treatment. However, </w:t>
      </w:r>
      <w:proofErr w:type="spellStart"/>
      <w:r w:rsidR="00E60D69">
        <w:t>predniso</w:t>
      </w:r>
      <w:proofErr w:type="spellEnd"/>
      <w:r w:rsidR="00E60D69">
        <w:t xml:space="preserve">(lo)ne </w:t>
      </w:r>
      <w:r>
        <w:t xml:space="preserve">use is likely </w:t>
      </w:r>
      <w:proofErr w:type="spellStart"/>
      <w:r w:rsidR="00E60D69">
        <w:t>predniso</w:t>
      </w:r>
      <w:proofErr w:type="spellEnd"/>
      <w:r w:rsidR="00E60D69">
        <w:t xml:space="preserve">(lo)ne </w:t>
      </w:r>
      <w:r>
        <w:t xml:space="preserve">in these data, which means there may be patients who do initiate abiraterone and </w:t>
      </w:r>
      <w:proofErr w:type="spellStart"/>
      <w:r w:rsidR="00E60D69">
        <w:t>predniso</w:t>
      </w:r>
      <w:proofErr w:type="spellEnd"/>
      <w:r w:rsidR="00E60D69">
        <w:t xml:space="preserve">(lo)ne </w:t>
      </w:r>
      <w:r>
        <w:t xml:space="preserve">at the same time but, due to data misclassification, are not included in this analysis. We do not expect this limitation to meaningfully bias the results we produce </w:t>
      </w:r>
      <w:r>
        <w:lastRenderedPageBreak/>
        <w:t xml:space="preserve">in a study population comprised of patients who do have </w:t>
      </w:r>
      <w:proofErr w:type="spellStart"/>
      <w:r w:rsidR="00E60D69">
        <w:t>predniso</w:t>
      </w:r>
      <w:proofErr w:type="spellEnd"/>
      <w:r w:rsidR="00E60D69">
        <w:t xml:space="preserve">(lo)ne </w:t>
      </w:r>
      <w:r w:rsidR="00BE467D">
        <w:t>use recorded in the data.</w:t>
      </w:r>
    </w:p>
    <w:p w14:paraId="34720DC2" w14:textId="688F63EE" w:rsidR="0050065F" w:rsidRDefault="0050065F" w:rsidP="00F32CA7">
      <w:pPr>
        <w:pStyle w:val="BodyText12"/>
        <w:numPr>
          <w:ilvl w:val="0"/>
          <w:numId w:val="25"/>
        </w:numPr>
      </w:pPr>
      <w:r>
        <w:t xml:space="preserve">It was our intention to examine multiple sub-groups of patients with varying degrees of baseline cardiovascular risk. However, for </w:t>
      </w:r>
      <w:proofErr w:type="gramStart"/>
      <w:r>
        <w:t>the vast majority of</w:t>
      </w:r>
      <w:proofErr w:type="gramEnd"/>
      <w:r>
        <w:t xml:space="preserve"> our proposed analyses, the available sample in our data sources was not sufficient to produce reliable estimates within these sub-groups.  While we have elected not to unblind many of these analyses (</w:t>
      </w:r>
      <w:proofErr w:type="gramStart"/>
      <w:r>
        <w:t>on the basis of</w:t>
      </w:r>
      <w:proofErr w:type="gramEnd"/>
      <w:r>
        <w:t xml:space="preserve"> empirical diagnostics), we believe the process of specifying them and evaluating their feasibility has already been valuable. This pilot project is partially intended to foster greater collaboration between teams within Janssen and inform a wider understanding of study feasibility as it relates to proposed future analyses.  We believe the process we developed as part of this study will be highly valuable in future oncology safety studies where we are likely to require similar assessments and decision-making around unblinding potentially limited results.</w:t>
      </w:r>
    </w:p>
    <w:p w14:paraId="76B017CD" w14:textId="77777777" w:rsidR="00AA6537" w:rsidRPr="009D3150" w:rsidRDefault="00AA6537" w:rsidP="00AA6537">
      <w:pPr>
        <w:pStyle w:val="BodyText12"/>
        <w:rPr>
          <w:szCs w:val="24"/>
        </w:rPr>
      </w:pPr>
    </w:p>
    <w:p w14:paraId="5C8DF7CD" w14:textId="3BEA7063" w:rsidR="00BC0EA4" w:rsidRPr="00B87A8B" w:rsidRDefault="00696F8C" w:rsidP="00696F8C">
      <w:pPr>
        <w:pStyle w:val="Heading1"/>
        <w:rPr>
          <w:rFonts w:ascii="Times New Roman" w:hAnsi="Times New Roman"/>
          <w:sz w:val="28"/>
          <w:szCs w:val="28"/>
        </w:rPr>
      </w:pPr>
      <w:bookmarkStart w:id="585" w:name="_Toc35611437"/>
      <w:r w:rsidRPr="00B87A8B">
        <w:rPr>
          <w:rFonts w:ascii="Times New Roman" w:hAnsi="Times New Roman"/>
          <w:sz w:val="28"/>
          <w:szCs w:val="28"/>
        </w:rPr>
        <w:t>PROTECTION OF HUMAN SUBJECTS</w:t>
      </w:r>
      <w:bookmarkEnd w:id="585"/>
    </w:p>
    <w:p w14:paraId="107DA945" w14:textId="11588C0F" w:rsidR="00A76BFC" w:rsidRPr="00B0402F" w:rsidRDefault="006D5D84" w:rsidP="006D5D84">
      <w:pPr>
        <w:pStyle w:val="BodyText12"/>
      </w:pPr>
      <w:r w:rsidRPr="00B0402F">
        <w:t xml:space="preserve">The New England Institutional Review Board (IRB) has determined that studies conducted in </w:t>
      </w:r>
      <w:r>
        <w:t xml:space="preserve">IBM </w:t>
      </w:r>
      <w:proofErr w:type="spellStart"/>
      <w:r>
        <w:t>MarketScan</w:t>
      </w:r>
      <w:proofErr w:type="spellEnd"/>
      <w:r>
        <w:t xml:space="preserve"> CCAE, MDCR, MDCD, and Optum Extended </w:t>
      </w:r>
      <w:r w:rsidR="00121787">
        <w:t>DOD</w:t>
      </w:r>
      <w:r>
        <w:t xml:space="preserve"> </w:t>
      </w:r>
      <w:r w:rsidRPr="00B0402F">
        <w:rPr>
          <w:iCs/>
        </w:rPr>
        <w:t xml:space="preserve">are exempt from study-specific IRB review, as these studies do not qualify as human </w:t>
      </w:r>
      <w:proofErr w:type="gramStart"/>
      <w:r w:rsidRPr="00B0402F">
        <w:rPr>
          <w:iCs/>
        </w:rPr>
        <w:t>subjects</w:t>
      </w:r>
      <w:proofErr w:type="gramEnd"/>
      <w:r w:rsidRPr="00B0402F">
        <w:rPr>
          <w:iCs/>
        </w:rPr>
        <w:t xml:space="preserve"> research.</w:t>
      </w:r>
      <w:r>
        <w:rPr>
          <w:iCs/>
        </w:rPr>
        <w:t xml:space="preserve"> All patient data are deidentified in this study. </w:t>
      </w:r>
      <w:r w:rsidRPr="00F00BB0">
        <w:t>All study reports will contain aggregate data only and will not identify individual patients or physicians. At no time during the study will the sponsor receive patient identifying information except when it is required by regulations in case of reporting adverse events.</w:t>
      </w:r>
    </w:p>
    <w:p w14:paraId="6032D569" w14:textId="5549BD91" w:rsidR="00696F8C" w:rsidRPr="009D3150" w:rsidRDefault="00696F8C" w:rsidP="00696F8C">
      <w:pPr>
        <w:pStyle w:val="BodyText12"/>
        <w:rPr>
          <w:szCs w:val="24"/>
        </w:rPr>
      </w:pPr>
    </w:p>
    <w:p w14:paraId="19320C1E" w14:textId="00531637" w:rsidR="00BC0EA4" w:rsidRPr="00B87A8B" w:rsidRDefault="00EA5A35" w:rsidP="00E864F9">
      <w:pPr>
        <w:pStyle w:val="Heading1"/>
        <w:rPr>
          <w:rFonts w:ascii="Times New Roman" w:hAnsi="Times New Roman"/>
          <w:sz w:val="28"/>
          <w:szCs w:val="28"/>
        </w:rPr>
      </w:pPr>
      <w:bookmarkStart w:id="586" w:name="_Toc35611438"/>
      <w:r w:rsidRPr="00B87A8B">
        <w:rPr>
          <w:rFonts w:ascii="Times New Roman" w:hAnsi="Times New Roman"/>
          <w:caps w:val="0"/>
          <w:sz w:val="28"/>
          <w:szCs w:val="28"/>
        </w:rPr>
        <w:t>SAFETY DATA COLLECTION</w:t>
      </w:r>
      <w:r w:rsidR="00E864F9" w:rsidRPr="00B87A8B">
        <w:rPr>
          <w:rFonts w:ascii="Times New Roman" w:hAnsi="Times New Roman"/>
          <w:caps w:val="0"/>
          <w:sz w:val="28"/>
          <w:szCs w:val="28"/>
        </w:rPr>
        <w:t xml:space="preserve"> AND REPORTING</w:t>
      </w:r>
      <w:bookmarkEnd w:id="586"/>
    </w:p>
    <w:p w14:paraId="703BEEB4" w14:textId="77777777" w:rsidR="00646E61" w:rsidRDefault="00013574" w:rsidP="00E864F9">
      <w:pPr>
        <w:pStyle w:val="BodyText12"/>
        <w:rPr>
          <w:szCs w:val="24"/>
        </w:rPr>
      </w:pPr>
      <w:r w:rsidRPr="00013574">
        <w:rPr>
          <w:szCs w:val="24"/>
        </w:rPr>
        <w:t xml:space="preserve">This study uses coded data that already exist in </w:t>
      </w:r>
      <w:proofErr w:type="spellStart"/>
      <w:proofErr w:type="gramStart"/>
      <w:r w:rsidR="00375618" w:rsidRPr="00013574">
        <w:rPr>
          <w:szCs w:val="24"/>
        </w:rPr>
        <w:t>a</w:t>
      </w:r>
      <w:proofErr w:type="spellEnd"/>
      <w:proofErr w:type="gramEnd"/>
      <w:r w:rsidR="00375618" w:rsidRPr="00013574">
        <w:rPr>
          <w:szCs w:val="24"/>
        </w:rPr>
        <w:t xml:space="preserve"> </w:t>
      </w:r>
      <w:r w:rsidRPr="00013574">
        <w:rPr>
          <w:szCs w:val="24"/>
        </w:rPr>
        <w:t>electronic database. In this type of database, the minimum criteria for reporting an adverse event (i.e., identifiable patient, identifiable reporter, a suspect product, and event) are not available, and adverse events are not reportable as individual case safety reports. The study results will be assessed for medically important results</w:t>
      </w:r>
      <w:r w:rsidR="00AE5E05">
        <w:rPr>
          <w:szCs w:val="24"/>
        </w:rPr>
        <w:t xml:space="preserve"> and regardless of findings, will be shared with the safety management team </w:t>
      </w:r>
      <w:r w:rsidR="009F4EA5">
        <w:rPr>
          <w:szCs w:val="24"/>
        </w:rPr>
        <w:t xml:space="preserve">(who is actively collaborating on this project) </w:t>
      </w:r>
      <w:r w:rsidR="00AE5E05">
        <w:rPr>
          <w:szCs w:val="24"/>
        </w:rPr>
        <w:t>in order to inform next steps</w:t>
      </w:r>
      <w:r>
        <w:rPr>
          <w:szCs w:val="24"/>
        </w:rPr>
        <w:t>.</w:t>
      </w:r>
    </w:p>
    <w:p w14:paraId="0A66158E" w14:textId="61B4CD7C" w:rsidR="00E864F9" w:rsidRPr="00013574" w:rsidRDefault="00E864F9" w:rsidP="00E864F9">
      <w:pPr>
        <w:pStyle w:val="BodyText12"/>
        <w:rPr>
          <w:szCs w:val="24"/>
        </w:rPr>
      </w:pPr>
    </w:p>
    <w:p w14:paraId="09559206" w14:textId="768C5891" w:rsidR="0088451F" w:rsidRPr="00922AF2" w:rsidRDefault="0088451F" w:rsidP="00506FE5">
      <w:pPr>
        <w:pStyle w:val="Heading1"/>
        <w:rPr>
          <w:rFonts w:ascii="Times New Roman" w:hAnsi="Times New Roman"/>
          <w:sz w:val="28"/>
          <w:szCs w:val="28"/>
        </w:rPr>
      </w:pPr>
      <w:bookmarkStart w:id="587" w:name="_Toc35611439"/>
      <w:r w:rsidRPr="00922AF2">
        <w:rPr>
          <w:rFonts w:ascii="Times New Roman" w:hAnsi="Times New Roman"/>
          <w:sz w:val="28"/>
          <w:szCs w:val="28"/>
        </w:rPr>
        <w:t>PLANS FOR DISSEMINATING AND COMMUNICATING STUDY RESULTS</w:t>
      </w:r>
      <w:bookmarkEnd w:id="587"/>
    </w:p>
    <w:p w14:paraId="0E03CCBF" w14:textId="3359DC76" w:rsidR="0088451F" w:rsidRDefault="00CF6B2C" w:rsidP="0088451F">
      <w:pPr>
        <w:pStyle w:val="BodyText12"/>
        <w:rPr>
          <w:szCs w:val="24"/>
        </w:rPr>
      </w:pPr>
      <w:r>
        <w:rPr>
          <w:rFonts w:eastAsia="TimesNewRoman"/>
        </w:rPr>
        <w:t>Once finalized, the</w:t>
      </w:r>
      <w:r w:rsidRPr="00613F1E">
        <w:rPr>
          <w:rFonts w:eastAsia="TimesNewRoman"/>
        </w:rPr>
        <w:t xml:space="preserve"> </w:t>
      </w:r>
      <w:r w:rsidR="00121787" w:rsidRPr="00613F1E">
        <w:rPr>
          <w:rFonts w:eastAsia="TimesNewRoman"/>
        </w:rPr>
        <w:t>protocol will be registered at</w:t>
      </w:r>
      <w:r>
        <w:rPr>
          <w:rFonts w:eastAsia="TimesNewRoman"/>
        </w:rPr>
        <w:t xml:space="preserve"> either</w:t>
      </w:r>
      <w:r w:rsidR="00121787" w:rsidRPr="00613F1E">
        <w:rPr>
          <w:rFonts w:eastAsia="TimesNewRoman"/>
        </w:rPr>
        <w:t xml:space="preserve"> </w:t>
      </w:r>
      <w:hyperlink r:id="rId41" w:history="1">
        <w:r w:rsidRPr="0018375E">
          <w:rPr>
            <w:rStyle w:val="Hyperlink"/>
            <w:rFonts w:eastAsia="TimesNewRoman"/>
          </w:rPr>
          <w:t>www.clinicaltrials.gov</w:t>
        </w:r>
      </w:hyperlink>
      <w:r>
        <w:rPr>
          <w:rFonts w:eastAsia="TimesNewRoman"/>
        </w:rPr>
        <w:t xml:space="preserve"> or </w:t>
      </w:r>
      <w:hyperlink r:id="rId42" w:history="1">
        <w:r w:rsidR="00C06E68">
          <w:rPr>
            <w:rStyle w:val="Hyperlink"/>
          </w:rPr>
          <w:t>http://www.encepp.eu/</w:t>
        </w:r>
      </w:hyperlink>
      <w:r w:rsidR="00C06E68">
        <w:t xml:space="preserve"> (</w:t>
      </w:r>
      <w:r w:rsidRPr="00CF6B2C">
        <w:rPr>
          <w:rFonts w:eastAsia="TimesNewRoman"/>
        </w:rPr>
        <w:t xml:space="preserve">European Network of </w:t>
      </w:r>
      <w:proofErr w:type="spellStart"/>
      <w:r w:rsidRPr="00CF6B2C">
        <w:rPr>
          <w:rFonts w:eastAsia="TimesNewRoman"/>
        </w:rPr>
        <w:t>Centres</w:t>
      </w:r>
      <w:proofErr w:type="spellEnd"/>
      <w:r w:rsidRPr="00CF6B2C">
        <w:rPr>
          <w:rFonts w:eastAsia="TimesNewRoman"/>
        </w:rPr>
        <w:t xml:space="preserve"> for Pharmacoepidemiology and Pharmacovigilanc</w:t>
      </w:r>
      <w:r w:rsidR="00C06E68">
        <w:rPr>
          <w:rFonts w:eastAsia="TimesNewRoman"/>
        </w:rPr>
        <w:t>e</w:t>
      </w:r>
      <w:r>
        <w:rPr>
          <w:rFonts w:eastAsia="TimesNewRoman"/>
        </w:rPr>
        <w:t>)</w:t>
      </w:r>
      <w:r w:rsidR="00121787" w:rsidRPr="00613F1E">
        <w:rPr>
          <w:rFonts w:eastAsia="TimesNewRoman"/>
        </w:rPr>
        <w:t>. Results will be reported to the registration location within 12 months of completion. Additionally, results will be submitted for peer-reviewed publication.</w:t>
      </w:r>
      <w:r w:rsidR="00121787">
        <w:rPr>
          <w:bCs/>
          <w:iCs/>
        </w:rPr>
        <w:t xml:space="preserve"> </w:t>
      </w:r>
      <w:r w:rsidR="00013574">
        <w:rPr>
          <w:szCs w:val="24"/>
        </w:rPr>
        <w:t xml:space="preserve">All results will </w:t>
      </w:r>
      <w:r w:rsidR="00013574">
        <w:rPr>
          <w:szCs w:val="24"/>
        </w:rPr>
        <w:lastRenderedPageBreak/>
        <w:t>be shared in the form of presentation at scientific conferences and/or as peer-reviewed publications.</w:t>
      </w:r>
    </w:p>
    <w:p w14:paraId="2C376702" w14:textId="77777777" w:rsidR="00A76BFC" w:rsidRPr="00121787" w:rsidRDefault="00A76BFC" w:rsidP="0088451F">
      <w:pPr>
        <w:pStyle w:val="BodyText12"/>
        <w:rPr>
          <w:bCs/>
          <w:iCs/>
        </w:rPr>
      </w:pPr>
    </w:p>
    <w:p w14:paraId="42D26C51" w14:textId="5A86FC1C" w:rsidR="00C20A8E" w:rsidRPr="00922AF2" w:rsidRDefault="00C20A8E" w:rsidP="00C20A8E">
      <w:pPr>
        <w:pStyle w:val="Heading1"/>
        <w:rPr>
          <w:rFonts w:ascii="Times New Roman" w:hAnsi="Times New Roman"/>
          <w:sz w:val="28"/>
          <w:szCs w:val="28"/>
        </w:rPr>
      </w:pPr>
      <w:bookmarkStart w:id="588" w:name="_Toc35611440"/>
      <w:r w:rsidRPr="00922AF2">
        <w:rPr>
          <w:rFonts w:ascii="Times New Roman" w:hAnsi="Times New Roman"/>
          <w:sz w:val="28"/>
          <w:szCs w:val="28"/>
        </w:rPr>
        <w:t>list of tables &amp; figures</w:t>
      </w:r>
      <w:bookmarkEnd w:id="58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ook w:val="0000" w:firstRow="0" w:lastRow="0" w:firstColumn="0" w:lastColumn="0" w:noHBand="0" w:noVBand="0"/>
      </w:tblPr>
      <w:tblGrid>
        <w:gridCol w:w="9558"/>
      </w:tblGrid>
      <w:tr w:rsidR="00C20A8E" w:rsidRPr="009D3150" w14:paraId="0B6FB11D" w14:textId="77777777" w:rsidTr="008A443D">
        <w:tc>
          <w:tcPr>
            <w:tcW w:w="9558" w:type="dxa"/>
            <w:shd w:val="clear" w:color="auto" w:fill="FFFF99"/>
          </w:tcPr>
          <w:p w14:paraId="1D922A5B" w14:textId="77777777" w:rsidR="00C20A8E" w:rsidRPr="009D3150" w:rsidRDefault="00C20A8E" w:rsidP="008A443D">
            <w:pPr>
              <w:pStyle w:val="GuideText"/>
              <w:rPr>
                <w:sz w:val="24"/>
                <w:szCs w:val="24"/>
              </w:rPr>
            </w:pPr>
            <w:r w:rsidRPr="009D3150">
              <w:rPr>
                <w:iCs/>
                <w:sz w:val="24"/>
                <w:szCs w:val="24"/>
              </w:rPr>
              <w:t xml:space="preserve">Include table shells to indicate anticipated format of output. Other tables and figures to support the protocol can also be included here. </w:t>
            </w:r>
            <w:r w:rsidRPr="009D3150">
              <w:rPr>
                <w:iCs/>
                <w:color w:val="FF0000"/>
                <w:sz w:val="24"/>
                <w:szCs w:val="24"/>
              </w:rPr>
              <w:t>Note that summary statistics will be provided in an automated process if study is executed by Epi Analytics.</w:t>
            </w:r>
          </w:p>
        </w:tc>
      </w:tr>
    </w:tbl>
    <w:p w14:paraId="571E7B9E" w14:textId="77777777" w:rsidR="00A76BFC" w:rsidRPr="009D3150" w:rsidRDefault="00A76BFC" w:rsidP="00C20A8E">
      <w:pPr>
        <w:pStyle w:val="BodyText12"/>
        <w:rPr>
          <w:szCs w:val="24"/>
        </w:rPr>
      </w:pPr>
    </w:p>
    <w:p w14:paraId="797F2193" w14:textId="015FD8C4" w:rsidR="0040105D" w:rsidRPr="00922AF2" w:rsidRDefault="0040105D" w:rsidP="0040105D">
      <w:pPr>
        <w:pStyle w:val="Heading1"/>
        <w:rPr>
          <w:rFonts w:ascii="Times New Roman" w:hAnsi="Times New Roman"/>
          <w:sz w:val="28"/>
          <w:szCs w:val="28"/>
        </w:rPr>
      </w:pPr>
      <w:bookmarkStart w:id="589" w:name="_Toc35611441"/>
      <w:r w:rsidRPr="00922AF2">
        <w:rPr>
          <w:rFonts w:ascii="Times New Roman" w:hAnsi="Times New Roman"/>
          <w:sz w:val="28"/>
          <w:szCs w:val="28"/>
        </w:rPr>
        <w:t>ANNEX (LIST OF STAND-ALONE DOCUMENTS)</w:t>
      </w:r>
      <w:bookmarkEnd w:id="58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ook w:val="0000" w:firstRow="0" w:lastRow="0" w:firstColumn="0" w:lastColumn="0" w:noHBand="0" w:noVBand="0"/>
      </w:tblPr>
      <w:tblGrid>
        <w:gridCol w:w="9558"/>
      </w:tblGrid>
      <w:tr w:rsidR="0040105D" w:rsidRPr="009D3150" w14:paraId="0882E694" w14:textId="77777777" w:rsidTr="008A443D">
        <w:tc>
          <w:tcPr>
            <w:tcW w:w="9558" w:type="dxa"/>
            <w:shd w:val="clear" w:color="auto" w:fill="FFFF99"/>
          </w:tcPr>
          <w:p w14:paraId="1D3800C9" w14:textId="77777777" w:rsidR="0040105D" w:rsidRPr="009D3150" w:rsidRDefault="0040105D" w:rsidP="008A443D">
            <w:pPr>
              <w:pStyle w:val="GuideText"/>
              <w:rPr>
                <w:sz w:val="24"/>
                <w:szCs w:val="24"/>
              </w:rPr>
            </w:pPr>
            <w:r w:rsidRPr="009D3150">
              <w:rPr>
                <w:iCs/>
                <w:sz w:val="24"/>
                <w:szCs w:val="24"/>
              </w:rPr>
              <w:t xml:space="preserve">Documents listed in the Annex can be maintained separately from the study protocol (e.g., variable definitions, sample case report form, detailed Statistical Analysis Plan, STROBE or </w:t>
            </w:r>
            <w:proofErr w:type="spellStart"/>
            <w:r w:rsidRPr="009D3150">
              <w:rPr>
                <w:iCs/>
                <w:sz w:val="24"/>
                <w:szCs w:val="24"/>
              </w:rPr>
              <w:t>ENCePP</w:t>
            </w:r>
            <w:proofErr w:type="spellEnd"/>
            <w:r w:rsidRPr="009D3150">
              <w:rPr>
                <w:iCs/>
                <w:sz w:val="24"/>
                <w:szCs w:val="24"/>
              </w:rPr>
              <w:t xml:space="preserve"> checklist, etc.). </w:t>
            </w:r>
            <w:r w:rsidRPr="009D3150">
              <w:rPr>
                <w:iCs/>
                <w:sz w:val="24"/>
                <w:szCs w:val="24"/>
                <w:u w:val="single"/>
              </w:rPr>
              <w:t>All annexes should be clearly identifiable and provided on request.</w:t>
            </w:r>
            <w:r w:rsidRPr="009D3150">
              <w:rPr>
                <w:iCs/>
                <w:sz w:val="24"/>
                <w:szCs w:val="24"/>
              </w:rPr>
              <w:t xml:space="preserve"> Write “None” if there is no document or list documents in a table as indicated below.</w:t>
            </w:r>
          </w:p>
        </w:tc>
      </w:tr>
    </w:tbl>
    <w:p w14:paraId="20D48127" w14:textId="77777777" w:rsidR="0040105D" w:rsidRPr="009D3150" w:rsidRDefault="0040105D" w:rsidP="0040105D">
      <w:pPr>
        <w:pStyle w:val="BodyText12"/>
        <w:rPr>
          <w:szCs w:val="24"/>
        </w:rPr>
      </w:pPr>
    </w:p>
    <w:tbl>
      <w:tblPr>
        <w:tblStyle w:val="TableGrid"/>
        <w:tblW w:w="9535" w:type="dxa"/>
        <w:tblLook w:val="04A0" w:firstRow="1" w:lastRow="0" w:firstColumn="1" w:lastColumn="0" w:noHBand="0" w:noVBand="1"/>
      </w:tblPr>
      <w:tblGrid>
        <w:gridCol w:w="1639"/>
        <w:gridCol w:w="7896"/>
      </w:tblGrid>
      <w:tr w:rsidR="006C2679" w:rsidRPr="00B87A8B" w14:paraId="6D6E2381" w14:textId="77777777" w:rsidTr="00B87A8B">
        <w:tc>
          <w:tcPr>
            <w:tcW w:w="1639" w:type="dxa"/>
            <w:shd w:val="clear" w:color="auto" w:fill="D9D9D9" w:themeFill="background1" w:themeFillShade="D9"/>
          </w:tcPr>
          <w:p w14:paraId="136B704A" w14:textId="77777777" w:rsidR="006C2679" w:rsidRPr="00B87A8B" w:rsidRDefault="006C2679" w:rsidP="0040105D">
            <w:pPr>
              <w:pStyle w:val="TableText"/>
              <w:rPr>
                <w:b/>
                <w:sz w:val="24"/>
                <w:szCs w:val="24"/>
              </w:rPr>
            </w:pPr>
            <w:r w:rsidRPr="00B87A8B">
              <w:rPr>
                <w:b/>
                <w:sz w:val="24"/>
                <w:szCs w:val="24"/>
              </w:rPr>
              <w:t>Document Number</w:t>
            </w:r>
          </w:p>
        </w:tc>
        <w:tc>
          <w:tcPr>
            <w:tcW w:w="7896" w:type="dxa"/>
            <w:shd w:val="clear" w:color="auto" w:fill="D9D9D9" w:themeFill="background1" w:themeFillShade="D9"/>
          </w:tcPr>
          <w:p w14:paraId="1D94B846" w14:textId="77777777" w:rsidR="006C2679" w:rsidRPr="00B87A8B" w:rsidRDefault="006C2679" w:rsidP="0040105D">
            <w:pPr>
              <w:pStyle w:val="TableText"/>
              <w:rPr>
                <w:b/>
                <w:sz w:val="24"/>
                <w:szCs w:val="24"/>
              </w:rPr>
            </w:pPr>
            <w:r w:rsidRPr="00B87A8B">
              <w:rPr>
                <w:b/>
                <w:sz w:val="24"/>
                <w:szCs w:val="24"/>
              </w:rPr>
              <w:t>Title</w:t>
            </w:r>
          </w:p>
        </w:tc>
      </w:tr>
      <w:tr w:rsidR="006C2679" w:rsidRPr="00B87A8B" w14:paraId="2D0FFDFD" w14:textId="77777777" w:rsidTr="00B87A8B">
        <w:tc>
          <w:tcPr>
            <w:tcW w:w="1639" w:type="dxa"/>
          </w:tcPr>
          <w:p w14:paraId="3554F00B" w14:textId="77777777" w:rsidR="006C2679" w:rsidRPr="00B87A8B" w:rsidRDefault="006C2679" w:rsidP="0040105D">
            <w:pPr>
              <w:pStyle w:val="TableText"/>
              <w:rPr>
                <w:sz w:val="24"/>
                <w:szCs w:val="24"/>
              </w:rPr>
            </w:pPr>
            <w:r w:rsidRPr="00B87A8B">
              <w:rPr>
                <w:sz w:val="24"/>
                <w:szCs w:val="24"/>
              </w:rPr>
              <w:t>1</w:t>
            </w:r>
          </w:p>
        </w:tc>
        <w:tc>
          <w:tcPr>
            <w:tcW w:w="7896" w:type="dxa"/>
          </w:tcPr>
          <w:p w14:paraId="589066AE" w14:textId="258F546E" w:rsidR="006C2679" w:rsidRPr="00B87A8B" w:rsidRDefault="006C2679" w:rsidP="0040105D">
            <w:pPr>
              <w:pStyle w:val="TableText"/>
              <w:rPr>
                <w:sz w:val="24"/>
                <w:szCs w:val="24"/>
              </w:rPr>
            </w:pPr>
            <w:r w:rsidRPr="00B87A8B">
              <w:rPr>
                <w:sz w:val="24"/>
                <w:szCs w:val="24"/>
              </w:rPr>
              <w:t>Concept set expressions, included SNOMED concepts, and included source codes for concepts used to define target, comparator, and outcome cohorts.</w:t>
            </w:r>
          </w:p>
          <w:p w14:paraId="3A56BFFC" w14:textId="5BCC2A37" w:rsidR="006C2679" w:rsidRPr="00B87A8B" w:rsidRDefault="006C2679" w:rsidP="00F32CA7">
            <w:pPr>
              <w:pStyle w:val="TableText"/>
              <w:numPr>
                <w:ilvl w:val="0"/>
                <w:numId w:val="27"/>
              </w:numPr>
              <w:tabs>
                <w:tab w:val="clear" w:pos="288"/>
                <w:tab w:val="left" w:pos="102"/>
              </w:tabs>
              <w:ind w:left="282" w:hanging="180"/>
              <w:rPr>
                <w:i/>
                <w:sz w:val="24"/>
                <w:szCs w:val="24"/>
              </w:rPr>
            </w:pPr>
            <w:r w:rsidRPr="00B87A8B">
              <w:rPr>
                <w:i/>
                <w:sz w:val="24"/>
                <w:szCs w:val="24"/>
              </w:rPr>
              <w:t xml:space="preserve">File: </w:t>
            </w:r>
            <w:proofErr w:type="spellStart"/>
            <w:r w:rsidRPr="00B87A8B">
              <w:rPr>
                <w:sz w:val="24"/>
                <w:szCs w:val="24"/>
              </w:rPr>
              <w:t>conceptSetExpressions</w:t>
            </w:r>
            <w:proofErr w:type="spellEnd"/>
            <w:r w:rsidRPr="00B87A8B">
              <w:rPr>
                <w:sz w:val="24"/>
                <w:szCs w:val="24"/>
              </w:rPr>
              <w:t xml:space="preserve"> - Exposures and Outcomes.xlsx</w:t>
            </w:r>
          </w:p>
        </w:tc>
      </w:tr>
      <w:tr w:rsidR="006C2679" w:rsidRPr="00B87A8B" w14:paraId="0C5188B8" w14:textId="77777777" w:rsidTr="00B87A8B">
        <w:tc>
          <w:tcPr>
            <w:tcW w:w="1639" w:type="dxa"/>
          </w:tcPr>
          <w:p w14:paraId="598FABC6" w14:textId="77777777" w:rsidR="006C2679" w:rsidRPr="00B87A8B" w:rsidRDefault="006C2679" w:rsidP="0040105D">
            <w:pPr>
              <w:pStyle w:val="TableText"/>
              <w:rPr>
                <w:sz w:val="24"/>
                <w:szCs w:val="24"/>
              </w:rPr>
            </w:pPr>
            <w:r w:rsidRPr="00B87A8B">
              <w:rPr>
                <w:sz w:val="24"/>
                <w:szCs w:val="24"/>
              </w:rPr>
              <w:t>2</w:t>
            </w:r>
          </w:p>
        </w:tc>
        <w:tc>
          <w:tcPr>
            <w:tcW w:w="7896" w:type="dxa"/>
          </w:tcPr>
          <w:p w14:paraId="1BC9BDD5" w14:textId="2B82274C" w:rsidR="006C2679" w:rsidRPr="00B87A8B" w:rsidRDefault="006C2679" w:rsidP="007826E9">
            <w:pPr>
              <w:pStyle w:val="TableText"/>
              <w:rPr>
                <w:sz w:val="24"/>
                <w:szCs w:val="24"/>
              </w:rPr>
            </w:pPr>
            <w:r w:rsidRPr="00B87A8B">
              <w:rPr>
                <w:sz w:val="24"/>
                <w:szCs w:val="24"/>
              </w:rPr>
              <w:t>Concept set expressions, included SNOMED concepts, and included source codes for concepts used to define cardiovascular-disease stratification.</w:t>
            </w:r>
          </w:p>
          <w:p w14:paraId="43D98F0C" w14:textId="36B428CA" w:rsidR="006C2679" w:rsidRPr="00B87A8B" w:rsidRDefault="006C2679" w:rsidP="00F32CA7">
            <w:pPr>
              <w:pStyle w:val="TableText"/>
              <w:numPr>
                <w:ilvl w:val="0"/>
                <w:numId w:val="27"/>
              </w:numPr>
              <w:tabs>
                <w:tab w:val="clear" w:pos="288"/>
                <w:tab w:val="left" w:pos="102"/>
              </w:tabs>
              <w:ind w:left="282" w:hanging="180"/>
              <w:rPr>
                <w:sz w:val="24"/>
                <w:szCs w:val="24"/>
              </w:rPr>
            </w:pPr>
            <w:r w:rsidRPr="00B87A8B">
              <w:rPr>
                <w:i/>
                <w:sz w:val="24"/>
                <w:szCs w:val="24"/>
              </w:rPr>
              <w:t xml:space="preserve">File: </w:t>
            </w:r>
            <w:proofErr w:type="spellStart"/>
            <w:r w:rsidRPr="00B87A8B">
              <w:rPr>
                <w:sz w:val="24"/>
                <w:szCs w:val="24"/>
              </w:rPr>
              <w:t>conceptSetExpressions</w:t>
            </w:r>
            <w:proofErr w:type="spellEnd"/>
            <w:r w:rsidRPr="00B87A8B">
              <w:rPr>
                <w:sz w:val="24"/>
                <w:szCs w:val="24"/>
              </w:rPr>
              <w:t xml:space="preserve"> - CVD (stratification).xlsx</w:t>
            </w:r>
          </w:p>
        </w:tc>
      </w:tr>
      <w:tr w:rsidR="006C2679" w:rsidRPr="00B87A8B" w14:paraId="593CD127" w14:textId="77777777" w:rsidTr="00B87A8B">
        <w:tc>
          <w:tcPr>
            <w:tcW w:w="1639" w:type="dxa"/>
          </w:tcPr>
          <w:p w14:paraId="2EF6A7A7" w14:textId="388DAD11" w:rsidR="006C2679" w:rsidRPr="00B87A8B" w:rsidRDefault="006C2679" w:rsidP="0042412D">
            <w:pPr>
              <w:pStyle w:val="TableText"/>
              <w:rPr>
                <w:sz w:val="24"/>
                <w:szCs w:val="24"/>
              </w:rPr>
            </w:pPr>
            <w:r w:rsidRPr="00B87A8B">
              <w:rPr>
                <w:sz w:val="24"/>
                <w:szCs w:val="24"/>
              </w:rPr>
              <w:t>3</w:t>
            </w:r>
          </w:p>
        </w:tc>
        <w:tc>
          <w:tcPr>
            <w:tcW w:w="7896" w:type="dxa"/>
          </w:tcPr>
          <w:p w14:paraId="5F0F5BED" w14:textId="5DB8060E" w:rsidR="006C2679" w:rsidRPr="00B87A8B" w:rsidRDefault="006C2679" w:rsidP="0042412D">
            <w:pPr>
              <w:pStyle w:val="TableText"/>
              <w:rPr>
                <w:sz w:val="24"/>
                <w:szCs w:val="24"/>
              </w:rPr>
            </w:pPr>
            <w:r w:rsidRPr="00B87A8B">
              <w:rPr>
                <w:sz w:val="24"/>
                <w:szCs w:val="24"/>
              </w:rPr>
              <w:t xml:space="preserve">Fully specified human-readable descriptions of study cohorts: </w:t>
            </w:r>
          </w:p>
          <w:p w14:paraId="26E924FD" w14:textId="6B468A28" w:rsidR="006C2679" w:rsidRPr="00B87A8B" w:rsidRDefault="006C2679" w:rsidP="00F32CA7">
            <w:pPr>
              <w:pStyle w:val="TableText"/>
              <w:numPr>
                <w:ilvl w:val="0"/>
                <w:numId w:val="28"/>
              </w:numPr>
              <w:ind w:left="462"/>
              <w:rPr>
                <w:sz w:val="24"/>
                <w:szCs w:val="24"/>
              </w:rPr>
            </w:pPr>
            <w:r w:rsidRPr="00B87A8B">
              <w:rPr>
                <w:i/>
                <w:sz w:val="24"/>
                <w:szCs w:val="24"/>
              </w:rPr>
              <w:t>File:</w:t>
            </w:r>
            <w:r w:rsidRPr="00B87A8B">
              <w:rPr>
                <w:sz w:val="24"/>
                <w:szCs w:val="24"/>
              </w:rPr>
              <w:t xml:space="preserve"> Human-Readable Cohort Descriptions.docx</w:t>
            </w:r>
          </w:p>
        </w:tc>
      </w:tr>
      <w:tr w:rsidR="006C2679" w:rsidRPr="00B87A8B" w14:paraId="53BBB30A" w14:textId="77777777" w:rsidTr="00B87A8B">
        <w:tc>
          <w:tcPr>
            <w:tcW w:w="1639" w:type="dxa"/>
          </w:tcPr>
          <w:p w14:paraId="6B6341B8" w14:textId="43A33A4D" w:rsidR="006C2679" w:rsidRPr="00F32CA7" w:rsidRDefault="006C2679" w:rsidP="0042412D">
            <w:pPr>
              <w:pStyle w:val="TableText"/>
              <w:rPr>
                <w:sz w:val="24"/>
                <w:szCs w:val="24"/>
              </w:rPr>
            </w:pPr>
            <w:r w:rsidRPr="00F32CA7">
              <w:rPr>
                <w:sz w:val="24"/>
                <w:szCs w:val="24"/>
              </w:rPr>
              <w:t>4</w:t>
            </w:r>
          </w:p>
        </w:tc>
        <w:tc>
          <w:tcPr>
            <w:tcW w:w="7896" w:type="dxa"/>
          </w:tcPr>
          <w:p w14:paraId="6A0C9EB9" w14:textId="2962E75A" w:rsidR="006C2679" w:rsidRPr="00F32CA7" w:rsidRDefault="007D763E" w:rsidP="0042412D">
            <w:pPr>
              <w:pStyle w:val="TableText"/>
              <w:rPr>
                <w:sz w:val="24"/>
                <w:szCs w:val="24"/>
              </w:rPr>
            </w:pPr>
            <w:r w:rsidRPr="00F32CA7">
              <w:rPr>
                <w:sz w:val="24"/>
                <w:szCs w:val="24"/>
              </w:rPr>
              <w:t>A descriptive comparison of baseline characteristics for initiators of abiraterone versus enzalutamide, among patients with castration-resistant prostate cancer</w:t>
            </w:r>
          </w:p>
          <w:p w14:paraId="15720F25" w14:textId="331073F4" w:rsidR="006C2679" w:rsidRPr="00F32CA7" w:rsidRDefault="006C2679" w:rsidP="00F32CA7">
            <w:pPr>
              <w:pStyle w:val="TableText"/>
              <w:numPr>
                <w:ilvl w:val="0"/>
                <w:numId w:val="28"/>
              </w:numPr>
              <w:ind w:left="462"/>
              <w:rPr>
                <w:sz w:val="24"/>
                <w:szCs w:val="24"/>
              </w:rPr>
            </w:pPr>
            <w:r w:rsidRPr="00F32CA7">
              <w:rPr>
                <w:i/>
                <w:sz w:val="24"/>
                <w:szCs w:val="24"/>
              </w:rPr>
              <w:t>Link:</w:t>
            </w:r>
            <w:r w:rsidRPr="00F32CA7">
              <w:rPr>
                <w:sz w:val="24"/>
                <w:szCs w:val="24"/>
              </w:rPr>
              <w:t xml:space="preserve"> </w:t>
            </w:r>
            <w:hyperlink r:id="rId43" w:anchor="/cc/characterizations/671" w:history="1">
              <w:r w:rsidRPr="00F32CA7">
                <w:rPr>
                  <w:rStyle w:val="Hyperlink"/>
                  <w:sz w:val="24"/>
                  <w:szCs w:val="24"/>
                </w:rPr>
                <w:t>https://epi.jnj.com/atlas/#/cc/characterizations/671</w:t>
              </w:r>
            </w:hyperlink>
            <w:r w:rsidRPr="00F32CA7">
              <w:rPr>
                <w:sz w:val="24"/>
                <w:szCs w:val="24"/>
              </w:rPr>
              <w:t xml:space="preserve"> </w:t>
            </w:r>
          </w:p>
        </w:tc>
      </w:tr>
      <w:tr w:rsidR="006C2679" w:rsidRPr="00B87A8B" w14:paraId="0CA1325E" w14:textId="77777777" w:rsidTr="00B87A8B">
        <w:tc>
          <w:tcPr>
            <w:tcW w:w="1639" w:type="dxa"/>
          </w:tcPr>
          <w:p w14:paraId="3B4AFE44" w14:textId="68007BE1" w:rsidR="006C2679" w:rsidRPr="00F32CA7" w:rsidRDefault="006C2679" w:rsidP="0042412D">
            <w:pPr>
              <w:pStyle w:val="TableText"/>
              <w:rPr>
                <w:sz w:val="24"/>
                <w:szCs w:val="24"/>
              </w:rPr>
            </w:pPr>
            <w:r w:rsidRPr="00F32CA7">
              <w:rPr>
                <w:sz w:val="24"/>
                <w:szCs w:val="24"/>
              </w:rPr>
              <w:t>5</w:t>
            </w:r>
          </w:p>
        </w:tc>
        <w:tc>
          <w:tcPr>
            <w:tcW w:w="7896" w:type="dxa"/>
          </w:tcPr>
          <w:p w14:paraId="35A72BAB" w14:textId="085F7995" w:rsidR="006C2679" w:rsidRPr="00F32CA7" w:rsidRDefault="006C2679">
            <w:pPr>
              <w:pStyle w:val="TableText"/>
              <w:rPr>
                <w:sz w:val="24"/>
                <w:szCs w:val="24"/>
              </w:rPr>
            </w:pPr>
            <w:r w:rsidRPr="00F32CA7">
              <w:rPr>
                <w:sz w:val="24"/>
                <w:szCs w:val="24"/>
              </w:rPr>
              <w:t>Web-based R Shiny application displaying study diagnostics (and table shells with blinded results)</w:t>
            </w:r>
          </w:p>
          <w:p w14:paraId="4966ED0F" w14:textId="33F48CA1" w:rsidR="006C2679" w:rsidRPr="00F32CA7" w:rsidRDefault="006C2679" w:rsidP="00F32CA7">
            <w:pPr>
              <w:pStyle w:val="TableText"/>
              <w:numPr>
                <w:ilvl w:val="0"/>
                <w:numId w:val="28"/>
              </w:numPr>
              <w:tabs>
                <w:tab w:val="clear" w:pos="576"/>
              </w:tabs>
              <w:ind w:left="462"/>
              <w:rPr>
                <w:sz w:val="24"/>
                <w:szCs w:val="24"/>
              </w:rPr>
            </w:pPr>
            <w:r w:rsidRPr="00F32CA7">
              <w:rPr>
                <w:i/>
                <w:sz w:val="24"/>
                <w:szCs w:val="24"/>
              </w:rPr>
              <w:t>Link</w:t>
            </w:r>
            <w:r w:rsidRPr="00F32CA7">
              <w:rPr>
                <w:sz w:val="24"/>
                <w:szCs w:val="24"/>
              </w:rPr>
              <w:t xml:space="preserve">: </w:t>
            </w:r>
            <w:hyperlink r:id="rId44" w:history="1">
              <w:r w:rsidR="007D763E" w:rsidRPr="00F32CA7">
                <w:rPr>
                  <w:rStyle w:val="Hyperlink"/>
                  <w:sz w:val="24"/>
                  <w:szCs w:val="24"/>
                </w:rPr>
                <w:t>https://sharedshiny.jnj.com/user/mconove1/EPI720_3/</w:t>
              </w:r>
            </w:hyperlink>
            <w:r w:rsidR="007D763E" w:rsidRPr="00F32CA7">
              <w:rPr>
                <w:sz w:val="24"/>
                <w:szCs w:val="24"/>
              </w:rPr>
              <w:t xml:space="preserve"> </w:t>
            </w:r>
            <w:r w:rsidR="00F92F7C" w:rsidRPr="00F32CA7" w:rsidDel="00F92F7C">
              <w:rPr>
                <w:sz w:val="24"/>
                <w:szCs w:val="24"/>
              </w:rPr>
              <w:t xml:space="preserve"> </w:t>
            </w:r>
          </w:p>
        </w:tc>
      </w:tr>
    </w:tbl>
    <w:p w14:paraId="629F6397" w14:textId="77777777" w:rsidR="0040105D" w:rsidRPr="009D3150" w:rsidRDefault="0040105D" w:rsidP="0040105D">
      <w:pPr>
        <w:pStyle w:val="BodyText12"/>
        <w:rPr>
          <w:szCs w:val="24"/>
        </w:rPr>
      </w:pPr>
    </w:p>
    <w:p w14:paraId="17BC700D" w14:textId="63061F2D" w:rsidR="00E864F9" w:rsidRPr="00922AF2" w:rsidRDefault="00E864F9" w:rsidP="00506FE5">
      <w:pPr>
        <w:pStyle w:val="Heading1"/>
        <w:rPr>
          <w:rFonts w:ascii="Times New Roman" w:hAnsi="Times New Roman"/>
          <w:sz w:val="28"/>
          <w:szCs w:val="28"/>
        </w:rPr>
      </w:pPr>
      <w:bookmarkStart w:id="590" w:name="_Toc35611442"/>
      <w:r w:rsidRPr="00922AF2">
        <w:rPr>
          <w:rFonts w:ascii="Times New Roman" w:hAnsi="Times New Roman"/>
          <w:sz w:val="28"/>
          <w:szCs w:val="28"/>
        </w:rPr>
        <w:t>references</w:t>
      </w:r>
      <w:bookmarkEnd w:id="590"/>
    </w:p>
    <w:p w14:paraId="55168AFD" w14:textId="77777777" w:rsidR="0024020C" w:rsidRPr="00922AF2" w:rsidRDefault="0024020C" w:rsidP="00922AF2">
      <w:pPr>
        <w:pStyle w:val="EndNoteBibliography"/>
        <w:spacing w:after="0"/>
        <w:rPr>
          <w:sz w:val="24"/>
          <w:szCs w:val="24"/>
        </w:rPr>
      </w:pPr>
      <w:r w:rsidRPr="00922AF2">
        <w:rPr>
          <w:sz w:val="24"/>
          <w:szCs w:val="24"/>
        </w:rPr>
        <w:fldChar w:fldCharType="begin"/>
      </w:r>
      <w:r w:rsidRPr="00922AF2">
        <w:rPr>
          <w:sz w:val="24"/>
          <w:szCs w:val="24"/>
        </w:rPr>
        <w:instrText xml:space="preserve"> ADDIN EN.REFLIST </w:instrText>
      </w:r>
      <w:r w:rsidRPr="00922AF2">
        <w:rPr>
          <w:sz w:val="24"/>
          <w:szCs w:val="24"/>
        </w:rPr>
        <w:fldChar w:fldCharType="separate"/>
      </w:r>
      <w:r w:rsidRPr="00922AF2">
        <w:rPr>
          <w:sz w:val="24"/>
          <w:szCs w:val="24"/>
        </w:rPr>
        <w:t xml:space="preserve">Albertsen, P. C. (2015). "Observational studies and the natural history of screen-detected prostate cancer." </w:t>
      </w:r>
      <w:r w:rsidRPr="00922AF2">
        <w:rPr>
          <w:sz w:val="24"/>
          <w:szCs w:val="24"/>
          <w:u w:val="single"/>
        </w:rPr>
        <w:t>Curr Opin Urol</w:t>
      </w:r>
      <w:r w:rsidRPr="00922AF2">
        <w:rPr>
          <w:sz w:val="24"/>
          <w:szCs w:val="24"/>
        </w:rPr>
        <w:t xml:space="preserve"> </w:t>
      </w:r>
      <w:r w:rsidRPr="00922AF2">
        <w:rPr>
          <w:b/>
          <w:sz w:val="24"/>
          <w:szCs w:val="24"/>
        </w:rPr>
        <w:t>25</w:t>
      </w:r>
      <w:r w:rsidRPr="00922AF2">
        <w:rPr>
          <w:sz w:val="24"/>
          <w:szCs w:val="24"/>
        </w:rPr>
        <w:t>(3): 232-237.</w:t>
      </w:r>
    </w:p>
    <w:p w14:paraId="5CDEF2B6" w14:textId="77777777" w:rsidR="0024020C" w:rsidRPr="00922AF2" w:rsidRDefault="0024020C">
      <w:pPr>
        <w:pStyle w:val="EndNoteBibliography"/>
        <w:spacing w:after="0"/>
        <w:rPr>
          <w:sz w:val="24"/>
          <w:szCs w:val="24"/>
        </w:rPr>
      </w:pPr>
    </w:p>
    <w:p w14:paraId="2DDDA22B" w14:textId="74BB12FF" w:rsidR="00A24E18" w:rsidRDefault="00A24E18" w:rsidP="00922AF2">
      <w:pPr>
        <w:pStyle w:val="EndNoteBibliography"/>
        <w:spacing w:after="0"/>
        <w:rPr>
          <w:sz w:val="24"/>
          <w:szCs w:val="24"/>
        </w:rPr>
      </w:pPr>
      <w:r w:rsidRPr="00A24E18">
        <w:rPr>
          <w:sz w:val="24"/>
          <w:szCs w:val="24"/>
        </w:rPr>
        <w:t xml:space="preserve">Austin P. </w:t>
      </w:r>
      <w:r>
        <w:rPr>
          <w:sz w:val="24"/>
          <w:szCs w:val="24"/>
        </w:rPr>
        <w:t>"</w:t>
      </w:r>
      <w:r w:rsidRPr="00A24E18">
        <w:rPr>
          <w:sz w:val="24"/>
          <w:szCs w:val="24"/>
        </w:rPr>
        <w:t>Balance diagnostics for comparing the distribution of baseline covariates between treatment groups in propensity-score matched samples.</w:t>
      </w:r>
      <w:r>
        <w:rPr>
          <w:sz w:val="24"/>
          <w:szCs w:val="24"/>
        </w:rPr>
        <w:t>"</w:t>
      </w:r>
      <w:r w:rsidRPr="00A24E18">
        <w:rPr>
          <w:sz w:val="24"/>
          <w:szCs w:val="24"/>
        </w:rPr>
        <w:t xml:space="preserve"> </w:t>
      </w:r>
      <w:r w:rsidRPr="00B87A8B">
        <w:rPr>
          <w:sz w:val="24"/>
          <w:szCs w:val="24"/>
          <w:u w:val="single"/>
        </w:rPr>
        <w:t>Stat Med</w:t>
      </w:r>
      <w:r w:rsidRPr="00A24E18">
        <w:rPr>
          <w:sz w:val="24"/>
          <w:szCs w:val="24"/>
        </w:rPr>
        <w:t>. 2009 Nov 10;28(25):3083-107. https://doi.org/10.1002/sim.3697</w:t>
      </w:r>
    </w:p>
    <w:p w14:paraId="2A772E9B" w14:textId="77777777" w:rsidR="00A24E18" w:rsidRDefault="00A24E18" w:rsidP="00922AF2">
      <w:pPr>
        <w:pStyle w:val="EndNoteBibliography"/>
        <w:spacing w:after="0"/>
        <w:rPr>
          <w:sz w:val="24"/>
          <w:szCs w:val="24"/>
        </w:rPr>
      </w:pPr>
    </w:p>
    <w:p w14:paraId="7012120C" w14:textId="2AA30ACA" w:rsidR="0024020C" w:rsidRPr="00922AF2" w:rsidRDefault="0024020C" w:rsidP="00922AF2">
      <w:pPr>
        <w:pStyle w:val="EndNoteBibliography"/>
        <w:spacing w:after="0"/>
        <w:rPr>
          <w:sz w:val="24"/>
          <w:szCs w:val="24"/>
        </w:rPr>
      </w:pPr>
      <w:r w:rsidRPr="00922AF2">
        <w:rPr>
          <w:sz w:val="24"/>
          <w:szCs w:val="24"/>
        </w:rPr>
        <w:lastRenderedPageBreak/>
        <w:t xml:space="preserve">Banefelt, J., A. Liede, J. Mesterton, J. Stalhammar, R. K. Hernandez, P. Sobocki and B. E. Persson (2014). "Survival and clinical metastases among prostate cancer patients treated with androgen deprivation therapy in Sweden." </w:t>
      </w:r>
      <w:r w:rsidRPr="00922AF2">
        <w:rPr>
          <w:sz w:val="24"/>
          <w:szCs w:val="24"/>
          <w:u w:val="single"/>
        </w:rPr>
        <w:t>Cancer Epidemiol</w:t>
      </w:r>
      <w:r w:rsidRPr="00922AF2">
        <w:rPr>
          <w:sz w:val="24"/>
          <w:szCs w:val="24"/>
        </w:rPr>
        <w:t xml:space="preserve"> </w:t>
      </w:r>
      <w:r w:rsidRPr="00922AF2">
        <w:rPr>
          <w:b/>
          <w:sz w:val="24"/>
          <w:szCs w:val="24"/>
        </w:rPr>
        <w:t>38</w:t>
      </w:r>
      <w:r w:rsidRPr="00922AF2">
        <w:rPr>
          <w:sz w:val="24"/>
          <w:szCs w:val="24"/>
        </w:rPr>
        <w:t>(4): 442-447.</w:t>
      </w:r>
    </w:p>
    <w:p w14:paraId="004B3FB6" w14:textId="77777777" w:rsidR="0024020C" w:rsidRPr="00922AF2" w:rsidRDefault="0024020C">
      <w:pPr>
        <w:pStyle w:val="EndNoteBibliography"/>
        <w:spacing w:after="0"/>
        <w:rPr>
          <w:sz w:val="24"/>
          <w:szCs w:val="24"/>
        </w:rPr>
      </w:pPr>
    </w:p>
    <w:p w14:paraId="61D7EB94" w14:textId="77777777" w:rsidR="0024020C" w:rsidRPr="00922AF2" w:rsidRDefault="0024020C" w:rsidP="00922AF2">
      <w:pPr>
        <w:pStyle w:val="EndNoteBibliography"/>
        <w:spacing w:after="0"/>
        <w:rPr>
          <w:sz w:val="24"/>
          <w:szCs w:val="24"/>
        </w:rPr>
      </w:pPr>
      <w:r w:rsidRPr="00922AF2">
        <w:rPr>
          <w:sz w:val="24"/>
          <w:szCs w:val="24"/>
        </w:rPr>
        <w:t xml:space="preserve">Bernard, B., V. Muralidhar, Y. H. Chen, S. S. Sridhar, E. P. Mitchell, C. A. Pettaway, M. A. Carducci, P. L. Nguyen and C. J. Sweeney (2017). "Impact of ethnicity on the outcome of men with metastatic, hormone-sensitive prostate cancer." </w:t>
      </w:r>
      <w:r w:rsidRPr="00922AF2">
        <w:rPr>
          <w:sz w:val="24"/>
          <w:szCs w:val="24"/>
          <w:u w:val="single"/>
        </w:rPr>
        <w:t>Cancer</w:t>
      </w:r>
      <w:r w:rsidRPr="00922AF2">
        <w:rPr>
          <w:sz w:val="24"/>
          <w:szCs w:val="24"/>
        </w:rPr>
        <w:t xml:space="preserve"> </w:t>
      </w:r>
      <w:r w:rsidRPr="00922AF2">
        <w:rPr>
          <w:b/>
          <w:sz w:val="24"/>
          <w:szCs w:val="24"/>
        </w:rPr>
        <w:t>123</w:t>
      </w:r>
      <w:r w:rsidRPr="00922AF2">
        <w:rPr>
          <w:sz w:val="24"/>
          <w:szCs w:val="24"/>
        </w:rPr>
        <w:t>(9): 1536-1544.</w:t>
      </w:r>
    </w:p>
    <w:p w14:paraId="33756B07" w14:textId="77777777" w:rsidR="0024020C" w:rsidRPr="00922AF2" w:rsidRDefault="0024020C">
      <w:pPr>
        <w:pStyle w:val="EndNoteBibliography"/>
        <w:spacing w:after="0"/>
        <w:rPr>
          <w:sz w:val="24"/>
          <w:szCs w:val="24"/>
        </w:rPr>
      </w:pPr>
    </w:p>
    <w:p w14:paraId="3A97C0BD" w14:textId="77777777" w:rsidR="0024020C" w:rsidRPr="00922AF2" w:rsidRDefault="0024020C" w:rsidP="00922AF2">
      <w:pPr>
        <w:pStyle w:val="EndNoteBibliography"/>
        <w:spacing w:after="0"/>
        <w:rPr>
          <w:sz w:val="24"/>
          <w:szCs w:val="24"/>
        </w:rPr>
      </w:pPr>
      <w:r w:rsidRPr="00922AF2">
        <w:rPr>
          <w:sz w:val="24"/>
          <w:szCs w:val="24"/>
        </w:rPr>
        <w:t xml:space="preserve">Bernard, B. and C. J. Sweeney (2015). "Management of metastatic hormone-sensitive prostate cancer." </w:t>
      </w:r>
      <w:r w:rsidRPr="00922AF2">
        <w:rPr>
          <w:sz w:val="24"/>
          <w:szCs w:val="24"/>
          <w:u w:val="single"/>
        </w:rPr>
        <w:t>Curr Urol Rep</w:t>
      </w:r>
      <w:r w:rsidRPr="00922AF2">
        <w:rPr>
          <w:sz w:val="24"/>
          <w:szCs w:val="24"/>
        </w:rPr>
        <w:t xml:space="preserve"> </w:t>
      </w:r>
      <w:r w:rsidRPr="00922AF2">
        <w:rPr>
          <w:b/>
          <w:sz w:val="24"/>
          <w:szCs w:val="24"/>
        </w:rPr>
        <w:t>16</w:t>
      </w:r>
      <w:r w:rsidRPr="00922AF2">
        <w:rPr>
          <w:sz w:val="24"/>
          <w:szCs w:val="24"/>
        </w:rPr>
        <w:t>(3): 14.</w:t>
      </w:r>
    </w:p>
    <w:p w14:paraId="6AC9DA4A" w14:textId="77777777" w:rsidR="0024020C" w:rsidRPr="00922AF2" w:rsidRDefault="0024020C">
      <w:pPr>
        <w:pStyle w:val="EndNoteBibliography"/>
        <w:spacing w:after="0"/>
        <w:rPr>
          <w:sz w:val="24"/>
          <w:szCs w:val="24"/>
        </w:rPr>
      </w:pPr>
    </w:p>
    <w:p w14:paraId="5CC83B99" w14:textId="77777777" w:rsidR="0024020C" w:rsidRPr="00922AF2" w:rsidRDefault="0024020C" w:rsidP="00922AF2">
      <w:pPr>
        <w:pStyle w:val="EndNoteBibliography"/>
        <w:spacing w:after="0"/>
        <w:rPr>
          <w:sz w:val="24"/>
          <w:szCs w:val="24"/>
        </w:rPr>
      </w:pPr>
      <w:r w:rsidRPr="00922AF2">
        <w:rPr>
          <w:sz w:val="24"/>
          <w:szCs w:val="24"/>
        </w:rPr>
        <w:t xml:space="preserve">Brawley, O. W. (2012). "Prostate cancer epidemiology in the United States." </w:t>
      </w:r>
      <w:r w:rsidRPr="00922AF2">
        <w:rPr>
          <w:sz w:val="24"/>
          <w:szCs w:val="24"/>
          <w:u w:val="single"/>
        </w:rPr>
        <w:t>World J Urol</w:t>
      </w:r>
      <w:r w:rsidRPr="00922AF2">
        <w:rPr>
          <w:sz w:val="24"/>
          <w:szCs w:val="24"/>
        </w:rPr>
        <w:t xml:space="preserve"> </w:t>
      </w:r>
      <w:r w:rsidRPr="00922AF2">
        <w:rPr>
          <w:b/>
          <w:sz w:val="24"/>
          <w:szCs w:val="24"/>
        </w:rPr>
        <w:t>30</w:t>
      </w:r>
      <w:r w:rsidRPr="00922AF2">
        <w:rPr>
          <w:sz w:val="24"/>
          <w:szCs w:val="24"/>
        </w:rPr>
        <w:t>(2): 195-200.</w:t>
      </w:r>
    </w:p>
    <w:p w14:paraId="08A33A05" w14:textId="77777777" w:rsidR="0024020C" w:rsidRPr="00922AF2" w:rsidRDefault="0024020C">
      <w:pPr>
        <w:pStyle w:val="EndNoteBibliography"/>
        <w:spacing w:after="0"/>
        <w:rPr>
          <w:sz w:val="24"/>
          <w:szCs w:val="24"/>
        </w:rPr>
      </w:pPr>
    </w:p>
    <w:p w14:paraId="78F598B2" w14:textId="77777777" w:rsidR="0024020C" w:rsidRPr="00922AF2" w:rsidRDefault="0024020C" w:rsidP="00922AF2">
      <w:pPr>
        <w:pStyle w:val="EndNoteBibliography"/>
        <w:spacing w:after="0"/>
        <w:rPr>
          <w:sz w:val="24"/>
          <w:szCs w:val="24"/>
        </w:rPr>
      </w:pPr>
      <w:r w:rsidRPr="00922AF2">
        <w:rPr>
          <w:sz w:val="24"/>
          <w:szCs w:val="24"/>
        </w:rPr>
        <w:t xml:space="preserve">Bray, F., J. Ferlay, I. Soerjomataram, R. L. Siegel, L. A. Torre and A. Jemal (2018). "Global cancer statistics 2018: GLOBOCAN estimates of incidence and mortality worldwide for 36 cancers in 185 countries." </w:t>
      </w:r>
      <w:r w:rsidRPr="00922AF2">
        <w:rPr>
          <w:sz w:val="24"/>
          <w:szCs w:val="24"/>
          <w:u w:val="single"/>
        </w:rPr>
        <w:t>CA Cancer J Clin</w:t>
      </w:r>
      <w:r w:rsidRPr="00922AF2">
        <w:rPr>
          <w:sz w:val="24"/>
          <w:szCs w:val="24"/>
        </w:rPr>
        <w:t xml:space="preserve"> </w:t>
      </w:r>
      <w:r w:rsidRPr="00922AF2">
        <w:rPr>
          <w:b/>
          <w:sz w:val="24"/>
          <w:szCs w:val="24"/>
        </w:rPr>
        <w:t>68</w:t>
      </w:r>
      <w:r w:rsidRPr="00922AF2">
        <w:rPr>
          <w:sz w:val="24"/>
          <w:szCs w:val="24"/>
        </w:rPr>
        <w:t>(6): 394-424.</w:t>
      </w:r>
    </w:p>
    <w:p w14:paraId="00EFDE6D" w14:textId="77777777" w:rsidR="0024020C" w:rsidRPr="00922AF2" w:rsidRDefault="0024020C">
      <w:pPr>
        <w:pStyle w:val="EndNoteBibliography"/>
        <w:spacing w:after="0"/>
        <w:rPr>
          <w:sz w:val="24"/>
          <w:szCs w:val="24"/>
        </w:rPr>
      </w:pPr>
    </w:p>
    <w:p w14:paraId="0D34B585" w14:textId="77777777" w:rsidR="0024020C" w:rsidRPr="00922AF2" w:rsidRDefault="0024020C" w:rsidP="00922AF2">
      <w:pPr>
        <w:pStyle w:val="EndNoteBibliography"/>
        <w:spacing w:after="0"/>
        <w:rPr>
          <w:sz w:val="24"/>
          <w:szCs w:val="24"/>
        </w:rPr>
      </w:pPr>
      <w:r w:rsidRPr="00922AF2">
        <w:rPr>
          <w:sz w:val="24"/>
          <w:szCs w:val="24"/>
        </w:rPr>
        <w:t xml:space="preserve">Dalela, D., M. Sun, M. Diaz, P. Karabon, T. Seisen, Q.-D. Trinh, M. Menon and F. Abdollah (2019). "Contemporary Trends in the Incidence of Metastatic Prostate Cancer Among US Men: Results from Nationwide Analyses." </w:t>
      </w:r>
      <w:r w:rsidRPr="00922AF2">
        <w:rPr>
          <w:sz w:val="24"/>
          <w:szCs w:val="24"/>
          <w:u w:val="single"/>
        </w:rPr>
        <w:t>European Urology Focus</w:t>
      </w:r>
      <w:r w:rsidRPr="00922AF2">
        <w:rPr>
          <w:sz w:val="24"/>
          <w:szCs w:val="24"/>
        </w:rPr>
        <w:t xml:space="preserve"> </w:t>
      </w:r>
      <w:r w:rsidRPr="00922AF2">
        <w:rPr>
          <w:b/>
          <w:sz w:val="24"/>
          <w:szCs w:val="24"/>
        </w:rPr>
        <w:t>5</w:t>
      </w:r>
      <w:r w:rsidRPr="00922AF2">
        <w:rPr>
          <w:sz w:val="24"/>
          <w:szCs w:val="24"/>
        </w:rPr>
        <w:t>(1): 77-80.</w:t>
      </w:r>
    </w:p>
    <w:p w14:paraId="3A247274" w14:textId="77777777" w:rsidR="0024020C" w:rsidRPr="00922AF2" w:rsidRDefault="0024020C">
      <w:pPr>
        <w:pStyle w:val="EndNoteBibliography"/>
        <w:spacing w:after="0"/>
        <w:rPr>
          <w:sz w:val="24"/>
          <w:szCs w:val="24"/>
        </w:rPr>
      </w:pPr>
    </w:p>
    <w:p w14:paraId="2347A7E4" w14:textId="411F7B79" w:rsidR="0024020C" w:rsidRDefault="0024020C" w:rsidP="00922AF2">
      <w:pPr>
        <w:pStyle w:val="EndNoteBibliography"/>
        <w:spacing w:after="0"/>
        <w:rPr>
          <w:sz w:val="24"/>
          <w:szCs w:val="24"/>
        </w:rPr>
      </w:pPr>
      <w:r w:rsidRPr="00922AF2">
        <w:rPr>
          <w:sz w:val="24"/>
          <w:szCs w:val="24"/>
        </w:rPr>
        <w:t xml:space="preserve">Engholm, G. F., J; Christensen, N; Hansen, HL; et al. (2018, June 2018). "Cancer Incidence, Mortality, Prevalence and Survival in the Nordic Countries, Version 8.1 "   Retrieved Nov. 26, 2018, from </w:t>
      </w:r>
      <w:hyperlink r:id="rId45" w:history="1">
        <w:r w:rsidRPr="00922AF2">
          <w:rPr>
            <w:rStyle w:val="Hyperlink"/>
            <w:sz w:val="24"/>
            <w:szCs w:val="24"/>
          </w:rPr>
          <w:t>http://www.ancr.nu</w:t>
        </w:r>
      </w:hyperlink>
      <w:r w:rsidRPr="00922AF2">
        <w:rPr>
          <w:sz w:val="24"/>
          <w:szCs w:val="24"/>
        </w:rPr>
        <w:t>.</w:t>
      </w:r>
    </w:p>
    <w:p w14:paraId="6FD095D0" w14:textId="301049FE" w:rsidR="006B546E" w:rsidRDefault="006B546E" w:rsidP="00922AF2">
      <w:pPr>
        <w:pStyle w:val="EndNoteBibliography"/>
        <w:spacing w:after="0"/>
        <w:rPr>
          <w:sz w:val="24"/>
          <w:szCs w:val="24"/>
        </w:rPr>
      </w:pPr>
    </w:p>
    <w:p w14:paraId="7BF371CE" w14:textId="51360B23" w:rsidR="006B546E" w:rsidRPr="00922AF2" w:rsidRDefault="006B546E" w:rsidP="00922AF2">
      <w:pPr>
        <w:pStyle w:val="EndNoteBibliography"/>
        <w:spacing w:after="0"/>
        <w:rPr>
          <w:sz w:val="24"/>
          <w:szCs w:val="24"/>
        </w:rPr>
      </w:pPr>
      <w:r w:rsidRPr="006B546E">
        <w:rPr>
          <w:sz w:val="24"/>
          <w:szCs w:val="24"/>
        </w:rPr>
        <w:t xml:space="preserve">Hernán MA. </w:t>
      </w:r>
      <w:r>
        <w:rPr>
          <w:sz w:val="24"/>
          <w:szCs w:val="24"/>
        </w:rPr>
        <w:t>"</w:t>
      </w:r>
      <w:r w:rsidRPr="006B546E">
        <w:rPr>
          <w:sz w:val="24"/>
          <w:szCs w:val="24"/>
        </w:rPr>
        <w:t>The hazards of hazard ratios.</w:t>
      </w:r>
      <w:r>
        <w:rPr>
          <w:sz w:val="24"/>
          <w:szCs w:val="24"/>
        </w:rPr>
        <w:t>"</w:t>
      </w:r>
      <w:r w:rsidRPr="006B546E">
        <w:rPr>
          <w:sz w:val="24"/>
          <w:szCs w:val="24"/>
        </w:rPr>
        <w:t xml:space="preserve"> </w:t>
      </w:r>
      <w:r w:rsidRPr="00B87A8B">
        <w:rPr>
          <w:sz w:val="24"/>
          <w:szCs w:val="24"/>
          <w:u w:val="single"/>
        </w:rPr>
        <w:t>Epidemiology</w:t>
      </w:r>
      <w:r w:rsidRPr="006B546E">
        <w:rPr>
          <w:sz w:val="24"/>
          <w:szCs w:val="24"/>
        </w:rPr>
        <w:t>. 2010 Jan;21(1):13-5. DOI: 10.1097/EDE.0b013e3181c1ea43. URL: https://www.ncbi.nlm.nih.gov/pmc/articles/PMC3653612/</w:t>
      </w:r>
    </w:p>
    <w:p w14:paraId="0F00AC99" w14:textId="77777777" w:rsidR="0024020C" w:rsidRPr="00922AF2" w:rsidRDefault="0024020C">
      <w:pPr>
        <w:pStyle w:val="EndNoteBibliography"/>
        <w:spacing w:after="0"/>
        <w:rPr>
          <w:sz w:val="24"/>
          <w:szCs w:val="24"/>
        </w:rPr>
      </w:pPr>
    </w:p>
    <w:p w14:paraId="27EA2A19" w14:textId="77777777" w:rsidR="0024020C" w:rsidRPr="00922AF2" w:rsidRDefault="0024020C" w:rsidP="00922AF2">
      <w:pPr>
        <w:pStyle w:val="EndNoteBibliography"/>
        <w:spacing w:after="0"/>
        <w:rPr>
          <w:sz w:val="24"/>
          <w:szCs w:val="24"/>
        </w:rPr>
      </w:pPr>
      <w:r w:rsidRPr="00922AF2">
        <w:rPr>
          <w:sz w:val="24"/>
          <w:szCs w:val="24"/>
        </w:rPr>
        <w:t xml:space="preserve">Hirst, C. J., C. Cabrera and M. Kirby (2012). "Epidemiology of castration resistant prostate cancer: a longitudinal analysis using a UK primary care database." </w:t>
      </w:r>
      <w:r w:rsidRPr="00922AF2">
        <w:rPr>
          <w:sz w:val="24"/>
          <w:szCs w:val="24"/>
          <w:u w:val="single"/>
        </w:rPr>
        <w:t>Cancer Epidemiol</w:t>
      </w:r>
      <w:r w:rsidRPr="00922AF2">
        <w:rPr>
          <w:sz w:val="24"/>
          <w:szCs w:val="24"/>
        </w:rPr>
        <w:t xml:space="preserve"> </w:t>
      </w:r>
      <w:r w:rsidRPr="00922AF2">
        <w:rPr>
          <w:b/>
          <w:sz w:val="24"/>
          <w:szCs w:val="24"/>
        </w:rPr>
        <w:t>36</w:t>
      </w:r>
      <w:r w:rsidRPr="00922AF2">
        <w:rPr>
          <w:sz w:val="24"/>
          <w:szCs w:val="24"/>
        </w:rPr>
        <w:t>(6): e349-353.</w:t>
      </w:r>
    </w:p>
    <w:p w14:paraId="5D5DC39E" w14:textId="77777777" w:rsidR="0024020C" w:rsidRPr="00922AF2" w:rsidRDefault="0024020C">
      <w:pPr>
        <w:pStyle w:val="EndNoteBibliography"/>
        <w:spacing w:after="0"/>
        <w:rPr>
          <w:sz w:val="24"/>
          <w:szCs w:val="24"/>
        </w:rPr>
      </w:pPr>
    </w:p>
    <w:p w14:paraId="712669A0" w14:textId="77777777" w:rsidR="0024020C" w:rsidRPr="00922AF2" w:rsidRDefault="0024020C" w:rsidP="00922AF2">
      <w:pPr>
        <w:pStyle w:val="EndNoteBibliography"/>
        <w:spacing w:after="0"/>
        <w:rPr>
          <w:sz w:val="24"/>
          <w:szCs w:val="24"/>
        </w:rPr>
      </w:pPr>
      <w:r w:rsidRPr="00922AF2">
        <w:rPr>
          <w:sz w:val="24"/>
          <w:szCs w:val="24"/>
        </w:rPr>
        <w:t xml:space="preserve">Holmberg, L. and M. Van Hemelrijck (2014). "The biology and natural history of prostate cancer: a short introduction." </w:t>
      </w:r>
      <w:r w:rsidRPr="00922AF2">
        <w:rPr>
          <w:sz w:val="24"/>
          <w:szCs w:val="24"/>
          <w:u w:val="single"/>
        </w:rPr>
        <w:t>Recent Results Cancer Res</w:t>
      </w:r>
      <w:r w:rsidRPr="00922AF2">
        <w:rPr>
          <w:sz w:val="24"/>
          <w:szCs w:val="24"/>
        </w:rPr>
        <w:t xml:space="preserve"> </w:t>
      </w:r>
      <w:r w:rsidRPr="00922AF2">
        <w:rPr>
          <w:b/>
          <w:sz w:val="24"/>
          <w:szCs w:val="24"/>
        </w:rPr>
        <w:t>202</w:t>
      </w:r>
      <w:r w:rsidRPr="00922AF2">
        <w:rPr>
          <w:sz w:val="24"/>
          <w:szCs w:val="24"/>
        </w:rPr>
        <w:t>: 1-7.</w:t>
      </w:r>
    </w:p>
    <w:p w14:paraId="69AF082C" w14:textId="77777777" w:rsidR="0024020C" w:rsidRPr="00922AF2" w:rsidRDefault="0024020C">
      <w:pPr>
        <w:pStyle w:val="EndNoteBibliography"/>
        <w:spacing w:after="0"/>
        <w:rPr>
          <w:sz w:val="24"/>
          <w:szCs w:val="24"/>
        </w:rPr>
      </w:pPr>
    </w:p>
    <w:p w14:paraId="7AD9734C" w14:textId="77777777" w:rsidR="0024020C" w:rsidRPr="00922AF2" w:rsidRDefault="0024020C" w:rsidP="00922AF2">
      <w:pPr>
        <w:pStyle w:val="EndNoteBibliography"/>
        <w:spacing w:after="0"/>
        <w:rPr>
          <w:sz w:val="24"/>
          <w:szCs w:val="24"/>
        </w:rPr>
      </w:pPr>
      <w:r w:rsidRPr="00922AF2">
        <w:rPr>
          <w:sz w:val="24"/>
          <w:szCs w:val="24"/>
        </w:rPr>
        <w:t xml:space="preserve">International Agency for Research on Cancer. (2018). "Cancer Today."   Retrieved Nov. 29, 2018, from </w:t>
      </w:r>
      <w:hyperlink r:id="rId46" w:history="1">
        <w:r w:rsidRPr="00922AF2">
          <w:rPr>
            <w:rStyle w:val="Hyperlink"/>
            <w:sz w:val="24"/>
            <w:szCs w:val="24"/>
          </w:rPr>
          <w:t>http://gco.iarc.fr/today/home</w:t>
        </w:r>
      </w:hyperlink>
      <w:r w:rsidRPr="00922AF2">
        <w:rPr>
          <w:sz w:val="24"/>
          <w:szCs w:val="24"/>
        </w:rPr>
        <w:t>.</w:t>
      </w:r>
    </w:p>
    <w:p w14:paraId="0329195C" w14:textId="77777777" w:rsidR="0024020C" w:rsidRPr="00922AF2" w:rsidRDefault="0024020C">
      <w:pPr>
        <w:pStyle w:val="EndNoteBibliography"/>
        <w:spacing w:after="0"/>
        <w:rPr>
          <w:sz w:val="24"/>
          <w:szCs w:val="24"/>
        </w:rPr>
      </w:pPr>
    </w:p>
    <w:p w14:paraId="5ABE7D84" w14:textId="1812E997" w:rsidR="0024020C" w:rsidRDefault="0024020C" w:rsidP="00922AF2">
      <w:pPr>
        <w:pStyle w:val="EndNoteBibliography"/>
        <w:spacing w:after="0"/>
        <w:rPr>
          <w:sz w:val="24"/>
          <w:szCs w:val="24"/>
        </w:rPr>
      </w:pPr>
      <w:r w:rsidRPr="00922AF2">
        <w:rPr>
          <w:sz w:val="24"/>
          <w:szCs w:val="24"/>
        </w:rPr>
        <w:t xml:space="preserve">Kantar Health. (2018). "Western Europe Patient Metrics: Sources and Methodology."   Retrieved Dec. 6, 2018, from </w:t>
      </w:r>
      <w:hyperlink r:id="rId47" w:anchor="id/3458" w:history="1">
        <w:r w:rsidRPr="00922AF2">
          <w:rPr>
            <w:rStyle w:val="Hyperlink"/>
            <w:sz w:val="24"/>
            <w:szCs w:val="24"/>
          </w:rPr>
          <w:t>http://cancermpact.khapps.com/#id/3458</w:t>
        </w:r>
      </w:hyperlink>
      <w:r w:rsidRPr="00922AF2">
        <w:rPr>
          <w:sz w:val="24"/>
          <w:szCs w:val="24"/>
        </w:rPr>
        <w:t>.</w:t>
      </w:r>
    </w:p>
    <w:p w14:paraId="28980BB1" w14:textId="6C0543DD" w:rsidR="006B546E" w:rsidRDefault="006B546E" w:rsidP="00922AF2">
      <w:pPr>
        <w:pStyle w:val="EndNoteBibliography"/>
        <w:spacing w:after="0"/>
        <w:rPr>
          <w:sz w:val="24"/>
          <w:szCs w:val="24"/>
        </w:rPr>
      </w:pPr>
      <w:bookmarkStart w:id="591" w:name="_GoBack"/>
      <w:bookmarkEnd w:id="591"/>
    </w:p>
    <w:p w14:paraId="210968D4" w14:textId="02DF7B64" w:rsidR="006B546E" w:rsidRPr="00922AF2" w:rsidRDefault="006B546E" w:rsidP="00922AF2">
      <w:pPr>
        <w:pStyle w:val="EndNoteBibliography"/>
        <w:spacing w:after="0"/>
        <w:rPr>
          <w:sz w:val="24"/>
          <w:szCs w:val="24"/>
        </w:rPr>
      </w:pPr>
      <w:r w:rsidRPr="006B546E">
        <w:rPr>
          <w:sz w:val="24"/>
          <w:szCs w:val="24"/>
        </w:rPr>
        <w:t xml:space="preserve">Levin, M. A., et al. (2019). "Alive or dead: Validity of the Social Security Administration Death Master File after 2011." </w:t>
      </w:r>
      <w:r w:rsidRPr="00B87A8B">
        <w:rPr>
          <w:sz w:val="24"/>
          <w:szCs w:val="24"/>
          <w:u w:val="single"/>
        </w:rPr>
        <w:t>Health Serv Res</w:t>
      </w:r>
      <w:r w:rsidRPr="006B546E">
        <w:rPr>
          <w:sz w:val="24"/>
          <w:szCs w:val="24"/>
        </w:rPr>
        <w:t xml:space="preserve"> 54(1): 24-33.</w:t>
      </w:r>
    </w:p>
    <w:p w14:paraId="58E21968" w14:textId="77777777" w:rsidR="0024020C" w:rsidRPr="00922AF2" w:rsidRDefault="0024020C">
      <w:pPr>
        <w:pStyle w:val="EndNoteBibliography"/>
        <w:spacing w:after="0"/>
        <w:rPr>
          <w:sz w:val="24"/>
          <w:szCs w:val="24"/>
        </w:rPr>
      </w:pPr>
    </w:p>
    <w:p w14:paraId="74F57D33" w14:textId="77777777" w:rsidR="0024020C" w:rsidRPr="00922AF2" w:rsidRDefault="0024020C" w:rsidP="00922AF2">
      <w:pPr>
        <w:pStyle w:val="EndNoteBibliography"/>
        <w:spacing w:after="0"/>
        <w:rPr>
          <w:sz w:val="24"/>
          <w:szCs w:val="24"/>
        </w:rPr>
      </w:pPr>
      <w:r w:rsidRPr="00922AF2">
        <w:rPr>
          <w:sz w:val="24"/>
          <w:szCs w:val="24"/>
        </w:rPr>
        <w:t xml:space="preserve">Liede, A., O. Günther, B. Bennett and S. Wong (2012). Prevalence of non-metastatic castration-resistant prostate cancer in Europe. </w:t>
      </w:r>
      <w:r w:rsidRPr="00922AF2">
        <w:rPr>
          <w:sz w:val="24"/>
          <w:szCs w:val="24"/>
          <w:u w:val="single"/>
        </w:rPr>
        <w:t>European Society for Medical Oncology</w:t>
      </w:r>
      <w:r w:rsidRPr="00922AF2">
        <w:rPr>
          <w:sz w:val="24"/>
          <w:szCs w:val="24"/>
        </w:rPr>
        <w:t>. Vienna, Austria.</w:t>
      </w:r>
    </w:p>
    <w:p w14:paraId="08D1063E" w14:textId="00DD4ACB" w:rsidR="0024020C" w:rsidRPr="00922AF2" w:rsidRDefault="00E64EBB">
      <w:pPr>
        <w:pStyle w:val="EndNoteBibliography"/>
        <w:spacing w:after="0"/>
        <w:rPr>
          <w:sz w:val="24"/>
          <w:szCs w:val="24"/>
        </w:rPr>
      </w:pPr>
      <w:r w:rsidRPr="00E64EBB">
        <w:rPr>
          <w:sz w:val="24"/>
          <w:szCs w:val="24"/>
        </w:rPr>
        <w:lastRenderedPageBreak/>
        <w:t>Lu-Yao, G., et al. (2019). Clinical outcomes among patients treated with abiraterone acetate for advanced prostate cancer with pre-existing cardiovascular conditions, AACR.</w:t>
      </w:r>
    </w:p>
    <w:p w14:paraId="4D45A7E0" w14:textId="77777777" w:rsidR="00E64EBB" w:rsidRDefault="00E64EBB" w:rsidP="00922AF2">
      <w:pPr>
        <w:pStyle w:val="EndNoteBibliography"/>
        <w:spacing w:after="0"/>
        <w:rPr>
          <w:sz w:val="24"/>
          <w:szCs w:val="24"/>
        </w:rPr>
      </w:pPr>
    </w:p>
    <w:p w14:paraId="55E91D9D" w14:textId="4951415F" w:rsidR="0024020C" w:rsidRPr="00922AF2" w:rsidRDefault="0024020C" w:rsidP="00922AF2">
      <w:pPr>
        <w:pStyle w:val="EndNoteBibliography"/>
        <w:spacing w:after="0"/>
        <w:rPr>
          <w:sz w:val="24"/>
          <w:szCs w:val="24"/>
        </w:rPr>
      </w:pPr>
      <w:r w:rsidRPr="00922AF2">
        <w:rPr>
          <w:sz w:val="24"/>
          <w:szCs w:val="24"/>
        </w:rPr>
        <w:t xml:space="preserve">Mottet, N., M. De Santis, E. Briers, L. Bourke, S. Gillessen, J. P. Grummet, T. B. Lam, H. G. van der Poel, O. Rouvière, R. C. N. van den Bergh and P. Cornford (2018). "Updated Guidelines for Metastatic Hormone-sensitive Prostate Cancer: Abiraterone Acetate Combined with Castration Is Another Standard." </w:t>
      </w:r>
      <w:r w:rsidRPr="00922AF2">
        <w:rPr>
          <w:sz w:val="24"/>
          <w:szCs w:val="24"/>
          <w:u w:val="single"/>
        </w:rPr>
        <w:t>European Urology</w:t>
      </w:r>
      <w:r w:rsidRPr="00922AF2">
        <w:rPr>
          <w:sz w:val="24"/>
          <w:szCs w:val="24"/>
        </w:rPr>
        <w:t xml:space="preserve"> </w:t>
      </w:r>
      <w:r w:rsidRPr="00922AF2">
        <w:rPr>
          <w:b/>
          <w:sz w:val="24"/>
          <w:szCs w:val="24"/>
        </w:rPr>
        <w:t>73</w:t>
      </w:r>
      <w:r w:rsidRPr="00922AF2">
        <w:rPr>
          <w:sz w:val="24"/>
          <w:szCs w:val="24"/>
        </w:rPr>
        <w:t>(3): 316-321.</w:t>
      </w:r>
    </w:p>
    <w:p w14:paraId="6B21E680" w14:textId="77777777" w:rsidR="0024020C" w:rsidRPr="00922AF2" w:rsidRDefault="0024020C">
      <w:pPr>
        <w:pStyle w:val="EndNoteBibliography"/>
        <w:spacing w:after="0"/>
        <w:rPr>
          <w:sz w:val="24"/>
          <w:szCs w:val="24"/>
        </w:rPr>
      </w:pPr>
    </w:p>
    <w:p w14:paraId="0E94ADDF" w14:textId="77777777" w:rsidR="0024020C" w:rsidRPr="00922AF2" w:rsidRDefault="0024020C" w:rsidP="00922AF2">
      <w:pPr>
        <w:pStyle w:val="EndNoteBibliography"/>
        <w:spacing w:after="0"/>
        <w:rPr>
          <w:sz w:val="24"/>
          <w:szCs w:val="24"/>
        </w:rPr>
      </w:pPr>
      <w:r w:rsidRPr="00922AF2">
        <w:rPr>
          <w:sz w:val="24"/>
          <w:szCs w:val="24"/>
        </w:rPr>
        <w:t xml:space="preserve">Ng, H. S., B. Koczwara, D. Roder and A. Vitry (2018). "Development of comorbidities in men with prostate cancer treated with androgen deprivation therapy: an Australian population-based cohort study." </w:t>
      </w:r>
      <w:r w:rsidRPr="00922AF2">
        <w:rPr>
          <w:sz w:val="24"/>
          <w:szCs w:val="24"/>
          <w:u w:val="single"/>
        </w:rPr>
        <w:t>Prostate Cancer Prostatic Dis</w:t>
      </w:r>
      <w:r w:rsidRPr="00922AF2">
        <w:rPr>
          <w:sz w:val="24"/>
          <w:szCs w:val="24"/>
        </w:rPr>
        <w:t xml:space="preserve"> </w:t>
      </w:r>
      <w:r w:rsidRPr="00922AF2">
        <w:rPr>
          <w:b/>
          <w:sz w:val="24"/>
          <w:szCs w:val="24"/>
        </w:rPr>
        <w:t>21</w:t>
      </w:r>
      <w:r w:rsidRPr="00922AF2">
        <w:rPr>
          <w:sz w:val="24"/>
          <w:szCs w:val="24"/>
        </w:rPr>
        <w:t>(3): 403-410.</w:t>
      </w:r>
    </w:p>
    <w:p w14:paraId="78DEF0BE" w14:textId="77777777" w:rsidR="0024020C" w:rsidRPr="00922AF2" w:rsidRDefault="0024020C">
      <w:pPr>
        <w:pStyle w:val="EndNoteBibliography"/>
        <w:spacing w:after="0"/>
        <w:rPr>
          <w:sz w:val="24"/>
          <w:szCs w:val="24"/>
        </w:rPr>
      </w:pPr>
    </w:p>
    <w:p w14:paraId="1BC693B9" w14:textId="77777777" w:rsidR="0024020C" w:rsidRPr="00922AF2" w:rsidRDefault="0024020C" w:rsidP="00922AF2">
      <w:pPr>
        <w:pStyle w:val="EndNoteBibliography"/>
        <w:spacing w:after="0"/>
        <w:rPr>
          <w:sz w:val="24"/>
          <w:szCs w:val="24"/>
        </w:rPr>
      </w:pPr>
      <w:r w:rsidRPr="00922AF2">
        <w:rPr>
          <w:sz w:val="24"/>
          <w:szCs w:val="24"/>
        </w:rPr>
        <w:t xml:space="preserve">Nguyen-Nielsen, M., A. Liede, M. L. Maegbaek, M. Borre, N. Harving, R. K. Hernandez, H. Toft Sorensen and V. Ehrenstein (2015). "Survival and PSA-markers for mortality and metastasis in nonmetastatic prostate cancer treated with androgen deprivation therapy." </w:t>
      </w:r>
      <w:r w:rsidRPr="00922AF2">
        <w:rPr>
          <w:sz w:val="24"/>
          <w:szCs w:val="24"/>
          <w:u w:val="single"/>
        </w:rPr>
        <w:t>Cancer Epidemiol</w:t>
      </w:r>
      <w:r w:rsidRPr="00922AF2">
        <w:rPr>
          <w:sz w:val="24"/>
          <w:szCs w:val="24"/>
        </w:rPr>
        <w:t xml:space="preserve"> </w:t>
      </w:r>
      <w:r w:rsidRPr="00922AF2">
        <w:rPr>
          <w:b/>
          <w:sz w:val="24"/>
          <w:szCs w:val="24"/>
        </w:rPr>
        <w:t>39</w:t>
      </w:r>
      <w:r w:rsidRPr="00922AF2">
        <w:rPr>
          <w:sz w:val="24"/>
          <w:szCs w:val="24"/>
        </w:rPr>
        <w:t>(4): 623-632.</w:t>
      </w:r>
    </w:p>
    <w:p w14:paraId="2C1DECDC" w14:textId="77777777" w:rsidR="0024020C" w:rsidRPr="00922AF2" w:rsidRDefault="0024020C">
      <w:pPr>
        <w:pStyle w:val="EndNoteBibliography"/>
        <w:spacing w:after="0"/>
        <w:rPr>
          <w:sz w:val="24"/>
          <w:szCs w:val="24"/>
        </w:rPr>
      </w:pPr>
    </w:p>
    <w:p w14:paraId="131486CC" w14:textId="77777777" w:rsidR="0024020C" w:rsidRPr="00922AF2" w:rsidRDefault="0024020C" w:rsidP="00922AF2">
      <w:pPr>
        <w:pStyle w:val="EndNoteBibliography"/>
        <w:spacing w:after="0"/>
        <w:rPr>
          <w:sz w:val="24"/>
          <w:szCs w:val="24"/>
        </w:rPr>
      </w:pPr>
      <w:r w:rsidRPr="00922AF2">
        <w:rPr>
          <w:sz w:val="24"/>
          <w:szCs w:val="24"/>
        </w:rPr>
        <w:t xml:space="preserve">Noone AM, Howlader N, Krapcho M, Miller D, Brest A, Yu M, Ruhl J, Tatalovich Z, Mariotto A, Lewis DR, Chen HS, Feuer EJ and C. K. (eds). (2018). "SEER Cancer Statistics Review, 1975-2015."   Retrieved Nov. 27, 2018, from </w:t>
      </w:r>
      <w:hyperlink r:id="rId48" w:history="1">
        <w:r w:rsidRPr="00922AF2">
          <w:rPr>
            <w:rStyle w:val="Hyperlink"/>
            <w:sz w:val="24"/>
            <w:szCs w:val="24"/>
          </w:rPr>
          <w:t>https://seer.cancer.gov/csr/1975_2015/</w:t>
        </w:r>
      </w:hyperlink>
      <w:r w:rsidRPr="00922AF2">
        <w:rPr>
          <w:sz w:val="24"/>
          <w:szCs w:val="24"/>
        </w:rPr>
        <w:t xml:space="preserve"> based on November 2017 SEER data submission, posted to the SEER web site, April 2018.</w:t>
      </w:r>
    </w:p>
    <w:p w14:paraId="1583EF8B" w14:textId="6D375BD2" w:rsidR="0024020C" w:rsidRDefault="0024020C">
      <w:pPr>
        <w:pStyle w:val="EndNoteBibliography"/>
        <w:spacing w:after="0"/>
        <w:rPr>
          <w:sz w:val="24"/>
          <w:szCs w:val="24"/>
        </w:rPr>
      </w:pPr>
    </w:p>
    <w:p w14:paraId="7FCA79C7" w14:textId="5314CE02" w:rsidR="00CD2D68" w:rsidRDefault="00CD2D68">
      <w:pPr>
        <w:pStyle w:val="EndNoteBibliography"/>
        <w:spacing w:after="0"/>
        <w:rPr>
          <w:sz w:val="24"/>
          <w:szCs w:val="24"/>
        </w:rPr>
      </w:pPr>
      <w:r w:rsidRPr="00CD2D68">
        <w:rPr>
          <w:sz w:val="24"/>
          <w:szCs w:val="24"/>
        </w:rPr>
        <w:t>OHDSI. “Definition and DDLs for the OMOP Common Data Model (CDM)” CommonDataModel, https://github.com/OHDSI/CommonDataModel. Accessed 2 February 2020.</w:t>
      </w:r>
    </w:p>
    <w:p w14:paraId="6A8D42E3" w14:textId="77777777" w:rsidR="00CD2D68" w:rsidRPr="00922AF2" w:rsidRDefault="00CD2D68">
      <w:pPr>
        <w:pStyle w:val="EndNoteBibliography"/>
        <w:spacing w:after="0"/>
        <w:rPr>
          <w:sz w:val="24"/>
          <w:szCs w:val="24"/>
        </w:rPr>
      </w:pPr>
    </w:p>
    <w:p w14:paraId="01895A27" w14:textId="3EF7862D" w:rsidR="0024020C" w:rsidRDefault="0024020C" w:rsidP="00922AF2">
      <w:pPr>
        <w:pStyle w:val="EndNoteBibliography"/>
        <w:spacing w:after="0"/>
        <w:rPr>
          <w:sz w:val="24"/>
          <w:szCs w:val="24"/>
        </w:rPr>
      </w:pPr>
      <w:r w:rsidRPr="00922AF2">
        <w:rPr>
          <w:sz w:val="24"/>
          <w:szCs w:val="24"/>
        </w:rPr>
        <w:t xml:space="preserve">Pascale, M., C. N. Azinwi, B. Marongiu, G. Pesce, F. Stoffel and E. Roggero (2017). "The outcome of prostate cancer patients treated with curative intent strongly depends on survival after metastatic progression." </w:t>
      </w:r>
      <w:r w:rsidRPr="00922AF2">
        <w:rPr>
          <w:sz w:val="24"/>
          <w:szCs w:val="24"/>
          <w:u w:val="single"/>
        </w:rPr>
        <w:t>BMC cancer</w:t>
      </w:r>
      <w:r w:rsidRPr="00922AF2">
        <w:rPr>
          <w:sz w:val="24"/>
          <w:szCs w:val="24"/>
        </w:rPr>
        <w:t xml:space="preserve"> </w:t>
      </w:r>
      <w:r w:rsidRPr="00922AF2">
        <w:rPr>
          <w:b/>
          <w:sz w:val="24"/>
          <w:szCs w:val="24"/>
        </w:rPr>
        <w:t>17</w:t>
      </w:r>
      <w:r w:rsidRPr="00922AF2">
        <w:rPr>
          <w:sz w:val="24"/>
          <w:szCs w:val="24"/>
        </w:rPr>
        <w:t>(1): 651-651.</w:t>
      </w:r>
    </w:p>
    <w:p w14:paraId="38E33BC6" w14:textId="77777777" w:rsidR="0056651D" w:rsidRDefault="0056651D" w:rsidP="00922AF2">
      <w:pPr>
        <w:pStyle w:val="EndNoteBibliography"/>
        <w:spacing w:after="0"/>
        <w:rPr>
          <w:sz w:val="24"/>
          <w:szCs w:val="24"/>
        </w:rPr>
      </w:pPr>
    </w:p>
    <w:p w14:paraId="0EF72AE8" w14:textId="1C52A433" w:rsidR="0056651D" w:rsidRPr="00922AF2" w:rsidRDefault="0056651D" w:rsidP="00922AF2">
      <w:pPr>
        <w:pStyle w:val="EndNoteBibliography"/>
        <w:spacing w:after="0"/>
        <w:rPr>
          <w:sz w:val="24"/>
          <w:szCs w:val="24"/>
        </w:rPr>
      </w:pPr>
      <w:r w:rsidRPr="0056651D">
        <w:rPr>
          <w:sz w:val="24"/>
          <w:szCs w:val="24"/>
        </w:rPr>
        <w:t xml:space="preserve">Pazdur, R. U.S. Food &amp; Drug Administration: Center for Drug Evaluation and Research. (2012). </w:t>
      </w:r>
      <w:r>
        <w:rPr>
          <w:sz w:val="24"/>
          <w:szCs w:val="24"/>
        </w:rPr>
        <w:t>"</w:t>
      </w:r>
      <w:r w:rsidRPr="0056651D">
        <w:rPr>
          <w:sz w:val="24"/>
          <w:szCs w:val="24"/>
        </w:rPr>
        <w:t>NDA Approval Letter for Xtandi®</w:t>
      </w:r>
      <w:r>
        <w:rPr>
          <w:sz w:val="24"/>
          <w:szCs w:val="24"/>
        </w:rPr>
        <w:t>"</w:t>
      </w:r>
      <w:r w:rsidRPr="0056651D">
        <w:rPr>
          <w:sz w:val="24"/>
          <w:szCs w:val="24"/>
        </w:rPr>
        <w:t xml:space="preserve"> (NDA 203415). Silver Spring, MD. URL: https://www.accessdata.fda.gov/drugsatfda_docs/appletter/2012/203415Orig1s000ltr.pdf</w:t>
      </w:r>
      <w:r>
        <w:rPr>
          <w:sz w:val="24"/>
          <w:szCs w:val="24"/>
        </w:rPr>
        <w:t xml:space="preserve"> </w:t>
      </w:r>
    </w:p>
    <w:p w14:paraId="0D54358E" w14:textId="77777777" w:rsidR="0024020C" w:rsidRPr="00922AF2" w:rsidRDefault="0024020C">
      <w:pPr>
        <w:pStyle w:val="EndNoteBibliography"/>
        <w:spacing w:after="0"/>
        <w:rPr>
          <w:sz w:val="24"/>
          <w:szCs w:val="24"/>
        </w:rPr>
      </w:pPr>
    </w:p>
    <w:p w14:paraId="72974294" w14:textId="77777777" w:rsidR="0024020C" w:rsidRPr="00922AF2" w:rsidRDefault="0024020C" w:rsidP="00922AF2">
      <w:pPr>
        <w:pStyle w:val="EndNoteBibliography"/>
        <w:spacing w:after="0"/>
        <w:rPr>
          <w:sz w:val="24"/>
          <w:szCs w:val="24"/>
        </w:rPr>
      </w:pPr>
      <w:r w:rsidRPr="00922AF2">
        <w:rPr>
          <w:sz w:val="24"/>
          <w:szCs w:val="24"/>
        </w:rPr>
        <w:t xml:space="preserve">Punnen, S. and M. R. Cooperberg (2013). "The epidemiology of high-risk prostate cancer." </w:t>
      </w:r>
      <w:r w:rsidRPr="00922AF2">
        <w:rPr>
          <w:sz w:val="24"/>
          <w:szCs w:val="24"/>
          <w:u w:val="single"/>
        </w:rPr>
        <w:t>Curr Opin Urol</w:t>
      </w:r>
      <w:r w:rsidRPr="00922AF2">
        <w:rPr>
          <w:sz w:val="24"/>
          <w:szCs w:val="24"/>
        </w:rPr>
        <w:t xml:space="preserve"> </w:t>
      </w:r>
      <w:r w:rsidRPr="00922AF2">
        <w:rPr>
          <w:b/>
          <w:sz w:val="24"/>
          <w:szCs w:val="24"/>
        </w:rPr>
        <w:t>23</w:t>
      </w:r>
      <w:r w:rsidRPr="00922AF2">
        <w:rPr>
          <w:sz w:val="24"/>
          <w:szCs w:val="24"/>
        </w:rPr>
        <w:t>(4): 331-336.</w:t>
      </w:r>
    </w:p>
    <w:p w14:paraId="2FE223BC" w14:textId="77777777" w:rsidR="0024020C" w:rsidRPr="00922AF2" w:rsidRDefault="0024020C">
      <w:pPr>
        <w:pStyle w:val="EndNoteBibliography"/>
        <w:spacing w:after="0"/>
        <w:rPr>
          <w:sz w:val="24"/>
          <w:szCs w:val="24"/>
        </w:rPr>
      </w:pPr>
    </w:p>
    <w:p w14:paraId="1181BE30" w14:textId="77777777" w:rsidR="0024020C" w:rsidRPr="00922AF2" w:rsidRDefault="0024020C" w:rsidP="00922AF2">
      <w:pPr>
        <w:pStyle w:val="EndNoteBibliography"/>
        <w:spacing w:after="0"/>
        <w:rPr>
          <w:sz w:val="24"/>
          <w:szCs w:val="24"/>
        </w:rPr>
      </w:pPr>
      <w:r w:rsidRPr="00922AF2">
        <w:rPr>
          <w:sz w:val="24"/>
          <w:szCs w:val="24"/>
        </w:rPr>
        <w:t xml:space="preserve">Scher, H. I., K. Solo, J. Valant, M. B. Todd and M. Mehra (2015). "Prevalence of Prostate Cancer Clinical States and Mortality in the United States: Estimates Using a Dynamic Progression Model." </w:t>
      </w:r>
      <w:r w:rsidRPr="00922AF2">
        <w:rPr>
          <w:sz w:val="24"/>
          <w:szCs w:val="24"/>
          <w:u w:val="single"/>
        </w:rPr>
        <w:t>PLoS ONE</w:t>
      </w:r>
      <w:r w:rsidRPr="00922AF2">
        <w:rPr>
          <w:sz w:val="24"/>
          <w:szCs w:val="24"/>
        </w:rPr>
        <w:t xml:space="preserve"> </w:t>
      </w:r>
      <w:r w:rsidRPr="00922AF2">
        <w:rPr>
          <w:b/>
          <w:sz w:val="24"/>
          <w:szCs w:val="24"/>
        </w:rPr>
        <w:t>10</w:t>
      </w:r>
      <w:r w:rsidRPr="00922AF2">
        <w:rPr>
          <w:sz w:val="24"/>
          <w:szCs w:val="24"/>
        </w:rPr>
        <w:t>(10): e0139440.</w:t>
      </w:r>
    </w:p>
    <w:p w14:paraId="3969F794" w14:textId="0E0D3BCA" w:rsidR="0024020C" w:rsidRDefault="0024020C">
      <w:pPr>
        <w:pStyle w:val="EndNoteBibliography"/>
        <w:spacing w:after="0"/>
        <w:rPr>
          <w:sz w:val="24"/>
          <w:szCs w:val="24"/>
        </w:rPr>
      </w:pPr>
    </w:p>
    <w:p w14:paraId="2CBB7E1D" w14:textId="08414DDD" w:rsidR="006B546E" w:rsidRDefault="006B546E">
      <w:pPr>
        <w:pStyle w:val="EndNoteBibliography"/>
        <w:spacing w:after="0"/>
        <w:rPr>
          <w:sz w:val="24"/>
          <w:szCs w:val="24"/>
        </w:rPr>
      </w:pPr>
      <w:r w:rsidRPr="006B546E">
        <w:rPr>
          <w:sz w:val="24"/>
          <w:szCs w:val="24"/>
        </w:rPr>
        <w:t xml:space="preserve">Schneeweiss S, Patrick AR, Stürmer T, Brookhart MA, Avorn J, Maclure M, Rothman KJ, Glynn RJ. </w:t>
      </w:r>
      <w:r>
        <w:rPr>
          <w:sz w:val="24"/>
          <w:szCs w:val="24"/>
        </w:rPr>
        <w:t>"</w:t>
      </w:r>
      <w:r w:rsidRPr="006B546E">
        <w:rPr>
          <w:sz w:val="24"/>
          <w:szCs w:val="24"/>
        </w:rPr>
        <w:t>Increasing levels of restriction in pharmacoepidemiologic database studies of elderly and comparison with randomized trial results.</w:t>
      </w:r>
      <w:r>
        <w:rPr>
          <w:sz w:val="24"/>
          <w:szCs w:val="24"/>
        </w:rPr>
        <w:t>"</w:t>
      </w:r>
      <w:r w:rsidRPr="006B546E">
        <w:rPr>
          <w:sz w:val="24"/>
          <w:szCs w:val="24"/>
        </w:rPr>
        <w:t xml:space="preserve"> </w:t>
      </w:r>
      <w:r w:rsidRPr="00B87A8B">
        <w:rPr>
          <w:sz w:val="24"/>
          <w:szCs w:val="24"/>
          <w:u w:val="single"/>
        </w:rPr>
        <w:t>Med Care</w:t>
      </w:r>
      <w:r w:rsidRPr="006B546E">
        <w:rPr>
          <w:sz w:val="24"/>
          <w:szCs w:val="24"/>
        </w:rPr>
        <w:t>. 2007 Oct;45(10 Supl 2):S131-42. URL: https://www.ncbi.nlm.nih.gov/pmc/articles/PMC2905666/</w:t>
      </w:r>
    </w:p>
    <w:p w14:paraId="41750B08" w14:textId="77777777" w:rsidR="006B546E" w:rsidRPr="00922AF2" w:rsidRDefault="006B546E">
      <w:pPr>
        <w:pStyle w:val="EndNoteBibliography"/>
        <w:spacing w:after="0"/>
        <w:rPr>
          <w:sz w:val="24"/>
          <w:szCs w:val="24"/>
        </w:rPr>
      </w:pPr>
    </w:p>
    <w:p w14:paraId="314BAED3" w14:textId="77777777" w:rsidR="0024020C" w:rsidRPr="00922AF2" w:rsidRDefault="0024020C" w:rsidP="00922AF2">
      <w:pPr>
        <w:pStyle w:val="EndNoteBibliography"/>
        <w:spacing w:after="0"/>
        <w:rPr>
          <w:sz w:val="24"/>
          <w:szCs w:val="24"/>
        </w:rPr>
      </w:pPr>
      <w:r w:rsidRPr="00922AF2">
        <w:rPr>
          <w:sz w:val="24"/>
          <w:szCs w:val="24"/>
        </w:rPr>
        <w:t xml:space="preserve">SEER. (2018). "Cancer Stat Facts: Prostate Cancer."   Retrieved Feb. 13, 2019, from </w:t>
      </w:r>
      <w:hyperlink r:id="rId49" w:history="1">
        <w:r w:rsidRPr="00922AF2">
          <w:rPr>
            <w:rStyle w:val="Hyperlink"/>
            <w:sz w:val="24"/>
            <w:szCs w:val="24"/>
          </w:rPr>
          <w:t>https://seer.cancer.gov/statfacts/html/prost.html</w:t>
        </w:r>
      </w:hyperlink>
      <w:r w:rsidRPr="00922AF2">
        <w:rPr>
          <w:sz w:val="24"/>
          <w:szCs w:val="24"/>
        </w:rPr>
        <w:t>.</w:t>
      </w:r>
    </w:p>
    <w:p w14:paraId="3F7EA81F" w14:textId="2A34053B" w:rsidR="0024020C" w:rsidRDefault="0024020C">
      <w:pPr>
        <w:pStyle w:val="EndNoteBibliography"/>
        <w:spacing w:after="0"/>
        <w:rPr>
          <w:sz w:val="24"/>
          <w:szCs w:val="24"/>
        </w:rPr>
      </w:pPr>
    </w:p>
    <w:p w14:paraId="28B9741D" w14:textId="3F415ED2" w:rsidR="0056651D" w:rsidRDefault="0056651D">
      <w:pPr>
        <w:pStyle w:val="EndNoteBibliography"/>
        <w:spacing w:after="0"/>
        <w:rPr>
          <w:sz w:val="24"/>
          <w:szCs w:val="24"/>
        </w:rPr>
      </w:pPr>
      <w:r w:rsidRPr="0056651D">
        <w:rPr>
          <w:sz w:val="24"/>
          <w:szCs w:val="24"/>
        </w:rPr>
        <w:t xml:space="preserve">Schoenfeld, D.A. </w:t>
      </w:r>
      <w:r>
        <w:rPr>
          <w:sz w:val="24"/>
          <w:szCs w:val="24"/>
        </w:rPr>
        <w:t>"</w:t>
      </w:r>
      <w:r w:rsidRPr="0056651D">
        <w:rPr>
          <w:sz w:val="24"/>
          <w:szCs w:val="24"/>
        </w:rPr>
        <w:t>Sample-size formula for the proportional-hazards regression model.</w:t>
      </w:r>
      <w:r>
        <w:rPr>
          <w:sz w:val="24"/>
          <w:szCs w:val="24"/>
        </w:rPr>
        <w:t>"</w:t>
      </w:r>
      <w:r w:rsidRPr="0056651D">
        <w:rPr>
          <w:sz w:val="24"/>
          <w:szCs w:val="24"/>
        </w:rPr>
        <w:t xml:space="preserve"> </w:t>
      </w:r>
      <w:r w:rsidRPr="00B87A8B">
        <w:rPr>
          <w:sz w:val="24"/>
          <w:szCs w:val="24"/>
          <w:u w:val="single"/>
        </w:rPr>
        <w:t>Biometrics</w:t>
      </w:r>
      <w:r w:rsidRPr="0056651D">
        <w:rPr>
          <w:sz w:val="24"/>
          <w:szCs w:val="24"/>
        </w:rPr>
        <w:t>, 1983. 39(2): p. 499-503.</w:t>
      </w:r>
    </w:p>
    <w:p w14:paraId="7D8FCFF9" w14:textId="77777777" w:rsidR="0056651D" w:rsidRPr="00922AF2" w:rsidRDefault="0056651D">
      <w:pPr>
        <w:pStyle w:val="EndNoteBibliography"/>
        <w:spacing w:after="0"/>
        <w:rPr>
          <w:sz w:val="24"/>
          <w:szCs w:val="24"/>
        </w:rPr>
      </w:pPr>
    </w:p>
    <w:p w14:paraId="7904946F" w14:textId="12A30F30" w:rsidR="0024020C" w:rsidRDefault="0024020C" w:rsidP="00922AF2">
      <w:pPr>
        <w:pStyle w:val="EndNoteBibliography"/>
        <w:spacing w:after="0"/>
        <w:rPr>
          <w:sz w:val="24"/>
          <w:szCs w:val="24"/>
        </w:rPr>
      </w:pPr>
      <w:r w:rsidRPr="00922AF2">
        <w:rPr>
          <w:sz w:val="24"/>
          <w:szCs w:val="24"/>
        </w:rPr>
        <w:t xml:space="preserve">Sternberg, C. N., E. S. Baskin-Bey, M. Watson, A. Worsfold, A. Rider and B. Tombal (2013). "Treatment patterns and characteristics of European patients with castration-resistant prostate cancer." </w:t>
      </w:r>
      <w:r w:rsidRPr="00922AF2">
        <w:rPr>
          <w:sz w:val="24"/>
          <w:szCs w:val="24"/>
          <w:u w:val="single"/>
        </w:rPr>
        <w:t>BMC Urology</w:t>
      </w:r>
      <w:r w:rsidRPr="00922AF2">
        <w:rPr>
          <w:sz w:val="24"/>
          <w:szCs w:val="24"/>
        </w:rPr>
        <w:t xml:space="preserve"> </w:t>
      </w:r>
      <w:r w:rsidRPr="00922AF2">
        <w:rPr>
          <w:b/>
          <w:sz w:val="24"/>
          <w:szCs w:val="24"/>
        </w:rPr>
        <w:t>13</w:t>
      </w:r>
      <w:r w:rsidRPr="00922AF2">
        <w:rPr>
          <w:sz w:val="24"/>
          <w:szCs w:val="24"/>
        </w:rPr>
        <w:t>: 58-58.</w:t>
      </w:r>
    </w:p>
    <w:p w14:paraId="148A5B23" w14:textId="1AD7181F" w:rsidR="00646E61" w:rsidRDefault="00646E61" w:rsidP="00922AF2">
      <w:pPr>
        <w:pStyle w:val="EndNoteBibliography"/>
        <w:spacing w:after="0"/>
        <w:rPr>
          <w:sz w:val="24"/>
          <w:szCs w:val="24"/>
        </w:rPr>
      </w:pPr>
    </w:p>
    <w:p w14:paraId="48C51EE6" w14:textId="57B8AB7A" w:rsidR="00646E61" w:rsidRDefault="00646E61" w:rsidP="00922AF2">
      <w:pPr>
        <w:pStyle w:val="EndNoteBibliography"/>
        <w:spacing w:after="0"/>
        <w:rPr>
          <w:sz w:val="24"/>
          <w:szCs w:val="24"/>
        </w:rPr>
      </w:pPr>
      <w:r w:rsidRPr="005C3FBA">
        <w:rPr>
          <w:sz w:val="24"/>
          <w:szCs w:val="24"/>
        </w:rPr>
        <w:t>Suchard, M. A., et al. (2019). "Comprehensive c</w:t>
      </w:r>
      <w:r w:rsidRPr="00646E61">
        <w:rPr>
          <w:sz w:val="24"/>
          <w:szCs w:val="24"/>
        </w:rPr>
        <w:t>omparative effectiveness and safety of first-line antihypertensive drug classes: a systematic, multinational, large-scale analysis." Lancet 394(10211): 1816-1826.</w:t>
      </w:r>
    </w:p>
    <w:p w14:paraId="214FB470" w14:textId="09C9DF58" w:rsidR="00CD2D68" w:rsidRDefault="00CD2D68" w:rsidP="00922AF2">
      <w:pPr>
        <w:pStyle w:val="EndNoteBibliography"/>
        <w:spacing w:after="0"/>
        <w:rPr>
          <w:sz w:val="24"/>
          <w:szCs w:val="24"/>
        </w:rPr>
      </w:pPr>
    </w:p>
    <w:p w14:paraId="2089DE5B" w14:textId="10973EDF" w:rsidR="00CD2D68" w:rsidRPr="00922AF2" w:rsidRDefault="00CD2D68" w:rsidP="00922AF2">
      <w:pPr>
        <w:pStyle w:val="EndNoteBibliography"/>
        <w:spacing w:after="0"/>
        <w:rPr>
          <w:sz w:val="24"/>
          <w:szCs w:val="24"/>
        </w:rPr>
      </w:pPr>
      <w:r w:rsidRPr="00CD2D68">
        <w:rPr>
          <w:sz w:val="24"/>
          <w:szCs w:val="24"/>
        </w:rPr>
        <w:t xml:space="preserve">Voss, E.A., et al., </w:t>
      </w:r>
      <w:r>
        <w:rPr>
          <w:sz w:val="24"/>
          <w:szCs w:val="24"/>
        </w:rPr>
        <w:t>"</w:t>
      </w:r>
      <w:r w:rsidRPr="00CD2D68">
        <w:rPr>
          <w:sz w:val="24"/>
          <w:szCs w:val="24"/>
        </w:rPr>
        <w:t>Feasibility and utility of applications of the common data model to multiple, disparate observational health databases.</w:t>
      </w:r>
      <w:r>
        <w:rPr>
          <w:sz w:val="24"/>
          <w:szCs w:val="24"/>
        </w:rPr>
        <w:t>"</w:t>
      </w:r>
      <w:r w:rsidRPr="00CD2D68">
        <w:rPr>
          <w:sz w:val="24"/>
          <w:szCs w:val="24"/>
        </w:rPr>
        <w:t xml:space="preserve"> </w:t>
      </w:r>
      <w:r w:rsidRPr="00B87A8B">
        <w:rPr>
          <w:sz w:val="24"/>
          <w:szCs w:val="24"/>
          <w:u w:val="single"/>
        </w:rPr>
        <w:t>J Am Med Inform Assoc</w:t>
      </w:r>
      <w:r w:rsidRPr="00CD2D68">
        <w:rPr>
          <w:sz w:val="24"/>
          <w:szCs w:val="24"/>
        </w:rPr>
        <w:t>, 2015. 22(3): p. 553-64.</w:t>
      </w:r>
    </w:p>
    <w:p w14:paraId="3FD8589B" w14:textId="2EFDA671" w:rsidR="00CD2D68" w:rsidRPr="00B87A8B" w:rsidRDefault="0024020C" w:rsidP="00B87A8B">
      <w:pPr>
        <w:pStyle w:val="Basic11"/>
        <w:rPr>
          <w:sz w:val="24"/>
          <w:szCs w:val="24"/>
        </w:rPr>
      </w:pPr>
      <w:r w:rsidRPr="00922AF2">
        <w:rPr>
          <w:sz w:val="24"/>
          <w:szCs w:val="24"/>
        </w:rPr>
        <w:fldChar w:fldCharType="end"/>
      </w:r>
    </w:p>
    <w:p w14:paraId="2F281BFB" w14:textId="78092829" w:rsidR="00CD2D68" w:rsidRPr="009D3150" w:rsidRDefault="00CD2D68">
      <w:pPr>
        <w:pStyle w:val="Basic11"/>
      </w:pPr>
    </w:p>
    <w:sectPr w:rsidR="00CD2D68" w:rsidRPr="009D3150" w:rsidSect="00F72437">
      <w:headerReference w:type="default" r:id="rId50"/>
      <w:footerReference w:type="default" r:id="rId51"/>
      <w:footnotePr>
        <w:numFmt w:val="lowerLetter"/>
        <w:numRestart w:val="eachPage"/>
      </w:footnotePr>
      <w:endnotePr>
        <w:numFmt w:val="decimal"/>
      </w:endnotePr>
      <w:pgSz w:w="12240" w:h="15840" w:code="1"/>
      <w:pgMar w:top="1152" w:right="1440" w:bottom="1152"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9C106" w14:textId="77777777" w:rsidR="003E725B" w:rsidRDefault="003E725B">
      <w:r>
        <w:separator/>
      </w:r>
    </w:p>
  </w:endnote>
  <w:endnote w:type="continuationSeparator" w:id="0">
    <w:p w14:paraId="78CBD89B" w14:textId="77777777" w:rsidR="003E725B" w:rsidRDefault="003E725B">
      <w:r>
        <w:continuationSeparator/>
      </w:r>
    </w:p>
  </w:endnote>
  <w:endnote w:type="continuationNotice" w:id="1">
    <w:p w14:paraId="5782549F" w14:textId="77777777" w:rsidR="003E725B" w:rsidRDefault="003E7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NewRoman">
    <w:altName w:val="MS Minch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069871"/>
      <w:docPartObj>
        <w:docPartGallery w:val="Page Numbers (Bottom of Page)"/>
        <w:docPartUnique/>
      </w:docPartObj>
    </w:sdtPr>
    <w:sdtEndPr>
      <w:rPr>
        <w:noProof/>
      </w:rPr>
    </w:sdtEndPr>
    <w:sdtContent>
      <w:p w14:paraId="2FB9F08B" w14:textId="460992E5" w:rsidR="003E725B" w:rsidRDefault="003E72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EB263" w14:textId="77777777" w:rsidR="003E725B" w:rsidRDefault="003E7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02599" w14:textId="77777777" w:rsidR="003E725B" w:rsidRDefault="003E725B">
      <w:r>
        <w:separator/>
      </w:r>
    </w:p>
  </w:footnote>
  <w:footnote w:type="continuationSeparator" w:id="0">
    <w:p w14:paraId="310F2619" w14:textId="77777777" w:rsidR="003E725B" w:rsidRDefault="003E725B">
      <w:r>
        <w:continuationSeparator/>
      </w:r>
    </w:p>
  </w:footnote>
  <w:footnote w:type="continuationNotice" w:id="1">
    <w:p w14:paraId="322C7264" w14:textId="77777777" w:rsidR="003E725B" w:rsidRDefault="003E72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FDC0" w14:textId="7A5AEB5F" w:rsidR="003E725B" w:rsidRPr="00BC0EA4" w:rsidRDefault="003E725B">
    <w:pPr>
      <w:pStyle w:val="Header"/>
    </w:pPr>
    <w:r w:rsidRPr="00BC0EA4">
      <w:ptab w:relativeTo="margin" w:alignment="right" w:leader="none"/>
    </w:r>
    <w:r w:rsidRPr="00E870D1">
      <w:t xml:space="preserve"> </w:t>
    </w:r>
    <w:r w:rsidRPr="000A6856">
      <w:t xml:space="preserve">RWE Safety Pilot: </w:t>
    </w:r>
    <w:r>
      <w:t>Abiraterone vs. Enzalutamide</w:t>
    </w:r>
    <w:r w:rsidRPr="000A6856" w:rsidDel="000A6856">
      <w:rPr>
        <w:highlight w:val="green"/>
      </w:rPr>
      <w:t xml:space="preserve"> </w:t>
    </w:r>
  </w:p>
  <w:p w14:paraId="28338BE3" w14:textId="77777777" w:rsidR="003E725B" w:rsidRPr="00BC0EA4" w:rsidRDefault="003E725B" w:rsidP="004A4C21">
    <w:pPr>
      <w:pStyle w:val="Header"/>
      <w:pBdr>
        <w:bottom w:val="single" w:sz="4" w:space="1" w:color="auto"/>
      </w:pBdr>
    </w:pPr>
    <w:r w:rsidRPr="00BC0EA4">
      <w:ptab w:relativeTo="margin" w:alignment="right" w:leader="none"/>
    </w:r>
    <w:r>
      <w:t xml:space="preserve">Protocol </w:t>
    </w:r>
    <w:r w:rsidRPr="00506FE5">
      <w:rPr>
        <w:highlight w:val="green"/>
      </w:rPr>
      <w:t>[insert protocol number]</w:t>
    </w:r>
    <w:r w:rsidRPr="00BC0EA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E641898"/>
    <w:lvl w:ilvl="0">
      <w:start w:val="1"/>
      <w:numFmt w:val="none"/>
      <w:pStyle w:val="Heading0"/>
      <w:suff w:val="nothing"/>
      <w:lvlText w:val=""/>
      <w:lvlJc w:val="left"/>
      <w:pPr>
        <w:ind w:left="0" w:firstLine="0"/>
      </w:pPr>
      <w:rPr>
        <w:rFonts w:hint="default"/>
      </w:rPr>
    </w:lvl>
    <w:lvl w:ilvl="1">
      <w:start w:val="1"/>
      <w:numFmt w:val="decimal"/>
      <w:pStyle w:val="Heading1"/>
      <w:lvlText w:val="%2."/>
      <w:lvlJc w:val="left"/>
      <w:pPr>
        <w:tabs>
          <w:tab w:val="num" w:pos="821"/>
        </w:tabs>
        <w:ind w:left="821" w:hanging="821"/>
      </w:pPr>
      <w:rPr>
        <w:rFonts w:hint="default"/>
      </w:rPr>
    </w:lvl>
    <w:lvl w:ilvl="2">
      <w:start w:val="1"/>
      <w:numFmt w:val="decimal"/>
      <w:pStyle w:val="Heading2"/>
      <w:lvlText w:val="%2.%3."/>
      <w:lvlJc w:val="left"/>
      <w:pPr>
        <w:tabs>
          <w:tab w:val="num" w:pos="821"/>
        </w:tabs>
        <w:ind w:left="821" w:hanging="821"/>
      </w:pPr>
      <w:rPr>
        <w:rFonts w:hint="default"/>
      </w:rPr>
    </w:lvl>
    <w:lvl w:ilvl="3">
      <w:start w:val="1"/>
      <w:numFmt w:val="decimal"/>
      <w:pStyle w:val="Heading3"/>
      <w:lvlText w:val="%2.%3.%4."/>
      <w:lvlJc w:val="left"/>
      <w:pPr>
        <w:tabs>
          <w:tab w:val="num" w:pos="1397"/>
        </w:tabs>
        <w:ind w:left="1397" w:hanging="1397"/>
      </w:pPr>
      <w:rPr>
        <w:rFonts w:hint="default"/>
      </w:rPr>
    </w:lvl>
    <w:lvl w:ilvl="4">
      <w:start w:val="1"/>
      <w:numFmt w:val="decimal"/>
      <w:pStyle w:val="Heading4"/>
      <w:lvlText w:val="%2.%3.%4.%5."/>
      <w:lvlJc w:val="left"/>
      <w:pPr>
        <w:tabs>
          <w:tab w:val="num" w:pos="1397"/>
        </w:tabs>
        <w:ind w:left="1397" w:hanging="1397"/>
      </w:pPr>
      <w:rPr>
        <w:rFonts w:hint="default"/>
      </w:rPr>
    </w:lvl>
    <w:lvl w:ilvl="5">
      <w:start w:val="1"/>
      <w:numFmt w:val="decimal"/>
      <w:pStyle w:val="Heading5"/>
      <w:lvlText w:val="%2.%3.%4.%5.%6."/>
      <w:lvlJc w:val="left"/>
      <w:pPr>
        <w:tabs>
          <w:tab w:val="num" w:pos="1397"/>
        </w:tabs>
        <w:ind w:left="1397" w:hanging="1397"/>
      </w:pPr>
      <w:rPr>
        <w:rFonts w:hint="default"/>
      </w:rPr>
    </w:lvl>
    <w:lvl w:ilvl="6">
      <w:start w:val="1"/>
      <w:numFmt w:val="decimal"/>
      <w:pStyle w:val="Heading6"/>
      <w:lvlText w:val="%2.%3.%4.%5.%6.%7."/>
      <w:lvlJc w:val="left"/>
      <w:pPr>
        <w:tabs>
          <w:tab w:val="num" w:pos="2160"/>
        </w:tabs>
        <w:ind w:left="2160" w:hanging="2160"/>
      </w:pPr>
      <w:rPr>
        <w:rFonts w:hint="default"/>
      </w:rPr>
    </w:lvl>
    <w:lvl w:ilvl="7">
      <w:start w:val="1"/>
      <w:numFmt w:val="decimal"/>
      <w:pStyle w:val="Heading7"/>
      <w:lvlText w:val="%2.%3.%4.%5.%6.%7.%8."/>
      <w:lvlJc w:val="left"/>
      <w:pPr>
        <w:tabs>
          <w:tab w:val="num" w:pos="2160"/>
        </w:tabs>
        <w:ind w:left="2160" w:hanging="2160"/>
      </w:pPr>
      <w:rPr>
        <w:rFonts w:hint="default"/>
      </w:rPr>
    </w:lvl>
    <w:lvl w:ilvl="8">
      <w:start w:val="1"/>
      <w:numFmt w:val="decimal"/>
      <w:pStyle w:val="Heading8"/>
      <w:lvlText w:val="%2.%3.%4.%5.%6.%7.%8.%9."/>
      <w:lvlJc w:val="left"/>
      <w:pPr>
        <w:tabs>
          <w:tab w:val="num" w:pos="2160"/>
        </w:tabs>
        <w:ind w:left="2160" w:hanging="2160"/>
      </w:pPr>
      <w:rPr>
        <w:rFonts w:hint="default"/>
      </w:rPr>
    </w:lvl>
  </w:abstractNum>
  <w:abstractNum w:abstractNumId="1" w15:restartNumberingAfterBreak="0">
    <w:nsid w:val="05374AE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4D0A97"/>
    <w:multiLevelType w:val="hybridMultilevel"/>
    <w:tmpl w:val="21AC0D6E"/>
    <w:lvl w:ilvl="0" w:tplc="7CBA4CD0">
      <w:start w:val="1"/>
      <w:numFmt w:val="lowerLetter"/>
      <w:pStyle w:val="Numbered11-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84B5E59"/>
    <w:multiLevelType w:val="multilevel"/>
    <w:tmpl w:val="7660D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81D8B"/>
    <w:multiLevelType w:val="hybridMultilevel"/>
    <w:tmpl w:val="2AB4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C5BC1"/>
    <w:multiLevelType w:val="hybridMultilevel"/>
    <w:tmpl w:val="64C4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E1179"/>
    <w:multiLevelType w:val="hybridMultilevel"/>
    <w:tmpl w:val="2202F57E"/>
    <w:lvl w:ilvl="0" w:tplc="81700F12">
      <w:start w:val="1"/>
      <w:numFmt w:val="bullet"/>
      <w:pStyle w:val="Bullet11-1"/>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395A"/>
    <w:multiLevelType w:val="hybridMultilevel"/>
    <w:tmpl w:val="1CC06AF0"/>
    <w:lvl w:ilvl="0" w:tplc="4E24535A">
      <w:start w:val="1"/>
      <w:numFmt w:val="lowerLetter"/>
      <w:pStyle w:val="Numbered12-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5B84494"/>
    <w:multiLevelType w:val="hybridMultilevel"/>
    <w:tmpl w:val="6DEA1B10"/>
    <w:lvl w:ilvl="0" w:tplc="A8F0B08E">
      <w:start w:val="1"/>
      <w:numFmt w:val="bullet"/>
      <w:pStyle w:val="Bullet11-2"/>
      <w:lvlText w:val=""/>
      <w:lvlJc w:val="left"/>
      <w:pPr>
        <w:tabs>
          <w:tab w:val="num" w:pos="864"/>
        </w:tabs>
        <w:ind w:left="864" w:hanging="432"/>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26012133"/>
    <w:multiLevelType w:val="hybridMultilevel"/>
    <w:tmpl w:val="086EAE32"/>
    <w:lvl w:ilvl="0" w:tplc="563240EE">
      <w:start w:val="1"/>
      <w:numFmt w:val="bullet"/>
      <w:pStyle w:val="GuideDash"/>
      <w:lvlText w:val=""/>
      <w:lvlJc w:val="left"/>
      <w:pPr>
        <w:tabs>
          <w:tab w:val="num" w:pos="1786"/>
        </w:tabs>
        <w:ind w:left="1714"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6132FB"/>
    <w:multiLevelType w:val="hybridMultilevel"/>
    <w:tmpl w:val="199AA300"/>
    <w:lvl w:ilvl="0" w:tplc="543CD1EE">
      <w:start w:val="1"/>
      <w:numFmt w:val="decimal"/>
      <w:pStyle w:val="Numbered12-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2CA72C5A"/>
    <w:multiLevelType w:val="hybridMultilevel"/>
    <w:tmpl w:val="4D94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91FCD"/>
    <w:multiLevelType w:val="multilevel"/>
    <w:tmpl w:val="4DD6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340E1"/>
    <w:multiLevelType w:val="hybridMultilevel"/>
    <w:tmpl w:val="40B6106E"/>
    <w:lvl w:ilvl="0" w:tplc="CB12182E">
      <w:start w:val="1"/>
      <w:numFmt w:val="bullet"/>
      <w:pStyle w:val="Bullet11-4"/>
      <w:lvlText w:val=""/>
      <w:lvlJc w:val="left"/>
      <w:pPr>
        <w:tabs>
          <w:tab w:val="num" w:pos="1728"/>
        </w:tabs>
        <w:ind w:left="1728" w:hanging="432"/>
      </w:pPr>
      <w:rPr>
        <w:rFonts w:ascii="Symbol" w:hAnsi="Symbol" w:hint="default"/>
      </w:rPr>
    </w:lvl>
    <w:lvl w:ilvl="1" w:tplc="04090019" w:tentative="1">
      <w:start w:val="1"/>
      <w:numFmt w:val="bullet"/>
      <w:lvlText w:val="o"/>
      <w:lvlJc w:val="left"/>
      <w:pPr>
        <w:ind w:left="2736" w:hanging="360"/>
      </w:pPr>
      <w:rPr>
        <w:rFonts w:ascii="Courier New" w:hAnsi="Courier New" w:cs="Courier New" w:hint="default"/>
      </w:rPr>
    </w:lvl>
    <w:lvl w:ilvl="2" w:tplc="0409001B" w:tentative="1">
      <w:start w:val="1"/>
      <w:numFmt w:val="bullet"/>
      <w:lvlText w:val=""/>
      <w:lvlJc w:val="left"/>
      <w:pPr>
        <w:ind w:left="3456" w:hanging="360"/>
      </w:pPr>
      <w:rPr>
        <w:rFonts w:ascii="Wingdings" w:hAnsi="Wingdings" w:hint="default"/>
      </w:rPr>
    </w:lvl>
    <w:lvl w:ilvl="3" w:tplc="0409000F" w:tentative="1">
      <w:start w:val="1"/>
      <w:numFmt w:val="bullet"/>
      <w:lvlText w:val=""/>
      <w:lvlJc w:val="left"/>
      <w:pPr>
        <w:ind w:left="4176" w:hanging="360"/>
      </w:pPr>
      <w:rPr>
        <w:rFonts w:ascii="Symbol" w:hAnsi="Symbol" w:hint="default"/>
      </w:rPr>
    </w:lvl>
    <w:lvl w:ilvl="4" w:tplc="04090019" w:tentative="1">
      <w:start w:val="1"/>
      <w:numFmt w:val="bullet"/>
      <w:lvlText w:val="o"/>
      <w:lvlJc w:val="left"/>
      <w:pPr>
        <w:ind w:left="4896" w:hanging="360"/>
      </w:pPr>
      <w:rPr>
        <w:rFonts w:ascii="Courier New" w:hAnsi="Courier New" w:cs="Courier New" w:hint="default"/>
      </w:rPr>
    </w:lvl>
    <w:lvl w:ilvl="5" w:tplc="0409001B" w:tentative="1">
      <w:start w:val="1"/>
      <w:numFmt w:val="bullet"/>
      <w:lvlText w:val=""/>
      <w:lvlJc w:val="left"/>
      <w:pPr>
        <w:ind w:left="5616" w:hanging="360"/>
      </w:pPr>
      <w:rPr>
        <w:rFonts w:ascii="Wingdings" w:hAnsi="Wingdings" w:hint="default"/>
      </w:rPr>
    </w:lvl>
    <w:lvl w:ilvl="6" w:tplc="0409000F" w:tentative="1">
      <w:start w:val="1"/>
      <w:numFmt w:val="bullet"/>
      <w:lvlText w:val=""/>
      <w:lvlJc w:val="left"/>
      <w:pPr>
        <w:ind w:left="6336" w:hanging="360"/>
      </w:pPr>
      <w:rPr>
        <w:rFonts w:ascii="Symbol" w:hAnsi="Symbol" w:hint="default"/>
      </w:rPr>
    </w:lvl>
    <w:lvl w:ilvl="7" w:tplc="04090019" w:tentative="1">
      <w:start w:val="1"/>
      <w:numFmt w:val="bullet"/>
      <w:lvlText w:val="o"/>
      <w:lvlJc w:val="left"/>
      <w:pPr>
        <w:ind w:left="7056" w:hanging="360"/>
      </w:pPr>
      <w:rPr>
        <w:rFonts w:ascii="Courier New" w:hAnsi="Courier New" w:cs="Courier New" w:hint="default"/>
      </w:rPr>
    </w:lvl>
    <w:lvl w:ilvl="8" w:tplc="0409001B" w:tentative="1">
      <w:start w:val="1"/>
      <w:numFmt w:val="bullet"/>
      <w:lvlText w:val=""/>
      <w:lvlJc w:val="left"/>
      <w:pPr>
        <w:ind w:left="7776" w:hanging="360"/>
      </w:pPr>
      <w:rPr>
        <w:rFonts w:ascii="Wingdings" w:hAnsi="Wingdings" w:hint="default"/>
      </w:rPr>
    </w:lvl>
  </w:abstractNum>
  <w:abstractNum w:abstractNumId="14" w15:restartNumberingAfterBreak="0">
    <w:nsid w:val="36F21B97"/>
    <w:multiLevelType w:val="hybridMultilevel"/>
    <w:tmpl w:val="2D964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05D15"/>
    <w:multiLevelType w:val="multilevel"/>
    <w:tmpl w:val="4DD6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F2C78"/>
    <w:multiLevelType w:val="hybridMultilevel"/>
    <w:tmpl w:val="BC6A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27BA6"/>
    <w:multiLevelType w:val="hybridMultilevel"/>
    <w:tmpl w:val="D222FADE"/>
    <w:lvl w:ilvl="0" w:tplc="E3F24EE2">
      <w:start w:val="1"/>
      <w:numFmt w:val="lowerLetter"/>
      <w:pStyle w:val="Numbered11-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18" w15:restartNumberingAfterBreak="0">
    <w:nsid w:val="3BFE4B2A"/>
    <w:multiLevelType w:val="hybridMultilevel"/>
    <w:tmpl w:val="0D68D196"/>
    <w:lvl w:ilvl="0" w:tplc="7D78CA18">
      <w:start w:val="1"/>
      <w:numFmt w:val="bullet"/>
      <w:pStyle w:val="Guide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681289"/>
    <w:multiLevelType w:val="hybridMultilevel"/>
    <w:tmpl w:val="4C747622"/>
    <w:lvl w:ilvl="0" w:tplc="7F2C4ACE">
      <w:start w:val="1"/>
      <w:numFmt w:val="decimal"/>
      <w:pStyle w:val="Reference"/>
      <w:lvlText w:val="%1."/>
      <w:lvlJc w:val="left"/>
      <w:pPr>
        <w:tabs>
          <w:tab w:val="num" w:pos="432"/>
        </w:tabs>
        <w:ind w:left="432" w:hanging="432"/>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97E6D"/>
    <w:multiLevelType w:val="hybridMultilevel"/>
    <w:tmpl w:val="036C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106289"/>
    <w:multiLevelType w:val="hybridMultilevel"/>
    <w:tmpl w:val="AA305F66"/>
    <w:lvl w:ilvl="0" w:tplc="3FEEF272">
      <w:start w:val="1"/>
      <w:numFmt w:val="bullet"/>
      <w:pStyle w:val="Bullet12-4"/>
      <w:lvlText w:val=""/>
      <w:lvlJc w:val="left"/>
      <w:pPr>
        <w:tabs>
          <w:tab w:val="num" w:pos="1728"/>
        </w:tabs>
        <w:ind w:left="1728" w:hanging="432"/>
      </w:pPr>
      <w:rPr>
        <w:rFonts w:ascii="Symbol" w:hAnsi="Symbol" w:hint="default"/>
      </w:rPr>
    </w:lvl>
    <w:lvl w:ilvl="1" w:tplc="87B84278" w:tentative="1">
      <w:start w:val="1"/>
      <w:numFmt w:val="bullet"/>
      <w:lvlText w:val="o"/>
      <w:lvlJc w:val="left"/>
      <w:pPr>
        <w:ind w:left="2736" w:hanging="360"/>
      </w:pPr>
      <w:rPr>
        <w:rFonts w:ascii="Courier New" w:hAnsi="Courier New" w:cs="Courier New" w:hint="default"/>
      </w:rPr>
    </w:lvl>
    <w:lvl w:ilvl="2" w:tplc="61B6F222" w:tentative="1">
      <w:start w:val="1"/>
      <w:numFmt w:val="bullet"/>
      <w:lvlText w:val=""/>
      <w:lvlJc w:val="left"/>
      <w:pPr>
        <w:ind w:left="3456" w:hanging="360"/>
      </w:pPr>
      <w:rPr>
        <w:rFonts w:ascii="Wingdings" w:hAnsi="Wingdings" w:hint="default"/>
      </w:rPr>
    </w:lvl>
    <w:lvl w:ilvl="3" w:tplc="A5D68794" w:tentative="1">
      <w:start w:val="1"/>
      <w:numFmt w:val="bullet"/>
      <w:lvlText w:val=""/>
      <w:lvlJc w:val="left"/>
      <w:pPr>
        <w:ind w:left="4176" w:hanging="360"/>
      </w:pPr>
      <w:rPr>
        <w:rFonts w:ascii="Symbol" w:hAnsi="Symbol" w:hint="default"/>
      </w:rPr>
    </w:lvl>
    <w:lvl w:ilvl="4" w:tplc="9988A51E" w:tentative="1">
      <w:start w:val="1"/>
      <w:numFmt w:val="bullet"/>
      <w:lvlText w:val="o"/>
      <w:lvlJc w:val="left"/>
      <w:pPr>
        <w:ind w:left="4896" w:hanging="360"/>
      </w:pPr>
      <w:rPr>
        <w:rFonts w:ascii="Courier New" w:hAnsi="Courier New" w:cs="Courier New" w:hint="default"/>
      </w:rPr>
    </w:lvl>
    <w:lvl w:ilvl="5" w:tplc="0EA8A69C" w:tentative="1">
      <w:start w:val="1"/>
      <w:numFmt w:val="bullet"/>
      <w:lvlText w:val=""/>
      <w:lvlJc w:val="left"/>
      <w:pPr>
        <w:ind w:left="5616" w:hanging="360"/>
      </w:pPr>
      <w:rPr>
        <w:rFonts w:ascii="Wingdings" w:hAnsi="Wingdings" w:hint="default"/>
      </w:rPr>
    </w:lvl>
    <w:lvl w:ilvl="6" w:tplc="33E8BFD2" w:tentative="1">
      <w:start w:val="1"/>
      <w:numFmt w:val="bullet"/>
      <w:lvlText w:val=""/>
      <w:lvlJc w:val="left"/>
      <w:pPr>
        <w:ind w:left="6336" w:hanging="360"/>
      </w:pPr>
      <w:rPr>
        <w:rFonts w:ascii="Symbol" w:hAnsi="Symbol" w:hint="default"/>
      </w:rPr>
    </w:lvl>
    <w:lvl w:ilvl="7" w:tplc="6F7EBE98" w:tentative="1">
      <w:start w:val="1"/>
      <w:numFmt w:val="bullet"/>
      <w:lvlText w:val="o"/>
      <w:lvlJc w:val="left"/>
      <w:pPr>
        <w:ind w:left="7056" w:hanging="360"/>
      </w:pPr>
      <w:rPr>
        <w:rFonts w:ascii="Courier New" w:hAnsi="Courier New" w:cs="Courier New" w:hint="default"/>
      </w:rPr>
    </w:lvl>
    <w:lvl w:ilvl="8" w:tplc="75B29F26" w:tentative="1">
      <w:start w:val="1"/>
      <w:numFmt w:val="bullet"/>
      <w:lvlText w:val=""/>
      <w:lvlJc w:val="left"/>
      <w:pPr>
        <w:ind w:left="7776" w:hanging="360"/>
      </w:pPr>
      <w:rPr>
        <w:rFonts w:ascii="Wingdings" w:hAnsi="Wingdings" w:hint="default"/>
      </w:rPr>
    </w:lvl>
  </w:abstractNum>
  <w:abstractNum w:abstractNumId="22" w15:restartNumberingAfterBreak="0">
    <w:nsid w:val="4ED5094E"/>
    <w:multiLevelType w:val="hybridMultilevel"/>
    <w:tmpl w:val="648A7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14268"/>
    <w:multiLevelType w:val="hybridMultilevel"/>
    <w:tmpl w:val="F1C471A8"/>
    <w:lvl w:ilvl="0" w:tplc="630400B8">
      <w:start w:val="1"/>
      <w:numFmt w:val="decimal"/>
      <w:pStyle w:val="Numbered12-1"/>
      <w:lvlText w:val="%1."/>
      <w:lvlJc w:val="left"/>
      <w:pPr>
        <w:tabs>
          <w:tab w:val="num" w:pos="432"/>
        </w:tabs>
        <w:ind w:left="432" w:hanging="432"/>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1369F"/>
    <w:multiLevelType w:val="hybridMultilevel"/>
    <w:tmpl w:val="62B8A024"/>
    <w:lvl w:ilvl="0" w:tplc="BCD27A5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22CB1"/>
    <w:multiLevelType w:val="singleLevel"/>
    <w:tmpl w:val="577EEDDE"/>
    <w:lvl w:ilvl="0">
      <w:start w:val="1"/>
      <w:numFmt w:val="bullet"/>
      <w:pStyle w:val="Bullet12-3"/>
      <w:lvlText w:val="o"/>
      <w:lvlJc w:val="left"/>
      <w:pPr>
        <w:tabs>
          <w:tab w:val="num" w:pos="1296"/>
        </w:tabs>
        <w:ind w:left="1296" w:hanging="432"/>
      </w:pPr>
      <w:rPr>
        <w:rFonts w:ascii="Courier New" w:hAnsi="Courier New" w:hint="default"/>
      </w:rPr>
    </w:lvl>
  </w:abstractNum>
  <w:abstractNum w:abstractNumId="26"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7" w15:restartNumberingAfterBreak="0">
    <w:nsid w:val="60BE2FF2"/>
    <w:multiLevelType w:val="hybridMultilevel"/>
    <w:tmpl w:val="E3ACF658"/>
    <w:lvl w:ilvl="0" w:tplc="4F501F7C">
      <w:start w:val="1"/>
      <w:numFmt w:val="bullet"/>
      <w:pStyle w:val="Bullet11-3"/>
      <w:lvlText w:val="o"/>
      <w:lvlJc w:val="left"/>
      <w:pPr>
        <w:tabs>
          <w:tab w:val="num" w:pos="1296"/>
        </w:tabs>
        <w:ind w:left="1296" w:hanging="432"/>
      </w:pPr>
      <w:rPr>
        <w:rFonts w:ascii="Courier New" w:hAnsi="Courier New" w:hint="default"/>
      </w:rPr>
    </w:lvl>
    <w:lvl w:ilvl="1" w:tplc="A732B43C" w:tentative="1">
      <w:start w:val="1"/>
      <w:numFmt w:val="bullet"/>
      <w:lvlText w:val="o"/>
      <w:lvlJc w:val="left"/>
      <w:pPr>
        <w:ind w:left="2304" w:hanging="360"/>
      </w:pPr>
      <w:rPr>
        <w:rFonts w:ascii="Courier New" w:hAnsi="Courier New" w:cs="Courier New" w:hint="default"/>
      </w:rPr>
    </w:lvl>
    <w:lvl w:ilvl="2" w:tplc="1012CAA0" w:tentative="1">
      <w:start w:val="1"/>
      <w:numFmt w:val="bullet"/>
      <w:lvlText w:val=""/>
      <w:lvlJc w:val="left"/>
      <w:pPr>
        <w:ind w:left="3024" w:hanging="360"/>
      </w:pPr>
      <w:rPr>
        <w:rFonts w:ascii="Wingdings" w:hAnsi="Wingdings" w:hint="default"/>
      </w:rPr>
    </w:lvl>
    <w:lvl w:ilvl="3" w:tplc="D1621BA6" w:tentative="1">
      <w:start w:val="1"/>
      <w:numFmt w:val="bullet"/>
      <w:lvlText w:val=""/>
      <w:lvlJc w:val="left"/>
      <w:pPr>
        <w:ind w:left="3744" w:hanging="360"/>
      </w:pPr>
      <w:rPr>
        <w:rFonts w:ascii="Symbol" w:hAnsi="Symbol" w:hint="default"/>
      </w:rPr>
    </w:lvl>
    <w:lvl w:ilvl="4" w:tplc="1754574C" w:tentative="1">
      <w:start w:val="1"/>
      <w:numFmt w:val="bullet"/>
      <w:lvlText w:val="o"/>
      <w:lvlJc w:val="left"/>
      <w:pPr>
        <w:ind w:left="4464" w:hanging="360"/>
      </w:pPr>
      <w:rPr>
        <w:rFonts w:ascii="Courier New" w:hAnsi="Courier New" w:cs="Courier New" w:hint="default"/>
      </w:rPr>
    </w:lvl>
    <w:lvl w:ilvl="5" w:tplc="727A3324" w:tentative="1">
      <w:start w:val="1"/>
      <w:numFmt w:val="bullet"/>
      <w:lvlText w:val=""/>
      <w:lvlJc w:val="left"/>
      <w:pPr>
        <w:ind w:left="5184" w:hanging="360"/>
      </w:pPr>
      <w:rPr>
        <w:rFonts w:ascii="Wingdings" w:hAnsi="Wingdings" w:hint="default"/>
      </w:rPr>
    </w:lvl>
    <w:lvl w:ilvl="6" w:tplc="3C1C7644" w:tentative="1">
      <w:start w:val="1"/>
      <w:numFmt w:val="bullet"/>
      <w:lvlText w:val=""/>
      <w:lvlJc w:val="left"/>
      <w:pPr>
        <w:ind w:left="5904" w:hanging="360"/>
      </w:pPr>
      <w:rPr>
        <w:rFonts w:ascii="Symbol" w:hAnsi="Symbol" w:hint="default"/>
      </w:rPr>
    </w:lvl>
    <w:lvl w:ilvl="7" w:tplc="B21A45CA" w:tentative="1">
      <w:start w:val="1"/>
      <w:numFmt w:val="bullet"/>
      <w:lvlText w:val="o"/>
      <w:lvlJc w:val="left"/>
      <w:pPr>
        <w:ind w:left="6624" w:hanging="360"/>
      </w:pPr>
      <w:rPr>
        <w:rFonts w:ascii="Courier New" w:hAnsi="Courier New" w:cs="Courier New" w:hint="default"/>
      </w:rPr>
    </w:lvl>
    <w:lvl w:ilvl="8" w:tplc="C088A29A" w:tentative="1">
      <w:start w:val="1"/>
      <w:numFmt w:val="bullet"/>
      <w:lvlText w:val=""/>
      <w:lvlJc w:val="left"/>
      <w:pPr>
        <w:ind w:left="7344" w:hanging="360"/>
      </w:pPr>
      <w:rPr>
        <w:rFonts w:ascii="Wingdings" w:hAnsi="Wingdings" w:hint="default"/>
      </w:rPr>
    </w:lvl>
  </w:abstractNum>
  <w:abstractNum w:abstractNumId="28" w15:restartNumberingAfterBreak="0">
    <w:nsid w:val="60E03817"/>
    <w:multiLevelType w:val="multilevel"/>
    <w:tmpl w:val="2704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227B5"/>
    <w:multiLevelType w:val="hybridMultilevel"/>
    <w:tmpl w:val="DD861FAE"/>
    <w:lvl w:ilvl="0" w:tplc="1B74770E">
      <w:start w:val="1"/>
      <w:numFmt w:val="decimal"/>
      <w:pStyle w:val="Numbered11-1"/>
      <w:lvlText w:val="%1."/>
      <w:lvlJc w:val="left"/>
      <w:pPr>
        <w:tabs>
          <w:tab w:val="num" w:pos="432"/>
        </w:tabs>
        <w:ind w:left="432" w:hanging="432"/>
      </w:pPr>
      <w:rPr>
        <w:rFonts w:ascii="Times New Roman" w:hAnsi="Times New Roman"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8030C8"/>
    <w:multiLevelType w:val="hybridMultilevel"/>
    <w:tmpl w:val="207EE9C2"/>
    <w:lvl w:ilvl="0" w:tplc="1DFCB68A">
      <w:start w:val="1"/>
      <w:numFmt w:val="lowerLetter"/>
      <w:pStyle w:val="Numbered12-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31" w15:restartNumberingAfterBreak="0">
    <w:nsid w:val="63713A5C"/>
    <w:multiLevelType w:val="hybridMultilevel"/>
    <w:tmpl w:val="30D49C44"/>
    <w:lvl w:ilvl="0" w:tplc="6FEC3F90">
      <w:start w:val="1"/>
      <w:numFmt w:val="decimal"/>
      <w:pStyle w:val="Numbered11-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2" w15:restartNumberingAfterBreak="0">
    <w:nsid w:val="654C71B9"/>
    <w:multiLevelType w:val="hybridMultilevel"/>
    <w:tmpl w:val="73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94C68"/>
    <w:multiLevelType w:val="singleLevel"/>
    <w:tmpl w:val="A28A1628"/>
    <w:lvl w:ilvl="0">
      <w:start w:val="1"/>
      <w:numFmt w:val="bullet"/>
      <w:pStyle w:val="Bullet12-2"/>
      <w:lvlText w:val=""/>
      <w:lvlJc w:val="left"/>
      <w:pPr>
        <w:tabs>
          <w:tab w:val="num" w:pos="864"/>
        </w:tabs>
        <w:ind w:left="864" w:hanging="432"/>
      </w:pPr>
      <w:rPr>
        <w:rFonts w:ascii="Symbol" w:hAnsi="Symbol" w:hint="default"/>
      </w:rPr>
    </w:lvl>
  </w:abstractNum>
  <w:abstractNum w:abstractNumId="34" w15:restartNumberingAfterBreak="0">
    <w:nsid w:val="793F3BB7"/>
    <w:multiLevelType w:val="hybridMultilevel"/>
    <w:tmpl w:val="58A29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6"/>
  </w:num>
  <w:num w:numId="4">
    <w:abstractNumId w:val="8"/>
  </w:num>
  <w:num w:numId="5">
    <w:abstractNumId w:val="27"/>
  </w:num>
  <w:num w:numId="6">
    <w:abstractNumId w:val="13"/>
  </w:num>
  <w:num w:numId="7">
    <w:abstractNumId w:val="26"/>
  </w:num>
  <w:num w:numId="8">
    <w:abstractNumId w:val="33"/>
  </w:num>
  <w:num w:numId="9">
    <w:abstractNumId w:val="25"/>
  </w:num>
  <w:num w:numId="10">
    <w:abstractNumId w:val="21"/>
  </w:num>
  <w:num w:numId="11">
    <w:abstractNumId w:val="0"/>
  </w:num>
  <w:num w:numId="12">
    <w:abstractNumId w:val="29"/>
  </w:num>
  <w:num w:numId="13">
    <w:abstractNumId w:val="2"/>
  </w:num>
  <w:num w:numId="14">
    <w:abstractNumId w:val="31"/>
  </w:num>
  <w:num w:numId="15">
    <w:abstractNumId w:val="17"/>
  </w:num>
  <w:num w:numId="16">
    <w:abstractNumId w:val="23"/>
  </w:num>
  <w:num w:numId="17">
    <w:abstractNumId w:val="7"/>
  </w:num>
  <w:num w:numId="18">
    <w:abstractNumId w:val="10"/>
  </w:num>
  <w:num w:numId="19">
    <w:abstractNumId w:val="30"/>
  </w:num>
  <w:num w:numId="20">
    <w:abstractNumId w:val="19"/>
  </w:num>
  <w:num w:numId="21">
    <w:abstractNumId w:val="24"/>
  </w:num>
  <w:num w:numId="22">
    <w:abstractNumId w:val="14"/>
  </w:num>
  <w:num w:numId="23">
    <w:abstractNumId w:val="34"/>
  </w:num>
  <w:num w:numId="24">
    <w:abstractNumId w:val="15"/>
  </w:num>
  <w:num w:numId="25">
    <w:abstractNumId w:val="12"/>
  </w:num>
  <w:num w:numId="26">
    <w:abstractNumId w:val="5"/>
  </w:num>
  <w:num w:numId="27">
    <w:abstractNumId w:val="16"/>
  </w:num>
  <w:num w:numId="28">
    <w:abstractNumId w:val="11"/>
  </w:num>
  <w:num w:numId="29">
    <w:abstractNumId w:val="4"/>
  </w:num>
  <w:num w:numId="30">
    <w:abstractNumId w:val="28"/>
  </w:num>
  <w:num w:numId="31">
    <w:abstractNumId w:val="22"/>
  </w:num>
  <w:num w:numId="32">
    <w:abstractNumId w:val="32"/>
  </w:num>
  <w:num w:numId="33">
    <w:abstractNumId w:val="20"/>
  </w:num>
  <w:num w:numId="34">
    <w:abstractNumId w:val="3"/>
  </w:num>
  <w:num w:numId="35">
    <w:abstractNumId w:val="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0"/>
  <w:activeWritingStyle w:appName="MSWord" w:lang="nl-BE" w:vendorID="1" w:dllVersion="512" w:checkStyle="1"/>
  <w:proofState w:spelling="clean" w:grammar="clean"/>
  <w:trackRevisions/>
  <w:defaultTabStop w:val="720"/>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14337"/>
  </w:hdrShapeDefaults>
  <w:footnotePr>
    <w:numFmt w:val="lowerLette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nsertReferenceNote" w:val="R00"/>
    <w:docVar w:name="Toolbar" w:val="T00"/>
  </w:docVars>
  <w:rsids>
    <w:rsidRoot w:val="004C64E1"/>
    <w:rsid w:val="0000099E"/>
    <w:rsid w:val="000060D4"/>
    <w:rsid w:val="00013574"/>
    <w:rsid w:val="00013C1D"/>
    <w:rsid w:val="00016A0D"/>
    <w:rsid w:val="00016A5A"/>
    <w:rsid w:val="0001712E"/>
    <w:rsid w:val="00023B84"/>
    <w:rsid w:val="000251C6"/>
    <w:rsid w:val="0003697E"/>
    <w:rsid w:val="0003ADFB"/>
    <w:rsid w:val="00041347"/>
    <w:rsid w:val="00041968"/>
    <w:rsid w:val="00044390"/>
    <w:rsid w:val="000512F6"/>
    <w:rsid w:val="000563A8"/>
    <w:rsid w:val="00056834"/>
    <w:rsid w:val="00057E10"/>
    <w:rsid w:val="00071DC5"/>
    <w:rsid w:val="0007256E"/>
    <w:rsid w:val="00086F4F"/>
    <w:rsid w:val="00087D1A"/>
    <w:rsid w:val="00091DF5"/>
    <w:rsid w:val="00096EA4"/>
    <w:rsid w:val="000A0002"/>
    <w:rsid w:val="000A2AF9"/>
    <w:rsid w:val="000A5556"/>
    <w:rsid w:val="000A657C"/>
    <w:rsid w:val="000A6856"/>
    <w:rsid w:val="000B60B2"/>
    <w:rsid w:val="000C22AD"/>
    <w:rsid w:val="000C2D35"/>
    <w:rsid w:val="000C5E15"/>
    <w:rsid w:val="000C7D8E"/>
    <w:rsid w:val="000C7E92"/>
    <w:rsid w:val="000D0D36"/>
    <w:rsid w:val="000D652B"/>
    <w:rsid w:val="000D6D72"/>
    <w:rsid w:val="000D769B"/>
    <w:rsid w:val="000D782E"/>
    <w:rsid w:val="000E0626"/>
    <w:rsid w:val="000E0F36"/>
    <w:rsid w:val="000E378E"/>
    <w:rsid w:val="000E623A"/>
    <w:rsid w:val="000E76EB"/>
    <w:rsid w:val="000F0784"/>
    <w:rsid w:val="000F1C82"/>
    <w:rsid w:val="000F7447"/>
    <w:rsid w:val="000F76A2"/>
    <w:rsid w:val="000F7BAA"/>
    <w:rsid w:val="001003C8"/>
    <w:rsid w:val="00102CFA"/>
    <w:rsid w:val="0010371D"/>
    <w:rsid w:val="00117F7B"/>
    <w:rsid w:val="00120DA2"/>
    <w:rsid w:val="00121787"/>
    <w:rsid w:val="00123B9F"/>
    <w:rsid w:val="001242D2"/>
    <w:rsid w:val="001263F2"/>
    <w:rsid w:val="00131F22"/>
    <w:rsid w:val="001322AE"/>
    <w:rsid w:val="001341BC"/>
    <w:rsid w:val="00136AEC"/>
    <w:rsid w:val="00141171"/>
    <w:rsid w:val="001415BD"/>
    <w:rsid w:val="00141F2A"/>
    <w:rsid w:val="00152846"/>
    <w:rsid w:val="00154C52"/>
    <w:rsid w:val="00162A7D"/>
    <w:rsid w:val="00162DB4"/>
    <w:rsid w:val="00164960"/>
    <w:rsid w:val="00165CBA"/>
    <w:rsid w:val="00175950"/>
    <w:rsid w:val="0018509F"/>
    <w:rsid w:val="00185D93"/>
    <w:rsid w:val="00192FC3"/>
    <w:rsid w:val="001937F5"/>
    <w:rsid w:val="001942A0"/>
    <w:rsid w:val="00197CEF"/>
    <w:rsid w:val="001A1717"/>
    <w:rsid w:val="001B169D"/>
    <w:rsid w:val="001B3993"/>
    <w:rsid w:val="001B3B45"/>
    <w:rsid w:val="001B3C51"/>
    <w:rsid w:val="001B57C1"/>
    <w:rsid w:val="001C46A1"/>
    <w:rsid w:val="001C5AE8"/>
    <w:rsid w:val="001C7972"/>
    <w:rsid w:val="001D11E0"/>
    <w:rsid w:val="001D1792"/>
    <w:rsid w:val="001D1917"/>
    <w:rsid w:val="001D57FB"/>
    <w:rsid w:val="001D6893"/>
    <w:rsid w:val="001D7812"/>
    <w:rsid w:val="001E05A0"/>
    <w:rsid w:val="001E601E"/>
    <w:rsid w:val="001F4D4B"/>
    <w:rsid w:val="001F5747"/>
    <w:rsid w:val="001F7B54"/>
    <w:rsid w:val="00203C9E"/>
    <w:rsid w:val="00204A26"/>
    <w:rsid w:val="00204A3D"/>
    <w:rsid w:val="0021369C"/>
    <w:rsid w:val="00214A9B"/>
    <w:rsid w:val="00214EC2"/>
    <w:rsid w:val="002201EA"/>
    <w:rsid w:val="002210C6"/>
    <w:rsid w:val="002236EA"/>
    <w:rsid w:val="00226D40"/>
    <w:rsid w:val="00230B68"/>
    <w:rsid w:val="00232167"/>
    <w:rsid w:val="002363DA"/>
    <w:rsid w:val="0024020C"/>
    <w:rsid w:val="0024215F"/>
    <w:rsid w:val="00243F3B"/>
    <w:rsid w:val="0025460F"/>
    <w:rsid w:val="00257247"/>
    <w:rsid w:val="00261AD0"/>
    <w:rsid w:val="002638EF"/>
    <w:rsid w:val="00263C66"/>
    <w:rsid w:val="002744AE"/>
    <w:rsid w:val="0027482E"/>
    <w:rsid w:val="00276712"/>
    <w:rsid w:val="00277CDB"/>
    <w:rsid w:val="00285885"/>
    <w:rsid w:val="00286814"/>
    <w:rsid w:val="002874B0"/>
    <w:rsid w:val="00287DF1"/>
    <w:rsid w:val="002907FF"/>
    <w:rsid w:val="00291338"/>
    <w:rsid w:val="00293BC7"/>
    <w:rsid w:val="00294DA5"/>
    <w:rsid w:val="002953A1"/>
    <w:rsid w:val="00295E89"/>
    <w:rsid w:val="002A2097"/>
    <w:rsid w:val="002A62A9"/>
    <w:rsid w:val="002A6328"/>
    <w:rsid w:val="002B1083"/>
    <w:rsid w:val="002B190A"/>
    <w:rsid w:val="002C107E"/>
    <w:rsid w:val="002C4285"/>
    <w:rsid w:val="002C4353"/>
    <w:rsid w:val="002C5236"/>
    <w:rsid w:val="002D3E89"/>
    <w:rsid w:val="002D4327"/>
    <w:rsid w:val="002E0A90"/>
    <w:rsid w:val="002E1755"/>
    <w:rsid w:val="002E3689"/>
    <w:rsid w:val="002F14D5"/>
    <w:rsid w:val="00304CB8"/>
    <w:rsid w:val="00316FF5"/>
    <w:rsid w:val="00322A1F"/>
    <w:rsid w:val="0034145A"/>
    <w:rsid w:val="00347F8A"/>
    <w:rsid w:val="00351201"/>
    <w:rsid w:val="00351FC0"/>
    <w:rsid w:val="00353B6C"/>
    <w:rsid w:val="00356468"/>
    <w:rsid w:val="0036251B"/>
    <w:rsid w:val="003627FC"/>
    <w:rsid w:val="00364FC8"/>
    <w:rsid w:val="003657CC"/>
    <w:rsid w:val="003658A3"/>
    <w:rsid w:val="003713B9"/>
    <w:rsid w:val="00372693"/>
    <w:rsid w:val="00375618"/>
    <w:rsid w:val="003806FB"/>
    <w:rsid w:val="0038116D"/>
    <w:rsid w:val="003814C8"/>
    <w:rsid w:val="00384220"/>
    <w:rsid w:val="00391C79"/>
    <w:rsid w:val="0039251E"/>
    <w:rsid w:val="00394B7D"/>
    <w:rsid w:val="00396DB9"/>
    <w:rsid w:val="00397543"/>
    <w:rsid w:val="003A178C"/>
    <w:rsid w:val="003A1C20"/>
    <w:rsid w:val="003A47D4"/>
    <w:rsid w:val="003A67E5"/>
    <w:rsid w:val="003C0663"/>
    <w:rsid w:val="003C06D6"/>
    <w:rsid w:val="003C20D0"/>
    <w:rsid w:val="003C4231"/>
    <w:rsid w:val="003C4550"/>
    <w:rsid w:val="003C4CB9"/>
    <w:rsid w:val="003C6C4C"/>
    <w:rsid w:val="003D2B84"/>
    <w:rsid w:val="003D4860"/>
    <w:rsid w:val="003D4A31"/>
    <w:rsid w:val="003E0F2B"/>
    <w:rsid w:val="003E725B"/>
    <w:rsid w:val="003F2EA0"/>
    <w:rsid w:val="003F3A2E"/>
    <w:rsid w:val="003F46FA"/>
    <w:rsid w:val="00400F10"/>
    <w:rsid w:val="0040105D"/>
    <w:rsid w:val="0040668A"/>
    <w:rsid w:val="00406F25"/>
    <w:rsid w:val="004157EB"/>
    <w:rsid w:val="004201B4"/>
    <w:rsid w:val="0042412D"/>
    <w:rsid w:val="00424A28"/>
    <w:rsid w:val="00424DE9"/>
    <w:rsid w:val="00426E86"/>
    <w:rsid w:val="004421FB"/>
    <w:rsid w:val="004429B9"/>
    <w:rsid w:val="00447BC8"/>
    <w:rsid w:val="00453830"/>
    <w:rsid w:val="004557AA"/>
    <w:rsid w:val="0046054D"/>
    <w:rsid w:val="00465FC5"/>
    <w:rsid w:val="00467FD1"/>
    <w:rsid w:val="0047035A"/>
    <w:rsid w:val="00471414"/>
    <w:rsid w:val="00471D28"/>
    <w:rsid w:val="004738F2"/>
    <w:rsid w:val="00475589"/>
    <w:rsid w:val="004755C8"/>
    <w:rsid w:val="004805F7"/>
    <w:rsid w:val="00482075"/>
    <w:rsid w:val="0048340B"/>
    <w:rsid w:val="0048586C"/>
    <w:rsid w:val="004874A5"/>
    <w:rsid w:val="00491DE4"/>
    <w:rsid w:val="00494716"/>
    <w:rsid w:val="004A4C21"/>
    <w:rsid w:val="004A503C"/>
    <w:rsid w:val="004A5591"/>
    <w:rsid w:val="004B103D"/>
    <w:rsid w:val="004B6CD1"/>
    <w:rsid w:val="004C34AB"/>
    <w:rsid w:val="004C4C63"/>
    <w:rsid w:val="004C5651"/>
    <w:rsid w:val="004C64E1"/>
    <w:rsid w:val="004C6C99"/>
    <w:rsid w:val="004F18C5"/>
    <w:rsid w:val="004F5EFD"/>
    <w:rsid w:val="004F6A9A"/>
    <w:rsid w:val="004F7B1D"/>
    <w:rsid w:val="0050065F"/>
    <w:rsid w:val="00506A73"/>
    <w:rsid w:val="00506FE5"/>
    <w:rsid w:val="0050770A"/>
    <w:rsid w:val="00522684"/>
    <w:rsid w:val="005304D3"/>
    <w:rsid w:val="005305E2"/>
    <w:rsid w:val="0053367A"/>
    <w:rsid w:val="00533944"/>
    <w:rsid w:val="00535592"/>
    <w:rsid w:val="00537248"/>
    <w:rsid w:val="005434F3"/>
    <w:rsid w:val="00551159"/>
    <w:rsid w:val="005519AD"/>
    <w:rsid w:val="00561C8F"/>
    <w:rsid w:val="00564EA7"/>
    <w:rsid w:val="005656A3"/>
    <w:rsid w:val="00565B45"/>
    <w:rsid w:val="0056651D"/>
    <w:rsid w:val="00580801"/>
    <w:rsid w:val="00584E69"/>
    <w:rsid w:val="00587398"/>
    <w:rsid w:val="00587CCE"/>
    <w:rsid w:val="00592116"/>
    <w:rsid w:val="0059371D"/>
    <w:rsid w:val="005968F9"/>
    <w:rsid w:val="00596E1F"/>
    <w:rsid w:val="005A0ACB"/>
    <w:rsid w:val="005A1608"/>
    <w:rsid w:val="005A41D4"/>
    <w:rsid w:val="005A4CE6"/>
    <w:rsid w:val="005A724A"/>
    <w:rsid w:val="005B0C65"/>
    <w:rsid w:val="005B2EE4"/>
    <w:rsid w:val="005C147B"/>
    <w:rsid w:val="005C2DEB"/>
    <w:rsid w:val="005C3FBA"/>
    <w:rsid w:val="005D2306"/>
    <w:rsid w:val="005D2386"/>
    <w:rsid w:val="005D25CA"/>
    <w:rsid w:val="005D3FBE"/>
    <w:rsid w:val="005F466D"/>
    <w:rsid w:val="00605B09"/>
    <w:rsid w:val="00605E1A"/>
    <w:rsid w:val="00616412"/>
    <w:rsid w:val="00623583"/>
    <w:rsid w:val="00623824"/>
    <w:rsid w:val="00626C4C"/>
    <w:rsid w:val="00631CD0"/>
    <w:rsid w:val="00646C4C"/>
    <w:rsid w:val="00646E61"/>
    <w:rsid w:val="00654836"/>
    <w:rsid w:val="00661A42"/>
    <w:rsid w:val="00673573"/>
    <w:rsid w:val="006778DC"/>
    <w:rsid w:val="00682B49"/>
    <w:rsid w:val="00684C06"/>
    <w:rsid w:val="00685402"/>
    <w:rsid w:val="006871BF"/>
    <w:rsid w:val="00687AB5"/>
    <w:rsid w:val="006922DB"/>
    <w:rsid w:val="00696F8C"/>
    <w:rsid w:val="00696FBA"/>
    <w:rsid w:val="006A6AD4"/>
    <w:rsid w:val="006B3733"/>
    <w:rsid w:val="006B546E"/>
    <w:rsid w:val="006C23CE"/>
    <w:rsid w:val="006C2679"/>
    <w:rsid w:val="006C4D54"/>
    <w:rsid w:val="006C7043"/>
    <w:rsid w:val="006D10A4"/>
    <w:rsid w:val="006D1A4D"/>
    <w:rsid w:val="006D2B8A"/>
    <w:rsid w:val="006D5D84"/>
    <w:rsid w:val="006F3480"/>
    <w:rsid w:val="006F3720"/>
    <w:rsid w:val="006F5F7C"/>
    <w:rsid w:val="006F6EC5"/>
    <w:rsid w:val="006F736A"/>
    <w:rsid w:val="007001A6"/>
    <w:rsid w:val="00700959"/>
    <w:rsid w:val="00703D2F"/>
    <w:rsid w:val="007074F5"/>
    <w:rsid w:val="00707844"/>
    <w:rsid w:val="00714191"/>
    <w:rsid w:val="00716984"/>
    <w:rsid w:val="0072003A"/>
    <w:rsid w:val="007243BC"/>
    <w:rsid w:val="007253ED"/>
    <w:rsid w:val="0072665D"/>
    <w:rsid w:val="0073240C"/>
    <w:rsid w:val="00734FD3"/>
    <w:rsid w:val="0073674E"/>
    <w:rsid w:val="00737A24"/>
    <w:rsid w:val="00740450"/>
    <w:rsid w:val="007449FE"/>
    <w:rsid w:val="00750123"/>
    <w:rsid w:val="00755524"/>
    <w:rsid w:val="00755DD4"/>
    <w:rsid w:val="00757C5E"/>
    <w:rsid w:val="007603FF"/>
    <w:rsid w:val="00762F22"/>
    <w:rsid w:val="00766811"/>
    <w:rsid w:val="007826E9"/>
    <w:rsid w:val="00787D82"/>
    <w:rsid w:val="007956C8"/>
    <w:rsid w:val="00795DEC"/>
    <w:rsid w:val="007A00DE"/>
    <w:rsid w:val="007A26A5"/>
    <w:rsid w:val="007A47E6"/>
    <w:rsid w:val="007A6546"/>
    <w:rsid w:val="007B073A"/>
    <w:rsid w:val="007B6E68"/>
    <w:rsid w:val="007B7CFD"/>
    <w:rsid w:val="007C6258"/>
    <w:rsid w:val="007C6B5C"/>
    <w:rsid w:val="007D763E"/>
    <w:rsid w:val="007D7BDC"/>
    <w:rsid w:val="007E0ADB"/>
    <w:rsid w:val="007E1D0C"/>
    <w:rsid w:val="007E1FE9"/>
    <w:rsid w:val="007E3B6E"/>
    <w:rsid w:val="007F3093"/>
    <w:rsid w:val="007F34D9"/>
    <w:rsid w:val="007F5B6D"/>
    <w:rsid w:val="007F697E"/>
    <w:rsid w:val="008050E8"/>
    <w:rsid w:val="00805738"/>
    <w:rsid w:val="0081230B"/>
    <w:rsid w:val="008133C5"/>
    <w:rsid w:val="00813977"/>
    <w:rsid w:val="00813BEB"/>
    <w:rsid w:val="0081676F"/>
    <w:rsid w:val="00817EA7"/>
    <w:rsid w:val="00823D59"/>
    <w:rsid w:val="0083524C"/>
    <w:rsid w:val="0084241E"/>
    <w:rsid w:val="00842434"/>
    <w:rsid w:val="00846625"/>
    <w:rsid w:val="0085332A"/>
    <w:rsid w:val="00855DA6"/>
    <w:rsid w:val="008704C9"/>
    <w:rsid w:val="008705DC"/>
    <w:rsid w:val="00870C73"/>
    <w:rsid w:val="0087576B"/>
    <w:rsid w:val="00875941"/>
    <w:rsid w:val="008766DC"/>
    <w:rsid w:val="00876739"/>
    <w:rsid w:val="0088071B"/>
    <w:rsid w:val="0088314A"/>
    <w:rsid w:val="00884024"/>
    <w:rsid w:val="008841D9"/>
    <w:rsid w:val="0088451F"/>
    <w:rsid w:val="0088464C"/>
    <w:rsid w:val="008871D0"/>
    <w:rsid w:val="0089116C"/>
    <w:rsid w:val="00891FB6"/>
    <w:rsid w:val="00892F82"/>
    <w:rsid w:val="00894BB9"/>
    <w:rsid w:val="008A19E7"/>
    <w:rsid w:val="008A36D2"/>
    <w:rsid w:val="008A443D"/>
    <w:rsid w:val="008A5F7C"/>
    <w:rsid w:val="008A64E2"/>
    <w:rsid w:val="008B1363"/>
    <w:rsid w:val="008B270F"/>
    <w:rsid w:val="008B445A"/>
    <w:rsid w:val="008B469C"/>
    <w:rsid w:val="008B4FAC"/>
    <w:rsid w:val="008B78F1"/>
    <w:rsid w:val="008C68AE"/>
    <w:rsid w:val="008D1DC3"/>
    <w:rsid w:val="008D4EBB"/>
    <w:rsid w:val="008E30F8"/>
    <w:rsid w:val="008E7A49"/>
    <w:rsid w:val="008F0478"/>
    <w:rsid w:val="008F3532"/>
    <w:rsid w:val="009108DA"/>
    <w:rsid w:val="00910986"/>
    <w:rsid w:val="00910D3B"/>
    <w:rsid w:val="00921B0F"/>
    <w:rsid w:val="00922AF2"/>
    <w:rsid w:val="00926D28"/>
    <w:rsid w:val="0094060A"/>
    <w:rsid w:val="00942D4A"/>
    <w:rsid w:val="00944ADB"/>
    <w:rsid w:val="0094791F"/>
    <w:rsid w:val="00950DBF"/>
    <w:rsid w:val="009560BC"/>
    <w:rsid w:val="00957D27"/>
    <w:rsid w:val="0096112C"/>
    <w:rsid w:val="00965634"/>
    <w:rsid w:val="00970C9E"/>
    <w:rsid w:val="00970F7A"/>
    <w:rsid w:val="00976746"/>
    <w:rsid w:val="00976EDD"/>
    <w:rsid w:val="0098551B"/>
    <w:rsid w:val="00985AD8"/>
    <w:rsid w:val="009914F8"/>
    <w:rsid w:val="009A1667"/>
    <w:rsid w:val="009B2F97"/>
    <w:rsid w:val="009B4B69"/>
    <w:rsid w:val="009B57A4"/>
    <w:rsid w:val="009C064C"/>
    <w:rsid w:val="009C0A50"/>
    <w:rsid w:val="009C1869"/>
    <w:rsid w:val="009C21B9"/>
    <w:rsid w:val="009C2532"/>
    <w:rsid w:val="009D3150"/>
    <w:rsid w:val="009D3432"/>
    <w:rsid w:val="009E4F7F"/>
    <w:rsid w:val="009F1512"/>
    <w:rsid w:val="009F399F"/>
    <w:rsid w:val="009F4EA5"/>
    <w:rsid w:val="009F5F15"/>
    <w:rsid w:val="00A147D8"/>
    <w:rsid w:val="00A17FA0"/>
    <w:rsid w:val="00A2436C"/>
    <w:rsid w:val="00A24E18"/>
    <w:rsid w:val="00A27F7B"/>
    <w:rsid w:val="00A30C0F"/>
    <w:rsid w:val="00A328D6"/>
    <w:rsid w:val="00A349F0"/>
    <w:rsid w:val="00A40427"/>
    <w:rsid w:val="00A56F9C"/>
    <w:rsid w:val="00A57EEE"/>
    <w:rsid w:val="00A6078A"/>
    <w:rsid w:val="00A6254A"/>
    <w:rsid w:val="00A64647"/>
    <w:rsid w:val="00A67F14"/>
    <w:rsid w:val="00A75587"/>
    <w:rsid w:val="00A76BFC"/>
    <w:rsid w:val="00A81585"/>
    <w:rsid w:val="00A81C2E"/>
    <w:rsid w:val="00A9006D"/>
    <w:rsid w:val="00A90074"/>
    <w:rsid w:val="00AA21E8"/>
    <w:rsid w:val="00AA3CE7"/>
    <w:rsid w:val="00AA5FDD"/>
    <w:rsid w:val="00AA6537"/>
    <w:rsid w:val="00AB2CC3"/>
    <w:rsid w:val="00AB5C09"/>
    <w:rsid w:val="00AC1E3D"/>
    <w:rsid w:val="00AC719D"/>
    <w:rsid w:val="00AD479C"/>
    <w:rsid w:val="00AD58C3"/>
    <w:rsid w:val="00AD6AC5"/>
    <w:rsid w:val="00AD76A0"/>
    <w:rsid w:val="00AE2BCB"/>
    <w:rsid w:val="00AE3840"/>
    <w:rsid w:val="00AE443F"/>
    <w:rsid w:val="00AE54E0"/>
    <w:rsid w:val="00AE55AE"/>
    <w:rsid w:val="00AE5E05"/>
    <w:rsid w:val="00AE6D94"/>
    <w:rsid w:val="00AF63AB"/>
    <w:rsid w:val="00AF743B"/>
    <w:rsid w:val="00B006D5"/>
    <w:rsid w:val="00B01F9F"/>
    <w:rsid w:val="00B045A1"/>
    <w:rsid w:val="00B04AC8"/>
    <w:rsid w:val="00B10472"/>
    <w:rsid w:val="00B10C74"/>
    <w:rsid w:val="00B13A92"/>
    <w:rsid w:val="00B15A6B"/>
    <w:rsid w:val="00B1737B"/>
    <w:rsid w:val="00B22117"/>
    <w:rsid w:val="00B23E15"/>
    <w:rsid w:val="00B343C2"/>
    <w:rsid w:val="00B45A23"/>
    <w:rsid w:val="00B465FD"/>
    <w:rsid w:val="00B51CA8"/>
    <w:rsid w:val="00B60C1B"/>
    <w:rsid w:val="00B628C6"/>
    <w:rsid w:val="00B65399"/>
    <w:rsid w:val="00B667B4"/>
    <w:rsid w:val="00B7104C"/>
    <w:rsid w:val="00B728B9"/>
    <w:rsid w:val="00B72FA3"/>
    <w:rsid w:val="00B7761D"/>
    <w:rsid w:val="00B8450C"/>
    <w:rsid w:val="00B8654D"/>
    <w:rsid w:val="00B86F35"/>
    <w:rsid w:val="00B87A8B"/>
    <w:rsid w:val="00B87BB7"/>
    <w:rsid w:val="00B9592C"/>
    <w:rsid w:val="00B97FAE"/>
    <w:rsid w:val="00BA46C7"/>
    <w:rsid w:val="00BB14AF"/>
    <w:rsid w:val="00BB5556"/>
    <w:rsid w:val="00BB74E9"/>
    <w:rsid w:val="00BB76CA"/>
    <w:rsid w:val="00BC0EA4"/>
    <w:rsid w:val="00BC1703"/>
    <w:rsid w:val="00BC649D"/>
    <w:rsid w:val="00BC7BCA"/>
    <w:rsid w:val="00BD2407"/>
    <w:rsid w:val="00BD369B"/>
    <w:rsid w:val="00BD5350"/>
    <w:rsid w:val="00BE1B70"/>
    <w:rsid w:val="00BE2385"/>
    <w:rsid w:val="00BE2799"/>
    <w:rsid w:val="00BE467D"/>
    <w:rsid w:val="00BE775A"/>
    <w:rsid w:val="00BE7797"/>
    <w:rsid w:val="00BE7D2F"/>
    <w:rsid w:val="00BF0D64"/>
    <w:rsid w:val="00BF197E"/>
    <w:rsid w:val="00BF1C4B"/>
    <w:rsid w:val="00BF5719"/>
    <w:rsid w:val="00C00D33"/>
    <w:rsid w:val="00C066AB"/>
    <w:rsid w:val="00C06E68"/>
    <w:rsid w:val="00C0BEBA"/>
    <w:rsid w:val="00C11AEF"/>
    <w:rsid w:val="00C133E9"/>
    <w:rsid w:val="00C159F8"/>
    <w:rsid w:val="00C15FB3"/>
    <w:rsid w:val="00C17786"/>
    <w:rsid w:val="00C20A8E"/>
    <w:rsid w:val="00C23AB2"/>
    <w:rsid w:val="00C32ACC"/>
    <w:rsid w:val="00C32D29"/>
    <w:rsid w:val="00C36CDE"/>
    <w:rsid w:val="00C36F65"/>
    <w:rsid w:val="00C37426"/>
    <w:rsid w:val="00C40182"/>
    <w:rsid w:val="00C4275C"/>
    <w:rsid w:val="00C505CC"/>
    <w:rsid w:val="00C50795"/>
    <w:rsid w:val="00C52506"/>
    <w:rsid w:val="00C54CDA"/>
    <w:rsid w:val="00C54EF7"/>
    <w:rsid w:val="00C63405"/>
    <w:rsid w:val="00C7580A"/>
    <w:rsid w:val="00C75FD1"/>
    <w:rsid w:val="00C77179"/>
    <w:rsid w:val="00C77D83"/>
    <w:rsid w:val="00C83658"/>
    <w:rsid w:val="00C8476F"/>
    <w:rsid w:val="00C90A74"/>
    <w:rsid w:val="00C92DE1"/>
    <w:rsid w:val="00C93C10"/>
    <w:rsid w:val="00C95008"/>
    <w:rsid w:val="00C959E4"/>
    <w:rsid w:val="00CA1741"/>
    <w:rsid w:val="00CA17FD"/>
    <w:rsid w:val="00CA20D0"/>
    <w:rsid w:val="00CA3B3D"/>
    <w:rsid w:val="00CA3F42"/>
    <w:rsid w:val="00CA49C0"/>
    <w:rsid w:val="00CA618B"/>
    <w:rsid w:val="00CA6824"/>
    <w:rsid w:val="00CA6A2F"/>
    <w:rsid w:val="00CA6DAB"/>
    <w:rsid w:val="00CB6458"/>
    <w:rsid w:val="00CC0BE5"/>
    <w:rsid w:val="00CD010E"/>
    <w:rsid w:val="00CD2D68"/>
    <w:rsid w:val="00CD5478"/>
    <w:rsid w:val="00CD646B"/>
    <w:rsid w:val="00CE3C6F"/>
    <w:rsid w:val="00CE4598"/>
    <w:rsid w:val="00CE45A3"/>
    <w:rsid w:val="00CE6579"/>
    <w:rsid w:val="00CF0B43"/>
    <w:rsid w:val="00CF40CC"/>
    <w:rsid w:val="00CF4FA5"/>
    <w:rsid w:val="00CF6B2C"/>
    <w:rsid w:val="00D0021D"/>
    <w:rsid w:val="00D02996"/>
    <w:rsid w:val="00D02B34"/>
    <w:rsid w:val="00D100E8"/>
    <w:rsid w:val="00D14A06"/>
    <w:rsid w:val="00D219C3"/>
    <w:rsid w:val="00D2616E"/>
    <w:rsid w:val="00D3106A"/>
    <w:rsid w:val="00D314F9"/>
    <w:rsid w:val="00D334C8"/>
    <w:rsid w:val="00D36D88"/>
    <w:rsid w:val="00D36EDB"/>
    <w:rsid w:val="00D37689"/>
    <w:rsid w:val="00D5355D"/>
    <w:rsid w:val="00D547DE"/>
    <w:rsid w:val="00D54CE5"/>
    <w:rsid w:val="00D64511"/>
    <w:rsid w:val="00D659AB"/>
    <w:rsid w:val="00D7188C"/>
    <w:rsid w:val="00D7456B"/>
    <w:rsid w:val="00D75882"/>
    <w:rsid w:val="00D75990"/>
    <w:rsid w:val="00D927D0"/>
    <w:rsid w:val="00DA0E7C"/>
    <w:rsid w:val="00DA2A99"/>
    <w:rsid w:val="00DA3DDF"/>
    <w:rsid w:val="00DA702F"/>
    <w:rsid w:val="00DA7C9B"/>
    <w:rsid w:val="00DA7E78"/>
    <w:rsid w:val="00DB2E83"/>
    <w:rsid w:val="00DB37C4"/>
    <w:rsid w:val="00DB3EF1"/>
    <w:rsid w:val="00DB6443"/>
    <w:rsid w:val="00DC4714"/>
    <w:rsid w:val="00DC7766"/>
    <w:rsid w:val="00DC79E0"/>
    <w:rsid w:val="00DE17C2"/>
    <w:rsid w:val="00DE19D0"/>
    <w:rsid w:val="00DE1CBF"/>
    <w:rsid w:val="00DE2D30"/>
    <w:rsid w:val="00DE6C74"/>
    <w:rsid w:val="00DF6205"/>
    <w:rsid w:val="00DF78C8"/>
    <w:rsid w:val="00DF79D7"/>
    <w:rsid w:val="00DF7E7E"/>
    <w:rsid w:val="00E01765"/>
    <w:rsid w:val="00E070E0"/>
    <w:rsid w:val="00E142CA"/>
    <w:rsid w:val="00E1478E"/>
    <w:rsid w:val="00E15CFB"/>
    <w:rsid w:val="00E17F70"/>
    <w:rsid w:val="00E2234F"/>
    <w:rsid w:val="00E22D86"/>
    <w:rsid w:val="00E30F01"/>
    <w:rsid w:val="00E323DA"/>
    <w:rsid w:val="00E43021"/>
    <w:rsid w:val="00E46160"/>
    <w:rsid w:val="00E506AF"/>
    <w:rsid w:val="00E50BB3"/>
    <w:rsid w:val="00E60690"/>
    <w:rsid w:val="00E60D69"/>
    <w:rsid w:val="00E60D7E"/>
    <w:rsid w:val="00E61733"/>
    <w:rsid w:val="00E64EBB"/>
    <w:rsid w:val="00E76BD2"/>
    <w:rsid w:val="00E77951"/>
    <w:rsid w:val="00E81551"/>
    <w:rsid w:val="00E8227F"/>
    <w:rsid w:val="00E82E79"/>
    <w:rsid w:val="00E84472"/>
    <w:rsid w:val="00E864F9"/>
    <w:rsid w:val="00E870D1"/>
    <w:rsid w:val="00E90790"/>
    <w:rsid w:val="00E93147"/>
    <w:rsid w:val="00E936B3"/>
    <w:rsid w:val="00EA1DB6"/>
    <w:rsid w:val="00EA455D"/>
    <w:rsid w:val="00EA5A35"/>
    <w:rsid w:val="00EA78ED"/>
    <w:rsid w:val="00EB0627"/>
    <w:rsid w:val="00EB0E89"/>
    <w:rsid w:val="00EB2185"/>
    <w:rsid w:val="00EB28AE"/>
    <w:rsid w:val="00EB379B"/>
    <w:rsid w:val="00EB4C6E"/>
    <w:rsid w:val="00EB6E76"/>
    <w:rsid w:val="00EC049A"/>
    <w:rsid w:val="00EC0BD4"/>
    <w:rsid w:val="00EC2272"/>
    <w:rsid w:val="00EC426E"/>
    <w:rsid w:val="00EC461D"/>
    <w:rsid w:val="00EC6FA2"/>
    <w:rsid w:val="00ED0E04"/>
    <w:rsid w:val="00ED270F"/>
    <w:rsid w:val="00ED7658"/>
    <w:rsid w:val="00ED7FE6"/>
    <w:rsid w:val="00EE132E"/>
    <w:rsid w:val="00EE2741"/>
    <w:rsid w:val="00EE5F92"/>
    <w:rsid w:val="00EE76BC"/>
    <w:rsid w:val="00EF13B2"/>
    <w:rsid w:val="00EF2DF9"/>
    <w:rsid w:val="00EF61CE"/>
    <w:rsid w:val="00EF6221"/>
    <w:rsid w:val="00EF70C0"/>
    <w:rsid w:val="00F00F48"/>
    <w:rsid w:val="00F01CA9"/>
    <w:rsid w:val="00F03E9D"/>
    <w:rsid w:val="00F04EC2"/>
    <w:rsid w:val="00F16BC9"/>
    <w:rsid w:val="00F25CC5"/>
    <w:rsid w:val="00F264D6"/>
    <w:rsid w:val="00F26512"/>
    <w:rsid w:val="00F31600"/>
    <w:rsid w:val="00F320B0"/>
    <w:rsid w:val="00F321B9"/>
    <w:rsid w:val="00F32CA7"/>
    <w:rsid w:val="00F35EC5"/>
    <w:rsid w:val="00F36E7E"/>
    <w:rsid w:val="00F41A74"/>
    <w:rsid w:val="00F44DB5"/>
    <w:rsid w:val="00F45C4E"/>
    <w:rsid w:val="00F52F01"/>
    <w:rsid w:val="00F56312"/>
    <w:rsid w:val="00F61EA8"/>
    <w:rsid w:val="00F67A80"/>
    <w:rsid w:val="00F72437"/>
    <w:rsid w:val="00F84DFB"/>
    <w:rsid w:val="00F875A6"/>
    <w:rsid w:val="00F90F3E"/>
    <w:rsid w:val="00F92408"/>
    <w:rsid w:val="00F92F7C"/>
    <w:rsid w:val="00F94F6F"/>
    <w:rsid w:val="00F974A0"/>
    <w:rsid w:val="00FA09F6"/>
    <w:rsid w:val="00FA20D7"/>
    <w:rsid w:val="00FA4DCC"/>
    <w:rsid w:val="00FA5748"/>
    <w:rsid w:val="00FB157B"/>
    <w:rsid w:val="00FC2668"/>
    <w:rsid w:val="00FC3674"/>
    <w:rsid w:val="00FC4378"/>
    <w:rsid w:val="00FC4882"/>
    <w:rsid w:val="00FC4AE9"/>
    <w:rsid w:val="00FC5150"/>
    <w:rsid w:val="00FC58C2"/>
    <w:rsid w:val="00FC5C77"/>
    <w:rsid w:val="00FD45CD"/>
    <w:rsid w:val="00FD5538"/>
    <w:rsid w:val="00FD6398"/>
    <w:rsid w:val="00FE4528"/>
    <w:rsid w:val="00FE52E3"/>
    <w:rsid w:val="00FF0588"/>
    <w:rsid w:val="00FF1BE0"/>
    <w:rsid w:val="00FF3DA1"/>
    <w:rsid w:val="00FF7AFB"/>
    <w:rsid w:val="014D5D62"/>
    <w:rsid w:val="019AF004"/>
    <w:rsid w:val="0275BB82"/>
    <w:rsid w:val="032E9864"/>
    <w:rsid w:val="03BFF627"/>
    <w:rsid w:val="04390D5A"/>
    <w:rsid w:val="07320681"/>
    <w:rsid w:val="07C6C636"/>
    <w:rsid w:val="089400DF"/>
    <w:rsid w:val="0985A62C"/>
    <w:rsid w:val="0A51FD61"/>
    <w:rsid w:val="0A6F7EFE"/>
    <w:rsid w:val="0AACC999"/>
    <w:rsid w:val="0BB96511"/>
    <w:rsid w:val="0C30BA22"/>
    <w:rsid w:val="0C41737F"/>
    <w:rsid w:val="0C9296EC"/>
    <w:rsid w:val="0CA20CC6"/>
    <w:rsid w:val="0D0DA004"/>
    <w:rsid w:val="0E18F27B"/>
    <w:rsid w:val="0E1F82E0"/>
    <w:rsid w:val="0E238B1C"/>
    <w:rsid w:val="0E98A32C"/>
    <w:rsid w:val="0F5E1886"/>
    <w:rsid w:val="0F6D9BC8"/>
    <w:rsid w:val="0FF73530"/>
    <w:rsid w:val="1082BB83"/>
    <w:rsid w:val="1160662E"/>
    <w:rsid w:val="1329C402"/>
    <w:rsid w:val="143D9AE9"/>
    <w:rsid w:val="14943923"/>
    <w:rsid w:val="14CBE497"/>
    <w:rsid w:val="14E62EFF"/>
    <w:rsid w:val="14FAC48B"/>
    <w:rsid w:val="15F2318B"/>
    <w:rsid w:val="16A2B71F"/>
    <w:rsid w:val="1759A80B"/>
    <w:rsid w:val="17E6C200"/>
    <w:rsid w:val="1854D78B"/>
    <w:rsid w:val="1AA768C0"/>
    <w:rsid w:val="1AE91B0C"/>
    <w:rsid w:val="1B370C73"/>
    <w:rsid w:val="1B723C9F"/>
    <w:rsid w:val="1B97E200"/>
    <w:rsid w:val="1B9910A8"/>
    <w:rsid w:val="1CC506B3"/>
    <w:rsid w:val="1CF64DEE"/>
    <w:rsid w:val="1F0AA328"/>
    <w:rsid w:val="1F8D894B"/>
    <w:rsid w:val="20E61E17"/>
    <w:rsid w:val="21173467"/>
    <w:rsid w:val="21F23FEA"/>
    <w:rsid w:val="2269C712"/>
    <w:rsid w:val="229A8187"/>
    <w:rsid w:val="23128454"/>
    <w:rsid w:val="23EE09C4"/>
    <w:rsid w:val="24908D19"/>
    <w:rsid w:val="24DBD0CD"/>
    <w:rsid w:val="24ECBC5C"/>
    <w:rsid w:val="264058B8"/>
    <w:rsid w:val="2772ACD9"/>
    <w:rsid w:val="29039CEA"/>
    <w:rsid w:val="29193202"/>
    <w:rsid w:val="2A045648"/>
    <w:rsid w:val="2A0BDFDD"/>
    <w:rsid w:val="2A2DD85B"/>
    <w:rsid w:val="2A458513"/>
    <w:rsid w:val="2B588FA4"/>
    <w:rsid w:val="2BC536F0"/>
    <w:rsid w:val="2CCFEE0D"/>
    <w:rsid w:val="2D132ADA"/>
    <w:rsid w:val="2DCA5C95"/>
    <w:rsid w:val="2EA02C46"/>
    <w:rsid w:val="2F30EC2B"/>
    <w:rsid w:val="2FDE4655"/>
    <w:rsid w:val="30ABC86A"/>
    <w:rsid w:val="3161D17A"/>
    <w:rsid w:val="31E0C7A7"/>
    <w:rsid w:val="32EA5EAA"/>
    <w:rsid w:val="32FF15D3"/>
    <w:rsid w:val="33C3EBEE"/>
    <w:rsid w:val="34A09F0B"/>
    <w:rsid w:val="34CDE7FB"/>
    <w:rsid w:val="34D3227B"/>
    <w:rsid w:val="3551F41E"/>
    <w:rsid w:val="356C6F55"/>
    <w:rsid w:val="37270129"/>
    <w:rsid w:val="37394462"/>
    <w:rsid w:val="373CEC2D"/>
    <w:rsid w:val="37B9FAD2"/>
    <w:rsid w:val="381DBCAF"/>
    <w:rsid w:val="382CB1E8"/>
    <w:rsid w:val="38610414"/>
    <w:rsid w:val="38FB4788"/>
    <w:rsid w:val="3ACF34FA"/>
    <w:rsid w:val="3B6DDD3B"/>
    <w:rsid w:val="3BC5D7B1"/>
    <w:rsid w:val="3C0483F4"/>
    <w:rsid w:val="3C6E2950"/>
    <w:rsid w:val="3DFC3073"/>
    <w:rsid w:val="3E4DBF99"/>
    <w:rsid w:val="3E595FB4"/>
    <w:rsid w:val="3EA68E88"/>
    <w:rsid w:val="3F2960F5"/>
    <w:rsid w:val="3F94862B"/>
    <w:rsid w:val="3FEB187B"/>
    <w:rsid w:val="40083D41"/>
    <w:rsid w:val="4065FF6A"/>
    <w:rsid w:val="40992BC1"/>
    <w:rsid w:val="40B27B83"/>
    <w:rsid w:val="41597937"/>
    <w:rsid w:val="419B9B64"/>
    <w:rsid w:val="423F6E0E"/>
    <w:rsid w:val="437DF249"/>
    <w:rsid w:val="44307D8B"/>
    <w:rsid w:val="447DDF44"/>
    <w:rsid w:val="4498E82B"/>
    <w:rsid w:val="45DBE602"/>
    <w:rsid w:val="45E4F444"/>
    <w:rsid w:val="467E7D09"/>
    <w:rsid w:val="46C6F5D4"/>
    <w:rsid w:val="4792C9C5"/>
    <w:rsid w:val="48D85B0E"/>
    <w:rsid w:val="491761B7"/>
    <w:rsid w:val="491A788B"/>
    <w:rsid w:val="4925E60A"/>
    <w:rsid w:val="4B2FDB4D"/>
    <w:rsid w:val="4B70B22A"/>
    <w:rsid w:val="4BB4F976"/>
    <w:rsid w:val="4BDA3AF7"/>
    <w:rsid w:val="4C76E472"/>
    <w:rsid w:val="4C9809F1"/>
    <w:rsid w:val="4CA712BB"/>
    <w:rsid w:val="4CB37F5C"/>
    <w:rsid w:val="4D5CAFD3"/>
    <w:rsid w:val="4DB5871E"/>
    <w:rsid w:val="4EA0296A"/>
    <w:rsid w:val="4EB91BF6"/>
    <w:rsid w:val="4F3BB9C1"/>
    <w:rsid w:val="4FBA151E"/>
    <w:rsid w:val="4FD9AC3E"/>
    <w:rsid w:val="5060203C"/>
    <w:rsid w:val="506F31A1"/>
    <w:rsid w:val="50846102"/>
    <w:rsid w:val="50935FAA"/>
    <w:rsid w:val="50D68B64"/>
    <w:rsid w:val="518D7CE3"/>
    <w:rsid w:val="51C54D1B"/>
    <w:rsid w:val="51E888C6"/>
    <w:rsid w:val="52174E5E"/>
    <w:rsid w:val="5312DA1C"/>
    <w:rsid w:val="544FDA96"/>
    <w:rsid w:val="5485B451"/>
    <w:rsid w:val="54B23D7F"/>
    <w:rsid w:val="54E57989"/>
    <w:rsid w:val="560DBB91"/>
    <w:rsid w:val="56285A83"/>
    <w:rsid w:val="56F71E77"/>
    <w:rsid w:val="573FE4D9"/>
    <w:rsid w:val="575BC751"/>
    <w:rsid w:val="57A79206"/>
    <w:rsid w:val="5909B086"/>
    <w:rsid w:val="5B6620F5"/>
    <w:rsid w:val="5BBA61EA"/>
    <w:rsid w:val="5BC60C06"/>
    <w:rsid w:val="5C410246"/>
    <w:rsid w:val="5D4A84C7"/>
    <w:rsid w:val="610A0058"/>
    <w:rsid w:val="62FDBA43"/>
    <w:rsid w:val="6314582E"/>
    <w:rsid w:val="631AAC21"/>
    <w:rsid w:val="63F532A8"/>
    <w:rsid w:val="646EADD4"/>
    <w:rsid w:val="64ED13A7"/>
    <w:rsid w:val="65063B7C"/>
    <w:rsid w:val="65BCAD2A"/>
    <w:rsid w:val="66082A2B"/>
    <w:rsid w:val="688C686B"/>
    <w:rsid w:val="693AA4E9"/>
    <w:rsid w:val="6A9EF554"/>
    <w:rsid w:val="6AE9205C"/>
    <w:rsid w:val="6AE9F362"/>
    <w:rsid w:val="6C4B54AB"/>
    <w:rsid w:val="6C6AA1AB"/>
    <w:rsid w:val="6CED4470"/>
    <w:rsid w:val="6CFFC8DB"/>
    <w:rsid w:val="6D1871ED"/>
    <w:rsid w:val="6D60B963"/>
    <w:rsid w:val="6DFBBFF0"/>
    <w:rsid w:val="6E047E2E"/>
    <w:rsid w:val="6E6E6EE1"/>
    <w:rsid w:val="6F0A4A8C"/>
    <w:rsid w:val="6F6B933F"/>
    <w:rsid w:val="6FA4CA5A"/>
    <w:rsid w:val="6FC41663"/>
    <w:rsid w:val="71B839BB"/>
    <w:rsid w:val="71FE0573"/>
    <w:rsid w:val="72938D36"/>
    <w:rsid w:val="73053691"/>
    <w:rsid w:val="732262D0"/>
    <w:rsid w:val="7373C402"/>
    <w:rsid w:val="73D593D9"/>
    <w:rsid w:val="73DB4118"/>
    <w:rsid w:val="73F3B749"/>
    <w:rsid w:val="7461FB65"/>
    <w:rsid w:val="748BB0F4"/>
    <w:rsid w:val="75601201"/>
    <w:rsid w:val="75C3F089"/>
    <w:rsid w:val="78386107"/>
    <w:rsid w:val="786878A2"/>
    <w:rsid w:val="791FA798"/>
    <w:rsid w:val="7A075D06"/>
    <w:rsid w:val="7A48DF7B"/>
    <w:rsid w:val="7AAB75AB"/>
    <w:rsid w:val="7BA49AA0"/>
    <w:rsid w:val="7C93AFDD"/>
    <w:rsid w:val="7DE89D8F"/>
    <w:rsid w:val="7DFEB99B"/>
    <w:rsid w:val="7E0FB838"/>
    <w:rsid w:val="7E26F46B"/>
    <w:rsid w:val="7E445C30"/>
    <w:rsid w:val="7E482B39"/>
    <w:rsid w:val="7F39ED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DE0D6F4"/>
  <w15:docId w15:val="{E7172A72-F95D-4DD0-B820-8ACF0F61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qFormat/>
    <w:rsid w:val="00EB379B"/>
    <w:rPr>
      <w:sz w:val="24"/>
    </w:rPr>
  </w:style>
  <w:style w:type="paragraph" w:styleId="Heading1">
    <w:name w:val="heading 1"/>
    <w:next w:val="BodyText12"/>
    <w:qFormat/>
    <w:rsid w:val="00EB0E89"/>
    <w:pPr>
      <w:keepNext/>
      <w:keepLines/>
      <w:numPr>
        <w:ilvl w:val="1"/>
        <w:numId w:val="11"/>
      </w:numPr>
      <w:spacing w:before="240" w:after="120"/>
      <w:outlineLvl w:val="0"/>
    </w:pPr>
    <w:rPr>
      <w:rFonts w:ascii="Arial" w:hAnsi="Arial"/>
      <w:b/>
      <w:caps/>
      <w:sz w:val="24"/>
    </w:rPr>
  </w:style>
  <w:style w:type="paragraph" w:styleId="Heading2">
    <w:name w:val="heading 2"/>
    <w:next w:val="BodyText12"/>
    <w:qFormat/>
    <w:rsid w:val="00B006D5"/>
    <w:pPr>
      <w:keepNext/>
      <w:keepLines/>
      <w:numPr>
        <w:ilvl w:val="2"/>
        <w:numId w:val="11"/>
      </w:numPr>
      <w:spacing w:before="240" w:after="120"/>
      <w:outlineLvl w:val="1"/>
    </w:pPr>
    <w:rPr>
      <w:rFonts w:ascii="Arial" w:hAnsi="Arial"/>
      <w:b/>
      <w:sz w:val="24"/>
    </w:rPr>
  </w:style>
  <w:style w:type="paragraph" w:styleId="Heading3">
    <w:name w:val="heading 3"/>
    <w:next w:val="BodyText12"/>
    <w:qFormat/>
    <w:rsid w:val="00B006D5"/>
    <w:pPr>
      <w:keepNext/>
      <w:keepLines/>
      <w:numPr>
        <w:ilvl w:val="3"/>
        <w:numId w:val="11"/>
      </w:numPr>
      <w:spacing w:before="240" w:after="120"/>
      <w:outlineLvl w:val="2"/>
    </w:pPr>
    <w:rPr>
      <w:rFonts w:ascii="Arial" w:hAnsi="Arial"/>
      <w:b/>
      <w:sz w:val="24"/>
    </w:rPr>
  </w:style>
  <w:style w:type="paragraph" w:styleId="Heading4">
    <w:name w:val="heading 4"/>
    <w:next w:val="BodyText12"/>
    <w:qFormat/>
    <w:rsid w:val="00B006D5"/>
    <w:pPr>
      <w:keepNext/>
      <w:keepLines/>
      <w:numPr>
        <w:ilvl w:val="4"/>
        <w:numId w:val="11"/>
      </w:numPr>
      <w:spacing w:before="240" w:after="120"/>
      <w:outlineLvl w:val="3"/>
    </w:pPr>
    <w:rPr>
      <w:rFonts w:ascii="Arial" w:hAnsi="Arial"/>
      <w:b/>
      <w:sz w:val="24"/>
    </w:rPr>
  </w:style>
  <w:style w:type="paragraph" w:styleId="Heading5">
    <w:name w:val="heading 5"/>
    <w:next w:val="BodyText12"/>
    <w:qFormat/>
    <w:rsid w:val="00B006D5"/>
    <w:pPr>
      <w:keepNext/>
      <w:keepLines/>
      <w:numPr>
        <w:ilvl w:val="5"/>
        <w:numId w:val="11"/>
      </w:numPr>
      <w:spacing w:before="240" w:after="120"/>
      <w:outlineLvl w:val="4"/>
    </w:pPr>
    <w:rPr>
      <w:rFonts w:ascii="Arial" w:hAnsi="Arial"/>
      <w:b/>
      <w:sz w:val="24"/>
    </w:rPr>
  </w:style>
  <w:style w:type="paragraph" w:styleId="Heading6">
    <w:name w:val="heading 6"/>
    <w:next w:val="BodyText12"/>
    <w:qFormat/>
    <w:rsid w:val="00B006D5"/>
    <w:pPr>
      <w:keepNext/>
      <w:keepLines/>
      <w:numPr>
        <w:ilvl w:val="6"/>
        <w:numId w:val="11"/>
      </w:numPr>
      <w:spacing w:before="240" w:after="120"/>
      <w:outlineLvl w:val="5"/>
    </w:pPr>
    <w:rPr>
      <w:rFonts w:ascii="Arial" w:hAnsi="Arial"/>
      <w:b/>
      <w:sz w:val="24"/>
    </w:rPr>
  </w:style>
  <w:style w:type="paragraph" w:styleId="Heading7">
    <w:name w:val="heading 7"/>
    <w:next w:val="BodyText12"/>
    <w:qFormat/>
    <w:rsid w:val="00B006D5"/>
    <w:pPr>
      <w:keepNext/>
      <w:keepLines/>
      <w:numPr>
        <w:ilvl w:val="7"/>
        <w:numId w:val="11"/>
      </w:numPr>
      <w:spacing w:before="240" w:after="120"/>
      <w:outlineLvl w:val="6"/>
    </w:pPr>
    <w:rPr>
      <w:rFonts w:ascii="Arial" w:hAnsi="Arial"/>
      <w:b/>
      <w:sz w:val="24"/>
    </w:rPr>
  </w:style>
  <w:style w:type="paragraph" w:styleId="Heading8">
    <w:name w:val="heading 8"/>
    <w:next w:val="BodyText12"/>
    <w:qFormat/>
    <w:rsid w:val="00B006D5"/>
    <w:pPr>
      <w:keepNext/>
      <w:keepLines/>
      <w:numPr>
        <w:ilvl w:val="8"/>
        <w:numId w:val="11"/>
      </w:numPr>
      <w:spacing w:before="240" w:after="120"/>
      <w:outlineLvl w:val="7"/>
    </w:pPr>
    <w:rPr>
      <w:rFonts w:ascii="Arial" w:hAnsi="Arial"/>
      <w:b/>
      <w:sz w:val="24"/>
    </w:rPr>
  </w:style>
  <w:style w:type="paragraph" w:styleId="Heading9">
    <w:name w:val="heading 9"/>
    <w:next w:val="BodyText12"/>
    <w:semiHidden/>
    <w:qFormat/>
    <w:rsid w:val="00B006D5"/>
    <w:pPr>
      <w:keepNext/>
      <w:keepLines/>
      <w:tabs>
        <w:tab w:val="left" w:pos="2650"/>
      </w:tabs>
      <w:spacing w:after="60"/>
      <w:outlineLvl w:val="8"/>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2">
    <w:name w:val="Body Text 12"/>
    <w:link w:val="BodyText12Char"/>
    <w:qFormat/>
    <w:rsid w:val="00B006D5"/>
    <w:pPr>
      <w:spacing w:after="240" w:line="264" w:lineRule="auto"/>
      <w:jc w:val="both"/>
    </w:pPr>
    <w:rPr>
      <w:sz w:val="24"/>
    </w:rPr>
  </w:style>
  <w:style w:type="paragraph" w:styleId="TOC1">
    <w:name w:val="toc 1"/>
    <w:uiPriority w:val="39"/>
    <w:rsid w:val="00B006D5"/>
    <w:pPr>
      <w:tabs>
        <w:tab w:val="left" w:pos="504"/>
        <w:tab w:val="right" w:leader="dot" w:pos="9360"/>
      </w:tabs>
      <w:spacing w:before="200"/>
      <w:ind w:left="504" w:right="720" w:hanging="504"/>
    </w:pPr>
    <w:rPr>
      <w:rFonts w:ascii="Arial" w:hAnsi="Arial"/>
      <w:b/>
      <w:caps/>
    </w:rPr>
  </w:style>
  <w:style w:type="paragraph" w:styleId="TOC2">
    <w:name w:val="toc 2"/>
    <w:uiPriority w:val="39"/>
    <w:rsid w:val="00B006D5"/>
    <w:pPr>
      <w:tabs>
        <w:tab w:val="left" w:pos="720"/>
        <w:tab w:val="right" w:leader="dot" w:pos="9360"/>
      </w:tabs>
      <w:ind w:left="720" w:right="720" w:hanging="720"/>
    </w:pPr>
    <w:rPr>
      <w:rFonts w:ascii="Arial" w:hAnsi="Arial"/>
    </w:rPr>
  </w:style>
  <w:style w:type="paragraph" w:styleId="TOC3">
    <w:name w:val="toc 3"/>
    <w:uiPriority w:val="39"/>
    <w:rsid w:val="00B006D5"/>
    <w:pPr>
      <w:tabs>
        <w:tab w:val="left" w:pos="907"/>
        <w:tab w:val="right" w:leader="dot" w:pos="9360"/>
      </w:tabs>
      <w:ind w:left="907" w:right="720" w:hanging="907"/>
    </w:pPr>
    <w:rPr>
      <w:rFonts w:ascii="Arial" w:hAnsi="Arial"/>
    </w:rPr>
  </w:style>
  <w:style w:type="paragraph" w:styleId="TOC4">
    <w:name w:val="toc 4"/>
    <w:semiHidden/>
    <w:rsid w:val="00B006D5"/>
    <w:pPr>
      <w:tabs>
        <w:tab w:val="left" w:pos="1080"/>
        <w:tab w:val="right" w:leader="dot" w:pos="9360"/>
      </w:tabs>
      <w:ind w:left="1080" w:right="720" w:hanging="1080"/>
    </w:pPr>
    <w:rPr>
      <w:rFonts w:ascii="Arial" w:hAnsi="Arial"/>
    </w:rPr>
  </w:style>
  <w:style w:type="paragraph" w:styleId="TOC5">
    <w:name w:val="toc 5"/>
    <w:semiHidden/>
    <w:rsid w:val="00B006D5"/>
    <w:pPr>
      <w:tabs>
        <w:tab w:val="left" w:pos="1267"/>
        <w:tab w:val="right" w:leader="dot" w:pos="9360"/>
      </w:tabs>
      <w:ind w:left="1267" w:right="720" w:hanging="1267"/>
    </w:pPr>
    <w:rPr>
      <w:rFonts w:ascii="Arial" w:hAnsi="Arial"/>
      <w:szCs w:val="24"/>
    </w:rPr>
  </w:style>
  <w:style w:type="paragraph" w:styleId="TOC6">
    <w:name w:val="toc 6"/>
    <w:semiHidden/>
    <w:rsid w:val="00B006D5"/>
    <w:pPr>
      <w:tabs>
        <w:tab w:val="left" w:pos="1440"/>
        <w:tab w:val="right" w:leader="dot" w:pos="9360"/>
      </w:tabs>
      <w:ind w:left="1440" w:right="720" w:hanging="1440"/>
    </w:pPr>
    <w:rPr>
      <w:rFonts w:ascii="Arial" w:hAnsi="Arial"/>
    </w:rPr>
  </w:style>
  <w:style w:type="paragraph" w:styleId="TOC7">
    <w:name w:val="toc 7"/>
    <w:semiHidden/>
    <w:rsid w:val="00B006D5"/>
    <w:pPr>
      <w:tabs>
        <w:tab w:val="left" w:pos="1613"/>
        <w:tab w:val="right" w:leader="dot" w:pos="9360"/>
      </w:tabs>
      <w:ind w:left="1613" w:right="720" w:hanging="1613"/>
    </w:pPr>
    <w:rPr>
      <w:rFonts w:ascii="Arial" w:hAnsi="Arial"/>
    </w:rPr>
  </w:style>
  <w:style w:type="paragraph" w:styleId="TOC8">
    <w:name w:val="toc 8"/>
    <w:next w:val="Basic12"/>
    <w:semiHidden/>
    <w:rsid w:val="00B006D5"/>
    <w:pPr>
      <w:tabs>
        <w:tab w:val="left" w:pos="1800"/>
        <w:tab w:val="right" w:leader="dot" w:pos="9360"/>
      </w:tabs>
      <w:ind w:left="1800" w:right="720" w:hanging="1800"/>
    </w:pPr>
    <w:rPr>
      <w:rFonts w:ascii="Arial" w:hAnsi="Arial"/>
    </w:rPr>
  </w:style>
  <w:style w:type="paragraph" w:customStyle="1" w:styleId="Basic12">
    <w:name w:val="Basic 12"/>
    <w:qFormat/>
    <w:rsid w:val="00B006D5"/>
    <w:rPr>
      <w:sz w:val="24"/>
    </w:rPr>
  </w:style>
  <w:style w:type="paragraph" w:styleId="TOC9">
    <w:name w:val="toc 9"/>
    <w:basedOn w:val="Normal"/>
    <w:next w:val="Normal"/>
    <w:autoRedefine/>
    <w:semiHidden/>
    <w:rsid w:val="000E0626"/>
    <w:pPr>
      <w:tabs>
        <w:tab w:val="left" w:pos="2347"/>
        <w:tab w:val="right" w:leader="dot" w:pos="9360"/>
      </w:tabs>
      <w:ind w:left="1627" w:right="720" w:hanging="1627"/>
    </w:pPr>
    <w:rPr>
      <w:rFonts w:ascii="Arial" w:hAnsi="Arial"/>
      <w:sz w:val="20"/>
    </w:rPr>
  </w:style>
  <w:style w:type="paragraph" w:styleId="FootnoteText">
    <w:name w:val="footnote text"/>
    <w:link w:val="FootnoteTextChar"/>
    <w:uiPriority w:val="99"/>
    <w:semiHidden/>
    <w:rsid w:val="00B006D5"/>
    <w:pPr>
      <w:tabs>
        <w:tab w:val="left" w:pos="288"/>
      </w:tabs>
      <w:spacing w:after="120"/>
      <w:ind w:left="288" w:hanging="288"/>
      <w:jc w:val="both"/>
    </w:pPr>
  </w:style>
  <w:style w:type="paragraph" w:styleId="Header">
    <w:name w:val="header"/>
    <w:link w:val="HeaderChar"/>
    <w:uiPriority w:val="99"/>
    <w:rsid w:val="00B006D5"/>
  </w:style>
  <w:style w:type="character" w:customStyle="1" w:styleId="HeaderChar">
    <w:name w:val="Header Char"/>
    <w:basedOn w:val="DefaultParagraphFont"/>
    <w:link w:val="Header"/>
    <w:uiPriority w:val="99"/>
    <w:rsid w:val="00D7456B"/>
    <w:rPr>
      <w:lang w:val="en-US" w:eastAsia="en-US" w:bidi="ar-SA"/>
    </w:rPr>
  </w:style>
  <w:style w:type="paragraph" w:styleId="Footer">
    <w:name w:val="footer"/>
    <w:link w:val="FooterChar"/>
    <w:uiPriority w:val="99"/>
    <w:rsid w:val="00B006D5"/>
    <w:pPr>
      <w:spacing w:before="60"/>
    </w:pPr>
  </w:style>
  <w:style w:type="character" w:customStyle="1" w:styleId="FooterChar">
    <w:name w:val="Footer Char"/>
    <w:basedOn w:val="DefaultParagraphFont"/>
    <w:link w:val="Footer"/>
    <w:uiPriority w:val="99"/>
    <w:rsid w:val="0010371D"/>
    <w:rPr>
      <w:lang w:val="en-US" w:eastAsia="en-US" w:bidi="ar-SA"/>
    </w:rPr>
  </w:style>
  <w:style w:type="paragraph" w:customStyle="1" w:styleId="Basic11">
    <w:name w:val="Basic 11"/>
    <w:qFormat/>
    <w:rsid w:val="00B006D5"/>
    <w:rPr>
      <w:sz w:val="22"/>
    </w:rPr>
  </w:style>
  <w:style w:type="paragraph" w:customStyle="1" w:styleId="BodyText11">
    <w:name w:val="Body Text 11"/>
    <w:qFormat/>
    <w:rsid w:val="00B006D5"/>
    <w:pPr>
      <w:spacing w:after="180"/>
      <w:jc w:val="both"/>
    </w:pPr>
    <w:rPr>
      <w:sz w:val="22"/>
    </w:rPr>
  </w:style>
  <w:style w:type="character" w:styleId="FootnoteReference">
    <w:name w:val="footnote reference"/>
    <w:uiPriority w:val="99"/>
    <w:semiHidden/>
    <w:rsid w:val="00B006D5"/>
    <w:rPr>
      <w:dstrike w:val="0"/>
      <w:noProof w:val="0"/>
      <w:color w:val="auto"/>
      <w:vertAlign w:val="superscript"/>
      <w:lang w:val="en-US"/>
    </w:rPr>
  </w:style>
  <w:style w:type="character" w:styleId="PageNumber">
    <w:name w:val="page number"/>
    <w:basedOn w:val="DefaultParagraphFont"/>
    <w:semiHidden/>
    <w:rsid w:val="00B87BB7"/>
    <w:rPr>
      <w:rFonts w:ascii="Times New Roman" w:hAnsi="Times New Roman"/>
      <w:sz w:val="20"/>
      <w:lang w:val="en-US"/>
    </w:rPr>
  </w:style>
  <w:style w:type="character" w:styleId="Hyperlink">
    <w:name w:val="Hyperlink"/>
    <w:basedOn w:val="DefaultParagraphFont"/>
    <w:uiPriority w:val="99"/>
    <w:rsid w:val="00B006D5"/>
    <w:rPr>
      <w:color w:val="0000FF"/>
      <w:u w:val="none"/>
    </w:rPr>
  </w:style>
  <w:style w:type="paragraph" w:styleId="DocumentMap">
    <w:name w:val="Document Map"/>
    <w:basedOn w:val="Normal"/>
    <w:semiHidden/>
    <w:rsid w:val="00B87BB7"/>
    <w:pPr>
      <w:shd w:val="clear" w:color="auto" w:fill="000080"/>
    </w:pPr>
    <w:rPr>
      <w:rFonts w:ascii="Tahoma" w:hAnsi="Tahoma" w:cs="Tahoma"/>
    </w:rPr>
  </w:style>
  <w:style w:type="character" w:styleId="FollowedHyperlink">
    <w:name w:val="FollowedHyperlink"/>
    <w:basedOn w:val="DefaultParagraphFont"/>
    <w:semiHidden/>
    <w:rsid w:val="00B006D5"/>
    <w:rPr>
      <w:color w:val="800080"/>
      <w:u w:val="none"/>
    </w:rPr>
  </w:style>
  <w:style w:type="paragraph" w:customStyle="1" w:styleId="MarkforTOC">
    <w:name w:val="Mark for TOC"/>
    <w:next w:val="Basic11"/>
    <w:rsid w:val="00596E1F"/>
    <w:pPr>
      <w:keepNext/>
      <w:spacing w:before="60" w:after="60"/>
      <w:ind w:left="1440" w:hanging="1440"/>
    </w:pPr>
    <w:rPr>
      <w:rFonts w:ascii="Arial" w:hAnsi="Arial"/>
      <w:b/>
    </w:rPr>
  </w:style>
  <w:style w:type="paragraph" w:customStyle="1" w:styleId="GuideBullet">
    <w:name w:val="GuideBullet"/>
    <w:semiHidden/>
    <w:rsid w:val="00B87BB7"/>
    <w:pPr>
      <w:numPr>
        <w:numId w:val="1"/>
      </w:numPr>
      <w:tabs>
        <w:tab w:val="clear" w:pos="360"/>
        <w:tab w:val="left" w:pos="288"/>
      </w:tabs>
      <w:spacing w:after="40"/>
      <w:ind w:left="360" w:hanging="360"/>
    </w:pPr>
    <w:rPr>
      <w:sz w:val="22"/>
    </w:rPr>
  </w:style>
  <w:style w:type="paragraph" w:customStyle="1" w:styleId="GuideDash">
    <w:name w:val="GuideDash"/>
    <w:semiHidden/>
    <w:rsid w:val="00B87BB7"/>
    <w:pPr>
      <w:numPr>
        <w:numId w:val="2"/>
      </w:numPr>
      <w:tabs>
        <w:tab w:val="clear" w:pos="1786"/>
        <w:tab w:val="left" w:pos="576"/>
      </w:tabs>
      <w:spacing w:after="40"/>
      <w:ind w:left="576"/>
    </w:pPr>
    <w:rPr>
      <w:sz w:val="22"/>
    </w:rPr>
  </w:style>
  <w:style w:type="paragraph" w:customStyle="1" w:styleId="GuideText">
    <w:name w:val="GuideText"/>
    <w:semiHidden/>
    <w:rsid w:val="00B87BB7"/>
    <w:pPr>
      <w:keepLines/>
      <w:spacing w:after="100"/>
    </w:pPr>
    <w:rPr>
      <w:sz w:val="22"/>
    </w:rPr>
  </w:style>
  <w:style w:type="paragraph" w:customStyle="1" w:styleId="BodyText11Indent">
    <w:name w:val="Body Text 11 Indent"/>
    <w:qFormat/>
    <w:rsid w:val="00B006D5"/>
    <w:pPr>
      <w:spacing w:after="180"/>
      <w:ind w:left="432"/>
      <w:jc w:val="both"/>
    </w:pPr>
    <w:rPr>
      <w:sz w:val="22"/>
    </w:rPr>
  </w:style>
  <w:style w:type="paragraph" w:customStyle="1" w:styleId="BodyText12Indent">
    <w:name w:val="Body Text 12 Indent"/>
    <w:qFormat/>
    <w:rsid w:val="00B006D5"/>
    <w:pPr>
      <w:spacing w:after="240"/>
      <w:ind w:left="432"/>
      <w:jc w:val="both"/>
    </w:pPr>
    <w:rPr>
      <w:sz w:val="24"/>
    </w:rPr>
  </w:style>
  <w:style w:type="paragraph" w:customStyle="1" w:styleId="Bullet11-1">
    <w:name w:val="Bullet 11-1"/>
    <w:qFormat/>
    <w:rsid w:val="0088314A"/>
    <w:pPr>
      <w:numPr>
        <w:numId w:val="3"/>
      </w:numPr>
      <w:spacing w:after="120"/>
      <w:jc w:val="both"/>
    </w:pPr>
    <w:rPr>
      <w:sz w:val="22"/>
    </w:rPr>
  </w:style>
  <w:style w:type="paragraph" w:customStyle="1" w:styleId="Bullet11-2">
    <w:name w:val="Bullet 11-2"/>
    <w:qFormat/>
    <w:rsid w:val="0088314A"/>
    <w:pPr>
      <w:numPr>
        <w:numId w:val="4"/>
      </w:numPr>
      <w:spacing w:after="120"/>
      <w:jc w:val="both"/>
    </w:pPr>
    <w:rPr>
      <w:sz w:val="22"/>
    </w:rPr>
  </w:style>
  <w:style w:type="paragraph" w:customStyle="1" w:styleId="Bullet11-3">
    <w:name w:val="Bullet 11-3"/>
    <w:qFormat/>
    <w:rsid w:val="0088314A"/>
    <w:pPr>
      <w:numPr>
        <w:numId w:val="5"/>
      </w:numPr>
      <w:spacing w:after="120"/>
      <w:jc w:val="both"/>
    </w:pPr>
    <w:rPr>
      <w:sz w:val="22"/>
    </w:rPr>
  </w:style>
  <w:style w:type="paragraph" w:customStyle="1" w:styleId="Bullet11-4">
    <w:name w:val="Bullet 11-4"/>
    <w:qFormat/>
    <w:rsid w:val="0088314A"/>
    <w:pPr>
      <w:numPr>
        <w:numId w:val="6"/>
      </w:numPr>
      <w:spacing w:after="120"/>
      <w:jc w:val="both"/>
    </w:pPr>
    <w:rPr>
      <w:sz w:val="22"/>
    </w:rPr>
  </w:style>
  <w:style w:type="paragraph" w:customStyle="1" w:styleId="Bullet12-1">
    <w:name w:val="Bullet 12-1"/>
    <w:qFormat/>
    <w:rsid w:val="00B006D5"/>
    <w:pPr>
      <w:numPr>
        <w:numId w:val="7"/>
      </w:numPr>
      <w:spacing w:after="120"/>
      <w:jc w:val="both"/>
    </w:pPr>
    <w:rPr>
      <w:sz w:val="24"/>
    </w:rPr>
  </w:style>
  <w:style w:type="paragraph" w:customStyle="1" w:styleId="Bullet12-2">
    <w:name w:val="Bullet 12-2"/>
    <w:qFormat/>
    <w:rsid w:val="00B006D5"/>
    <w:pPr>
      <w:numPr>
        <w:numId w:val="8"/>
      </w:numPr>
      <w:spacing w:after="120"/>
      <w:jc w:val="both"/>
    </w:pPr>
    <w:rPr>
      <w:sz w:val="24"/>
    </w:rPr>
  </w:style>
  <w:style w:type="paragraph" w:customStyle="1" w:styleId="Bullet12-3">
    <w:name w:val="Bullet 12-3"/>
    <w:qFormat/>
    <w:rsid w:val="00B006D5"/>
    <w:pPr>
      <w:numPr>
        <w:numId w:val="9"/>
      </w:numPr>
      <w:spacing w:after="120"/>
      <w:jc w:val="both"/>
    </w:pPr>
    <w:rPr>
      <w:sz w:val="24"/>
    </w:rPr>
  </w:style>
  <w:style w:type="paragraph" w:customStyle="1" w:styleId="Bullet12-4">
    <w:name w:val="Bullet 12-4"/>
    <w:qFormat/>
    <w:rsid w:val="00B006D5"/>
    <w:pPr>
      <w:numPr>
        <w:numId w:val="10"/>
      </w:numPr>
      <w:spacing w:after="120"/>
      <w:jc w:val="both"/>
    </w:pPr>
    <w:rPr>
      <w:sz w:val="24"/>
    </w:rPr>
  </w:style>
  <w:style w:type="paragraph" w:styleId="Caption">
    <w:name w:val="caption"/>
    <w:next w:val="TableText"/>
    <w:uiPriority w:val="35"/>
    <w:qFormat/>
    <w:rsid w:val="0088314A"/>
    <w:pPr>
      <w:keepNext/>
      <w:tabs>
        <w:tab w:val="left" w:pos="1152"/>
      </w:tabs>
      <w:spacing w:before="60" w:after="60"/>
      <w:ind w:left="1152" w:hanging="1152"/>
    </w:pPr>
    <w:rPr>
      <w:b/>
      <w:bCs/>
      <w:szCs w:val="18"/>
    </w:rPr>
  </w:style>
  <w:style w:type="paragraph" w:customStyle="1" w:styleId="TableText">
    <w:name w:val="Table Text"/>
    <w:qFormat/>
    <w:rsid w:val="00B006D5"/>
    <w:pPr>
      <w:tabs>
        <w:tab w:val="left" w:pos="288"/>
        <w:tab w:val="left" w:pos="576"/>
        <w:tab w:val="left" w:pos="864"/>
      </w:tabs>
    </w:pPr>
  </w:style>
  <w:style w:type="paragraph" w:customStyle="1" w:styleId="Heading0">
    <w:name w:val="Heading 0"/>
    <w:next w:val="BodyText12"/>
    <w:qFormat/>
    <w:rsid w:val="00B006D5"/>
    <w:pPr>
      <w:keepNext/>
      <w:keepLines/>
      <w:numPr>
        <w:numId w:val="11"/>
      </w:numPr>
      <w:spacing w:before="240" w:after="120"/>
      <w:outlineLvl w:val="0"/>
    </w:pPr>
    <w:rPr>
      <w:rFonts w:ascii="Arial" w:hAnsi="Arial"/>
      <w:b/>
      <w:caps/>
      <w:sz w:val="24"/>
    </w:rPr>
  </w:style>
  <w:style w:type="paragraph" w:customStyle="1" w:styleId="Numbered11-1">
    <w:name w:val="Numbered 11-1"/>
    <w:qFormat/>
    <w:rsid w:val="00B006D5"/>
    <w:pPr>
      <w:numPr>
        <w:numId w:val="12"/>
      </w:numPr>
      <w:spacing w:after="120"/>
      <w:jc w:val="both"/>
    </w:pPr>
    <w:rPr>
      <w:sz w:val="22"/>
    </w:rPr>
  </w:style>
  <w:style w:type="paragraph" w:customStyle="1" w:styleId="Numbered11-2">
    <w:name w:val="Numbered 11-2"/>
    <w:qFormat/>
    <w:rsid w:val="00B006D5"/>
    <w:pPr>
      <w:numPr>
        <w:numId w:val="13"/>
      </w:numPr>
      <w:spacing w:after="120"/>
      <w:jc w:val="both"/>
    </w:pPr>
    <w:rPr>
      <w:sz w:val="22"/>
    </w:rPr>
  </w:style>
  <w:style w:type="paragraph" w:customStyle="1" w:styleId="Numbered11-3">
    <w:name w:val="Numbered 11-3"/>
    <w:qFormat/>
    <w:rsid w:val="00B006D5"/>
    <w:pPr>
      <w:numPr>
        <w:numId w:val="14"/>
      </w:numPr>
      <w:spacing w:after="120"/>
      <w:jc w:val="both"/>
    </w:pPr>
    <w:rPr>
      <w:sz w:val="22"/>
    </w:rPr>
  </w:style>
  <w:style w:type="paragraph" w:customStyle="1" w:styleId="Numbered11-4">
    <w:name w:val="Numbered 11-4"/>
    <w:qFormat/>
    <w:rsid w:val="00B006D5"/>
    <w:pPr>
      <w:numPr>
        <w:numId w:val="15"/>
      </w:numPr>
      <w:spacing w:after="120"/>
      <w:jc w:val="both"/>
    </w:pPr>
    <w:rPr>
      <w:sz w:val="22"/>
    </w:rPr>
  </w:style>
  <w:style w:type="paragraph" w:customStyle="1" w:styleId="Numbered12-1">
    <w:name w:val="Numbered 12-1"/>
    <w:qFormat/>
    <w:rsid w:val="00B006D5"/>
    <w:pPr>
      <w:numPr>
        <w:numId w:val="16"/>
      </w:numPr>
      <w:spacing w:after="120"/>
      <w:jc w:val="both"/>
    </w:pPr>
    <w:rPr>
      <w:sz w:val="24"/>
    </w:rPr>
  </w:style>
  <w:style w:type="paragraph" w:customStyle="1" w:styleId="Numbered12-2">
    <w:name w:val="Numbered 12-2"/>
    <w:qFormat/>
    <w:rsid w:val="00B006D5"/>
    <w:pPr>
      <w:numPr>
        <w:numId w:val="17"/>
      </w:numPr>
      <w:spacing w:after="120"/>
      <w:jc w:val="both"/>
    </w:pPr>
    <w:rPr>
      <w:sz w:val="24"/>
    </w:rPr>
  </w:style>
  <w:style w:type="paragraph" w:customStyle="1" w:styleId="Numbered12-3">
    <w:name w:val="Numbered 12-3"/>
    <w:qFormat/>
    <w:rsid w:val="00B006D5"/>
    <w:pPr>
      <w:numPr>
        <w:numId w:val="18"/>
      </w:numPr>
      <w:spacing w:after="120"/>
      <w:jc w:val="both"/>
    </w:pPr>
    <w:rPr>
      <w:sz w:val="24"/>
    </w:rPr>
  </w:style>
  <w:style w:type="paragraph" w:customStyle="1" w:styleId="Numbered12-4">
    <w:name w:val="Numbered 12-4"/>
    <w:qFormat/>
    <w:rsid w:val="00B006D5"/>
    <w:pPr>
      <w:numPr>
        <w:numId w:val="19"/>
      </w:numPr>
      <w:spacing w:after="120"/>
      <w:jc w:val="both"/>
    </w:pPr>
    <w:rPr>
      <w:sz w:val="24"/>
    </w:rPr>
  </w:style>
  <w:style w:type="paragraph" w:customStyle="1" w:styleId="Reference">
    <w:name w:val="Reference"/>
    <w:qFormat/>
    <w:rsid w:val="004F7B1D"/>
    <w:pPr>
      <w:keepLines/>
      <w:numPr>
        <w:numId w:val="20"/>
      </w:numPr>
      <w:spacing w:after="120"/>
    </w:pPr>
  </w:style>
  <w:style w:type="paragraph" w:customStyle="1" w:styleId="SubheadingBold11">
    <w:name w:val="Subheading Bold 11"/>
    <w:next w:val="BodyText11"/>
    <w:qFormat/>
    <w:rsid w:val="00B006D5"/>
    <w:pPr>
      <w:keepNext/>
      <w:keepLines/>
      <w:spacing w:before="240" w:after="120"/>
    </w:pPr>
    <w:rPr>
      <w:b/>
      <w:sz w:val="22"/>
    </w:rPr>
  </w:style>
  <w:style w:type="paragraph" w:customStyle="1" w:styleId="SubheadingBold12">
    <w:name w:val="Subheading Bold 12"/>
    <w:next w:val="BodyText12"/>
    <w:qFormat/>
    <w:rsid w:val="00B006D5"/>
    <w:pPr>
      <w:keepNext/>
      <w:keepLines/>
      <w:spacing w:before="240" w:after="120"/>
    </w:pPr>
    <w:rPr>
      <w:b/>
      <w:sz w:val="24"/>
    </w:rPr>
  </w:style>
  <w:style w:type="paragraph" w:customStyle="1" w:styleId="SubheadingBoldItalics11">
    <w:name w:val="Subheading Bold Italics 11"/>
    <w:next w:val="BodyText11"/>
    <w:qFormat/>
    <w:rsid w:val="00B006D5"/>
    <w:pPr>
      <w:keepNext/>
      <w:keepLines/>
      <w:spacing w:before="240" w:after="120"/>
    </w:pPr>
    <w:rPr>
      <w:b/>
      <w:i/>
      <w:sz w:val="22"/>
    </w:rPr>
  </w:style>
  <w:style w:type="paragraph" w:customStyle="1" w:styleId="SubheadingBoldItalics12">
    <w:name w:val="Subheading Bold Italics 12"/>
    <w:next w:val="BodyText12"/>
    <w:qFormat/>
    <w:rsid w:val="00B006D5"/>
    <w:pPr>
      <w:keepNext/>
      <w:keepLines/>
      <w:spacing w:before="240" w:after="120"/>
    </w:pPr>
    <w:rPr>
      <w:b/>
      <w:i/>
      <w:sz w:val="24"/>
    </w:rPr>
  </w:style>
  <w:style w:type="paragraph" w:customStyle="1" w:styleId="TableFootnote">
    <w:name w:val="Table Footnote"/>
    <w:qFormat/>
    <w:rsid w:val="00B006D5"/>
    <w:pPr>
      <w:tabs>
        <w:tab w:val="left" w:pos="288"/>
      </w:tabs>
      <w:ind w:left="288" w:hanging="288"/>
    </w:pPr>
  </w:style>
  <w:style w:type="table" w:styleId="TableGrid">
    <w:name w:val="Table Grid"/>
    <w:basedOn w:val="TableNormal"/>
    <w:uiPriority w:val="39"/>
    <w:rsid w:val="0036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Basic11"/>
    <w:uiPriority w:val="99"/>
    <w:unhideWhenUsed/>
    <w:rsid w:val="00EB6E76"/>
    <w:pPr>
      <w:tabs>
        <w:tab w:val="left" w:pos="1008"/>
        <w:tab w:val="right" w:leader="dot" w:pos="9360"/>
      </w:tabs>
      <w:ind w:left="1008" w:right="720" w:hanging="1008"/>
    </w:pPr>
    <w:rPr>
      <w:rFonts w:ascii="Arial" w:hAnsi="Arial"/>
    </w:rPr>
  </w:style>
  <w:style w:type="character" w:styleId="PlaceholderText">
    <w:name w:val="Placeholder Text"/>
    <w:basedOn w:val="DefaultParagraphFont"/>
    <w:uiPriority w:val="99"/>
    <w:semiHidden/>
    <w:rsid w:val="00F26512"/>
    <w:rPr>
      <w:color w:val="808080"/>
    </w:rPr>
  </w:style>
  <w:style w:type="paragraph" w:styleId="BalloonText">
    <w:name w:val="Balloon Text"/>
    <w:basedOn w:val="Normal"/>
    <w:link w:val="BalloonTextChar"/>
    <w:uiPriority w:val="99"/>
    <w:semiHidden/>
    <w:unhideWhenUsed/>
    <w:rsid w:val="00EF2DF9"/>
    <w:rPr>
      <w:rFonts w:ascii="Tahoma" w:hAnsi="Tahoma" w:cs="Tahoma"/>
      <w:sz w:val="16"/>
      <w:szCs w:val="16"/>
    </w:rPr>
  </w:style>
  <w:style w:type="character" w:customStyle="1" w:styleId="BalloonTextChar">
    <w:name w:val="Balloon Text Char"/>
    <w:basedOn w:val="DefaultParagraphFont"/>
    <w:link w:val="BalloonText"/>
    <w:uiPriority w:val="99"/>
    <w:semiHidden/>
    <w:rsid w:val="00EF2DF9"/>
    <w:rPr>
      <w:rFonts w:ascii="Tahoma" w:hAnsi="Tahoma" w:cs="Tahoma"/>
      <w:sz w:val="16"/>
      <w:szCs w:val="16"/>
    </w:rPr>
  </w:style>
  <w:style w:type="character" w:styleId="Mention">
    <w:name w:val="Mention"/>
    <w:basedOn w:val="DefaultParagraphFont"/>
    <w:uiPriority w:val="99"/>
    <w:semiHidden/>
    <w:unhideWhenUsed/>
    <w:rsid w:val="00AB5C09"/>
    <w:rPr>
      <w:color w:val="2B579A"/>
      <w:shd w:val="clear" w:color="auto" w:fill="E6E6E6"/>
    </w:rPr>
  </w:style>
  <w:style w:type="paragraph" w:styleId="ListParagraph">
    <w:name w:val="List Paragraph"/>
    <w:basedOn w:val="Normal"/>
    <w:uiPriority w:val="34"/>
    <w:qFormat/>
    <w:rsid w:val="002C5236"/>
    <w:pPr>
      <w:spacing w:after="160" w:line="256" w:lineRule="auto"/>
      <w:ind w:left="720"/>
      <w:contextualSpacing/>
    </w:pPr>
    <w:rPr>
      <w:rFonts w:asciiTheme="minorHAnsi" w:eastAsiaTheme="minorHAnsi" w:hAnsiTheme="minorHAnsi" w:cstheme="minorBidi"/>
      <w:sz w:val="22"/>
      <w:szCs w:val="22"/>
    </w:rPr>
  </w:style>
  <w:style w:type="character" w:customStyle="1" w:styleId="normaltextrun">
    <w:name w:val="normaltextrun"/>
    <w:basedOn w:val="DefaultParagraphFont"/>
    <w:rsid w:val="00755524"/>
  </w:style>
  <w:style w:type="character" w:customStyle="1" w:styleId="spellingerror">
    <w:name w:val="spellingerror"/>
    <w:basedOn w:val="DefaultParagraphFont"/>
    <w:rsid w:val="00755524"/>
  </w:style>
  <w:style w:type="character" w:customStyle="1" w:styleId="numericfield">
    <w:name w:val="numericfield"/>
    <w:basedOn w:val="DefaultParagraphFont"/>
    <w:rsid w:val="00D927D0"/>
  </w:style>
  <w:style w:type="character" w:styleId="CommentReference">
    <w:name w:val="annotation reference"/>
    <w:basedOn w:val="DefaultParagraphFont"/>
    <w:uiPriority w:val="99"/>
    <w:unhideWhenUsed/>
    <w:rsid w:val="00AC719D"/>
    <w:rPr>
      <w:sz w:val="16"/>
      <w:szCs w:val="16"/>
    </w:rPr>
  </w:style>
  <w:style w:type="paragraph" w:styleId="CommentText">
    <w:name w:val="annotation text"/>
    <w:basedOn w:val="Normal"/>
    <w:link w:val="CommentTextChar"/>
    <w:uiPriority w:val="99"/>
    <w:unhideWhenUsed/>
    <w:rsid w:val="00AC719D"/>
    <w:rPr>
      <w:sz w:val="20"/>
    </w:rPr>
  </w:style>
  <w:style w:type="character" w:customStyle="1" w:styleId="CommentTextChar">
    <w:name w:val="Comment Text Char"/>
    <w:basedOn w:val="DefaultParagraphFont"/>
    <w:link w:val="CommentText"/>
    <w:uiPriority w:val="99"/>
    <w:rsid w:val="00AC719D"/>
  </w:style>
  <w:style w:type="paragraph" w:styleId="CommentSubject">
    <w:name w:val="annotation subject"/>
    <w:basedOn w:val="CommentText"/>
    <w:next w:val="CommentText"/>
    <w:link w:val="CommentSubjectChar"/>
    <w:uiPriority w:val="99"/>
    <w:semiHidden/>
    <w:unhideWhenUsed/>
    <w:rsid w:val="00AC719D"/>
    <w:rPr>
      <w:b/>
      <w:bCs/>
    </w:rPr>
  </w:style>
  <w:style w:type="character" w:customStyle="1" w:styleId="CommentSubjectChar">
    <w:name w:val="Comment Subject Char"/>
    <w:basedOn w:val="CommentTextChar"/>
    <w:link w:val="CommentSubject"/>
    <w:uiPriority w:val="99"/>
    <w:semiHidden/>
    <w:rsid w:val="00AC719D"/>
    <w:rPr>
      <w:b/>
      <w:bCs/>
    </w:rPr>
  </w:style>
  <w:style w:type="character" w:customStyle="1" w:styleId="readonlyfield">
    <w:name w:val="readonlyfield"/>
    <w:basedOn w:val="DefaultParagraphFont"/>
    <w:rsid w:val="0094060A"/>
  </w:style>
  <w:style w:type="paragraph" w:customStyle="1" w:styleId="TitlePage">
    <w:name w:val="TitlePage"/>
    <w:rsid w:val="003F3A2E"/>
    <w:pPr>
      <w:suppressAutoHyphens/>
    </w:pPr>
    <w:rPr>
      <w:sz w:val="24"/>
    </w:rPr>
  </w:style>
  <w:style w:type="character" w:customStyle="1" w:styleId="BodyText12Char">
    <w:name w:val="Body Text 12 Char"/>
    <w:link w:val="BodyText12"/>
    <w:locked/>
    <w:rsid w:val="00950DBF"/>
    <w:rPr>
      <w:sz w:val="24"/>
    </w:rPr>
  </w:style>
  <w:style w:type="paragraph" w:customStyle="1" w:styleId="centered">
    <w:name w:val="centered"/>
    <w:basedOn w:val="Normal"/>
    <w:qFormat/>
    <w:rsid w:val="00D64511"/>
    <w:pPr>
      <w:jc w:val="center"/>
    </w:pPr>
    <w:rPr>
      <w:rFonts w:asciiTheme="minorHAnsi" w:eastAsiaTheme="minorEastAsia" w:hAnsiTheme="minorHAnsi" w:cstheme="minorBidi"/>
      <w:szCs w:val="24"/>
    </w:rPr>
  </w:style>
  <w:style w:type="paragraph" w:customStyle="1" w:styleId="graphictitle">
    <w:name w:val="graphic title"/>
    <w:basedOn w:val="Normal"/>
    <w:qFormat/>
    <w:rsid w:val="00D64511"/>
    <w:pPr>
      <w:jc w:val="center"/>
    </w:pPr>
    <w:rPr>
      <w:rFonts w:asciiTheme="minorHAnsi" w:eastAsiaTheme="minorEastAsia" w:hAnsiTheme="minorHAnsi" w:cstheme="minorBidi"/>
      <w:b/>
      <w:i/>
      <w:szCs w:val="24"/>
    </w:rPr>
  </w:style>
  <w:style w:type="paragraph" w:customStyle="1" w:styleId="EndNoteBibliography">
    <w:name w:val="EndNote Bibliography"/>
    <w:basedOn w:val="Normal"/>
    <w:link w:val="EndNoteBibliographyChar"/>
    <w:rsid w:val="0024020C"/>
    <w:pPr>
      <w:spacing w:after="160"/>
    </w:pPr>
    <w:rPr>
      <w:rFonts w:eastAsiaTheme="minorHAnsi"/>
      <w:noProof/>
      <w:sz w:val="22"/>
      <w:szCs w:val="22"/>
    </w:rPr>
  </w:style>
  <w:style w:type="character" w:customStyle="1" w:styleId="EndNoteBibliographyChar">
    <w:name w:val="EndNote Bibliography Char"/>
    <w:basedOn w:val="BodyText12Char"/>
    <w:link w:val="EndNoteBibliography"/>
    <w:rsid w:val="0024020C"/>
    <w:rPr>
      <w:rFonts w:eastAsiaTheme="minorHAnsi"/>
      <w:noProof/>
      <w:sz w:val="22"/>
      <w:szCs w:val="22"/>
    </w:rPr>
  </w:style>
  <w:style w:type="paragraph" w:styleId="BodyText">
    <w:name w:val="Body Text"/>
    <w:basedOn w:val="Normal"/>
    <w:link w:val="BodyTextChar"/>
    <w:uiPriority w:val="99"/>
    <w:unhideWhenUsed/>
    <w:rsid w:val="000F1C82"/>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0F1C82"/>
    <w:rPr>
      <w:rFonts w:asciiTheme="minorHAnsi" w:eastAsiaTheme="minorHAnsi" w:hAnsiTheme="minorHAnsi" w:cstheme="minorBidi"/>
      <w:sz w:val="22"/>
      <w:szCs w:val="22"/>
    </w:rPr>
  </w:style>
  <w:style w:type="character" w:customStyle="1" w:styleId="findhit">
    <w:name w:val="findhit"/>
    <w:basedOn w:val="DefaultParagraphFont"/>
    <w:rsid w:val="000F1C82"/>
  </w:style>
  <w:style w:type="character" w:customStyle="1" w:styleId="eop">
    <w:name w:val="eop"/>
    <w:basedOn w:val="DefaultParagraphFont"/>
    <w:rsid w:val="000F1C82"/>
  </w:style>
  <w:style w:type="paragraph" w:customStyle="1" w:styleId="paragraph">
    <w:name w:val="paragraph"/>
    <w:basedOn w:val="Normal"/>
    <w:rsid w:val="000F1C82"/>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737A24"/>
    <w:rPr>
      <w:color w:val="605E5C"/>
      <w:shd w:val="clear" w:color="auto" w:fill="E1DFDD"/>
    </w:rPr>
  </w:style>
  <w:style w:type="character" w:customStyle="1" w:styleId="FootnoteTextChar">
    <w:name w:val="Footnote Text Char"/>
    <w:basedOn w:val="DefaultParagraphFont"/>
    <w:link w:val="FootnoteText"/>
    <w:uiPriority w:val="99"/>
    <w:semiHidden/>
    <w:rsid w:val="00F00F48"/>
  </w:style>
  <w:style w:type="character" w:styleId="Emphasis">
    <w:name w:val="Emphasis"/>
    <w:basedOn w:val="DefaultParagraphFont"/>
    <w:uiPriority w:val="20"/>
    <w:qFormat/>
    <w:rsid w:val="00F04EC2"/>
    <w:rPr>
      <w:i/>
      <w:iCs/>
    </w:rPr>
  </w:style>
  <w:style w:type="paragraph" w:customStyle="1" w:styleId="citation">
    <w:name w:val="citation"/>
    <w:basedOn w:val="Normal"/>
    <w:rsid w:val="00057E10"/>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5039">
      <w:bodyDiv w:val="1"/>
      <w:marLeft w:val="0"/>
      <w:marRight w:val="0"/>
      <w:marTop w:val="0"/>
      <w:marBottom w:val="0"/>
      <w:divBdr>
        <w:top w:val="none" w:sz="0" w:space="0" w:color="auto"/>
        <w:left w:val="none" w:sz="0" w:space="0" w:color="auto"/>
        <w:bottom w:val="none" w:sz="0" w:space="0" w:color="auto"/>
        <w:right w:val="none" w:sz="0" w:space="0" w:color="auto"/>
      </w:divBdr>
    </w:div>
    <w:div w:id="42171115">
      <w:bodyDiv w:val="1"/>
      <w:marLeft w:val="0"/>
      <w:marRight w:val="0"/>
      <w:marTop w:val="0"/>
      <w:marBottom w:val="0"/>
      <w:divBdr>
        <w:top w:val="none" w:sz="0" w:space="0" w:color="auto"/>
        <w:left w:val="none" w:sz="0" w:space="0" w:color="auto"/>
        <w:bottom w:val="none" w:sz="0" w:space="0" w:color="auto"/>
        <w:right w:val="none" w:sz="0" w:space="0" w:color="auto"/>
      </w:divBdr>
    </w:div>
    <w:div w:id="54669821">
      <w:bodyDiv w:val="1"/>
      <w:marLeft w:val="0"/>
      <w:marRight w:val="0"/>
      <w:marTop w:val="0"/>
      <w:marBottom w:val="0"/>
      <w:divBdr>
        <w:top w:val="none" w:sz="0" w:space="0" w:color="auto"/>
        <w:left w:val="none" w:sz="0" w:space="0" w:color="auto"/>
        <w:bottom w:val="none" w:sz="0" w:space="0" w:color="auto"/>
        <w:right w:val="none" w:sz="0" w:space="0" w:color="auto"/>
      </w:divBdr>
      <w:divsChild>
        <w:div w:id="688682730">
          <w:marLeft w:val="0"/>
          <w:marRight w:val="0"/>
          <w:marTop w:val="180"/>
          <w:marBottom w:val="45"/>
          <w:divBdr>
            <w:top w:val="none" w:sz="0" w:space="0" w:color="auto"/>
            <w:left w:val="none" w:sz="0" w:space="0" w:color="auto"/>
            <w:bottom w:val="none" w:sz="0" w:space="0" w:color="auto"/>
            <w:right w:val="none" w:sz="0" w:space="0" w:color="auto"/>
          </w:divBdr>
        </w:div>
        <w:div w:id="1033118201">
          <w:marLeft w:val="0"/>
          <w:marRight w:val="0"/>
          <w:marTop w:val="0"/>
          <w:marBottom w:val="0"/>
          <w:divBdr>
            <w:top w:val="none" w:sz="0" w:space="0" w:color="auto"/>
            <w:left w:val="none" w:sz="0" w:space="0" w:color="auto"/>
            <w:bottom w:val="none" w:sz="0" w:space="0" w:color="auto"/>
            <w:right w:val="none" w:sz="0" w:space="0" w:color="auto"/>
          </w:divBdr>
        </w:div>
        <w:div w:id="1351952923">
          <w:marLeft w:val="0"/>
          <w:marRight w:val="0"/>
          <w:marTop w:val="0"/>
          <w:marBottom w:val="0"/>
          <w:divBdr>
            <w:top w:val="none" w:sz="0" w:space="0" w:color="auto"/>
            <w:left w:val="none" w:sz="0" w:space="0" w:color="auto"/>
            <w:bottom w:val="none" w:sz="0" w:space="0" w:color="auto"/>
            <w:right w:val="none" w:sz="0" w:space="0" w:color="auto"/>
          </w:divBdr>
        </w:div>
        <w:div w:id="1455438395">
          <w:marLeft w:val="0"/>
          <w:marRight w:val="0"/>
          <w:marTop w:val="0"/>
          <w:marBottom w:val="0"/>
          <w:divBdr>
            <w:top w:val="none" w:sz="0" w:space="0" w:color="auto"/>
            <w:left w:val="none" w:sz="0" w:space="0" w:color="auto"/>
            <w:bottom w:val="none" w:sz="0" w:space="0" w:color="auto"/>
            <w:right w:val="none" w:sz="0" w:space="0" w:color="auto"/>
          </w:divBdr>
        </w:div>
      </w:divsChild>
    </w:div>
    <w:div w:id="56318054">
      <w:bodyDiv w:val="1"/>
      <w:marLeft w:val="0"/>
      <w:marRight w:val="0"/>
      <w:marTop w:val="0"/>
      <w:marBottom w:val="0"/>
      <w:divBdr>
        <w:top w:val="none" w:sz="0" w:space="0" w:color="auto"/>
        <w:left w:val="none" w:sz="0" w:space="0" w:color="auto"/>
        <w:bottom w:val="none" w:sz="0" w:space="0" w:color="auto"/>
        <w:right w:val="none" w:sz="0" w:space="0" w:color="auto"/>
      </w:divBdr>
      <w:divsChild>
        <w:div w:id="1223518852">
          <w:marLeft w:val="0"/>
          <w:marRight w:val="0"/>
          <w:marTop w:val="0"/>
          <w:marBottom w:val="0"/>
          <w:divBdr>
            <w:top w:val="none" w:sz="0" w:space="0" w:color="auto"/>
            <w:left w:val="none" w:sz="0" w:space="0" w:color="auto"/>
            <w:bottom w:val="none" w:sz="0" w:space="0" w:color="auto"/>
            <w:right w:val="none" w:sz="0" w:space="0" w:color="auto"/>
          </w:divBdr>
        </w:div>
      </w:divsChild>
    </w:div>
    <w:div w:id="57245613">
      <w:bodyDiv w:val="1"/>
      <w:marLeft w:val="0"/>
      <w:marRight w:val="0"/>
      <w:marTop w:val="0"/>
      <w:marBottom w:val="0"/>
      <w:divBdr>
        <w:top w:val="none" w:sz="0" w:space="0" w:color="auto"/>
        <w:left w:val="none" w:sz="0" w:space="0" w:color="auto"/>
        <w:bottom w:val="none" w:sz="0" w:space="0" w:color="auto"/>
        <w:right w:val="none" w:sz="0" w:space="0" w:color="auto"/>
      </w:divBdr>
      <w:divsChild>
        <w:div w:id="1715226623">
          <w:marLeft w:val="0"/>
          <w:marRight w:val="0"/>
          <w:marTop w:val="0"/>
          <w:marBottom w:val="0"/>
          <w:divBdr>
            <w:top w:val="none" w:sz="0" w:space="0" w:color="auto"/>
            <w:left w:val="none" w:sz="0" w:space="0" w:color="auto"/>
            <w:bottom w:val="none" w:sz="0" w:space="0" w:color="auto"/>
            <w:right w:val="none" w:sz="0" w:space="0" w:color="auto"/>
          </w:divBdr>
        </w:div>
        <w:div w:id="2118864848">
          <w:marLeft w:val="0"/>
          <w:marRight w:val="0"/>
          <w:marTop w:val="0"/>
          <w:marBottom w:val="0"/>
          <w:divBdr>
            <w:top w:val="none" w:sz="0" w:space="0" w:color="auto"/>
            <w:left w:val="none" w:sz="0" w:space="0" w:color="auto"/>
            <w:bottom w:val="none" w:sz="0" w:space="0" w:color="auto"/>
            <w:right w:val="none" w:sz="0" w:space="0" w:color="auto"/>
          </w:divBdr>
          <w:divsChild>
            <w:div w:id="466630516">
              <w:marLeft w:val="0"/>
              <w:marRight w:val="0"/>
              <w:marTop w:val="0"/>
              <w:marBottom w:val="0"/>
              <w:divBdr>
                <w:top w:val="none" w:sz="0" w:space="0" w:color="auto"/>
                <w:left w:val="none" w:sz="0" w:space="0" w:color="auto"/>
                <w:bottom w:val="none" w:sz="0" w:space="0" w:color="auto"/>
                <w:right w:val="none" w:sz="0" w:space="0" w:color="auto"/>
              </w:divBdr>
            </w:div>
            <w:div w:id="1248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330">
      <w:bodyDiv w:val="1"/>
      <w:marLeft w:val="0"/>
      <w:marRight w:val="0"/>
      <w:marTop w:val="0"/>
      <w:marBottom w:val="0"/>
      <w:divBdr>
        <w:top w:val="none" w:sz="0" w:space="0" w:color="auto"/>
        <w:left w:val="none" w:sz="0" w:space="0" w:color="auto"/>
        <w:bottom w:val="none" w:sz="0" w:space="0" w:color="auto"/>
        <w:right w:val="none" w:sz="0" w:space="0" w:color="auto"/>
      </w:divBdr>
    </w:div>
    <w:div w:id="92432930">
      <w:bodyDiv w:val="1"/>
      <w:marLeft w:val="0"/>
      <w:marRight w:val="0"/>
      <w:marTop w:val="0"/>
      <w:marBottom w:val="0"/>
      <w:divBdr>
        <w:top w:val="none" w:sz="0" w:space="0" w:color="auto"/>
        <w:left w:val="none" w:sz="0" w:space="0" w:color="auto"/>
        <w:bottom w:val="none" w:sz="0" w:space="0" w:color="auto"/>
        <w:right w:val="none" w:sz="0" w:space="0" w:color="auto"/>
      </w:divBdr>
    </w:div>
    <w:div w:id="99379601">
      <w:bodyDiv w:val="1"/>
      <w:marLeft w:val="0"/>
      <w:marRight w:val="0"/>
      <w:marTop w:val="0"/>
      <w:marBottom w:val="0"/>
      <w:divBdr>
        <w:top w:val="none" w:sz="0" w:space="0" w:color="auto"/>
        <w:left w:val="none" w:sz="0" w:space="0" w:color="auto"/>
        <w:bottom w:val="none" w:sz="0" w:space="0" w:color="auto"/>
        <w:right w:val="none" w:sz="0" w:space="0" w:color="auto"/>
      </w:divBdr>
      <w:divsChild>
        <w:div w:id="1288125134">
          <w:marLeft w:val="0"/>
          <w:marRight w:val="0"/>
          <w:marTop w:val="180"/>
          <w:marBottom w:val="45"/>
          <w:divBdr>
            <w:top w:val="none" w:sz="0" w:space="0" w:color="auto"/>
            <w:left w:val="none" w:sz="0" w:space="0" w:color="auto"/>
            <w:bottom w:val="none" w:sz="0" w:space="0" w:color="auto"/>
            <w:right w:val="none" w:sz="0" w:space="0" w:color="auto"/>
          </w:divBdr>
        </w:div>
      </w:divsChild>
    </w:div>
    <w:div w:id="115106864">
      <w:bodyDiv w:val="1"/>
      <w:marLeft w:val="0"/>
      <w:marRight w:val="0"/>
      <w:marTop w:val="0"/>
      <w:marBottom w:val="0"/>
      <w:divBdr>
        <w:top w:val="none" w:sz="0" w:space="0" w:color="auto"/>
        <w:left w:val="none" w:sz="0" w:space="0" w:color="auto"/>
        <w:bottom w:val="none" w:sz="0" w:space="0" w:color="auto"/>
        <w:right w:val="none" w:sz="0" w:space="0" w:color="auto"/>
      </w:divBdr>
    </w:div>
    <w:div w:id="116068679">
      <w:bodyDiv w:val="1"/>
      <w:marLeft w:val="0"/>
      <w:marRight w:val="0"/>
      <w:marTop w:val="0"/>
      <w:marBottom w:val="0"/>
      <w:divBdr>
        <w:top w:val="none" w:sz="0" w:space="0" w:color="auto"/>
        <w:left w:val="none" w:sz="0" w:space="0" w:color="auto"/>
        <w:bottom w:val="none" w:sz="0" w:space="0" w:color="auto"/>
        <w:right w:val="none" w:sz="0" w:space="0" w:color="auto"/>
      </w:divBdr>
      <w:divsChild>
        <w:div w:id="468324419">
          <w:marLeft w:val="0"/>
          <w:marRight w:val="0"/>
          <w:marTop w:val="0"/>
          <w:marBottom w:val="0"/>
          <w:divBdr>
            <w:top w:val="none" w:sz="0" w:space="0" w:color="auto"/>
            <w:left w:val="none" w:sz="0" w:space="0" w:color="auto"/>
            <w:bottom w:val="none" w:sz="0" w:space="0" w:color="auto"/>
            <w:right w:val="none" w:sz="0" w:space="0" w:color="auto"/>
          </w:divBdr>
        </w:div>
        <w:div w:id="1548026960">
          <w:marLeft w:val="0"/>
          <w:marRight w:val="0"/>
          <w:marTop w:val="0"/>
          <w:marBottom w:val="0"/>
          <w:divBdr>
            <w:top w:val="none" w:sz="0" w:space="0" w:color="auto"/>
            <w:left w:val="none" w:sz="0" w:space="0" w:color="auto"/>
            <w:bottom w:val="none" w:sz="0" w:space="0" w:color="auto"/>
            <w:right w:val="none" w:sz="0" w:space="0" w:color="auto"/>
          </w:divBdr>
          <w:divsChild>
            <w:div w:id="1927223533">
              <w:marLeft w:val="0"/>
              <w:marRight w:val="0"/>
              <w:marTop w:val="0"/>
              <w:marBottom w:val="0"/>
              <w:divBdr>
                <w:top w:val="none" w:sz="0" w:space="0" w:color="auto"/>
                <w:left w:val="none" w:sz="0" w:space="0" w:color="auto"/>
                <w:bottom w:val="none" w:sz="0" w:space="0" w:color="auto"/>
                <w:right w:val="none" w:sz="0" w:space="0" w:color="auto"/>
              </w:divBdr>
              <w:divsChild>
                <w:div w:id="315962234">
                  <w:marLeft w:val="0"/>
                  <w:marRight w:val="0"/>
                  <w:marTop w:val="75"/>
                  <w:marBottom w:val="75"/>
                  <w:divBdr>
                    <w:top w:val="none" w:sz="0" w:space="0" w:color="auto"/>
                    <w:left w:val="none" w:sz="0" w:space="0" w:color="auto"/>
                    <w:bottom w:val="none" w:sz="0" w:space="0" w:color="auto"/>
                    <w:right w:val="none" w:sz="0" w:space="0" w:color="auto"/>
                  </w:divBdr>
                  <w:divsChild>
                    <w:div w:id="1473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69894">
      <w:bodyDiv w:val="1"/>
      <w:marLeft w:val="0"/>
      <w:marRight w:val="0"/>
      <w:marTop w:val="0"/>
      <w:marBottom w:val="0"/>
      <w:divBdr>
        <w:top w:val="none" w:sz="0" w:space="0" w:color="auto"/>
        <w:left w:val="none" w:sz="0" w:space="0" w:color="auto"/>
        <w:bottom w:val="none" w:sz="0" w:space="0" w:color="auto"/>
        <w:right w:val="none" w:sz="0" w:space="0" w:color="auto"/>
      </w:divBdr>
    </w:div>
    <w:div w:id="134372360">
      <w:bodyDiv w:val="1"/>
      <w:marLeft w:val="0"/>
      <w:marRight w:val="0"/>
      <w:marTop w:val="0"/>
      <w:marBottom w:val="0"/>
      <w:divBdr>
        <w:top w:val="none" w:sz="0" w:space="0" w:color="auto"/>
        <w:left w:val="none" w:sz="0" w:space="0" w:color="auto"/>
        <w:bottom w:val="none" w:sz="0" w:space="0" w:color="auto"/>
        <w:right w:val="none" w:sz="0" w:space="0" w:color="auto"/>
      </w:divBdr>
      <w:divsChild>
        <w:div w:id="1905751153">
          <w:marLeft w:val="0"/>
          <w:marRight w:val="0"/>
          <w:marTop w:val="0"/>
          <w:marBottom w:val="0"/>
          <w:divBdr>
            <w:top w:val="none" w:sz="0" w:space="0" w:color="auto"/>
            <w:left w:val="none" w:sz="0" w:space="0" w:color="auto"/>
            <w:bottom w:val="none" w:sz="0" w:space="0" w:color="auto"/>
            <w:right w:val="none" w:sz="0" w:space="0" w:color="auto"/>
          </w:divBdr>
        </w:div>
      </w:divsChild>
    </w:div>
    <w:div w:id="161163264">
      <w:bodyDiv w:val="1"/>
      <w:marLeft w:val="0"/>
      <w:marRight w:val="0"/>
      <w:marTop w:val="0"/>
      <w:marBottom w:val="0"/>
      <w:divBdr>
        <w:top w:val="none" w:sz="0" w:space="0" w:color="auto"/>
        <w:left w:val="none" w:sz="0" w:space="0" w:color="auto"/>
        <w:bottom w:val="none" w:sz="0" w:space="0" w:color="auto"/>
        <w:right w:val="none" w:sz="0" w:space="0" w:color="auto"/>
      </w:divBdr>
    </w:div>
    <w:div w:id="214437067">
      <w:bodyDiv w:val="1"/>
      <w:marLeft w:val="0"/>
      <w:marRight w:val="0"/>
      <w:marTop w:val="0"/>
      <w:marBottom w:val="0"/>
      <w:divBdr>
        <w:top w:val="none" w:sz="0" w:space="0" w:color="auto"/>
        <w:left w:val="none" w:sz="0" w:space="0" w:color="auto"/>
        <w:bottom w:val="none" w:sz="0" w:space="0" w:color="auto"/>
        <w:right w:val="none" w:sz="0" w:space="0" w:color="auto"/>
      </w:divBdr>
    </w:div>
    <w:div w:id="232274488">
      <w:bodyDiv w:val="1"/>
      <w:marLeft w:val="0"/>
      <w:marRight w:val="0"/>
      <w:marTop w:val="0"/>
      <w:marBottom w:val="0"/>
      <w:divBdr>
        <w:top w:val="none" w:sz="0" w:space="0" w:color="auto"/>
        <w:left w:val="none" w:sz="0" w:space="0" w:color="auto"/>
        <w:bottom w:val="none" w:sz="0" w:space="0" w:color="auto"/>
        <w:right w:val="none" w:sz="0" w:space="0" w:color="auto"/>
      </w:divBdr>
    </w:div>
    <w:div w:id="255137439">
      <w:bodyDiv w:val="1"/>
      <w:marLeft w:val="0"/>
      <w:marRight w:val="0"/>
      <w:marTop w:val="0"/>
      <w:marBottom w:val="0"/>
      <w:divBdr>
        <w:top w:val="none" w:sz="0" w:space="0" w:color="auto"/>
        <w:left w:val="none" w:sz="0" w:space="0" w:color="auto"/>
        <w:bottom w:val="none" w:sz="0" w:space="0" w:color="auto"/>
        <w:right w:val="none" w:sz="0" w:space="0" w:color="auto"/>
      </w:divBdr>
    </w:div>
    <w:div w:id="257176781">
      <w:bodyDiv w:val="1"/>
      <w:marLeft w:val="0"/>
      <w:marRight w:val="0"/>
      <w:marTop w:val="0"/>
      <w:marBottom w:val="0"/>
      <w:divBdr>
        <w:top w:val="none" w:sz="0" w:space="0" w:color="auto"/>
        <w:left w:val="none" w:sz="0" w:space="0" w:color="auto"/>
        <w:bottom w:val="none" w:sz="0" w:space="0" w:color="auto"/>
        <w:right w:val="none" w:sz="0" w:space="0" w:color="auto"/>
      </w:divBdr>
    </w:div>
    <w:div w:id="309752736">
      <w:bodyDiv w:val="1"/>
      <w:marLeft w:val="0"/>
      <w:marRight w:val="0"/>
      <w:marTop w:val="0"/>
      <w:marBottom w:val="0"/>
      <w:divBdr>
        <w:top w:val="none" w:sz="0" w:space="0" w:color="auto"/>
        <w:left w:val="none" w:sz="0" w:space="0" w:color="auto"/>
        <w:bottom w:val="none" w:sz="0" w:space="0" w:color="auto"/>
        <w:right w:val="none" w:sz="0" w:space="0" w:color="auto"/>
      </w:divBdr>
    </w:div>
    <w:div w:id="372386451">
      <w:bodyDiv w:val="1"/>
      <w:marLeft w:val="0"/>
      <w:marRight w:val="0"/>
      <w:marTop w:val="0"/>
      <w:marBottom w:val="0"/>
      <w:divBdr>
        <w:top w:val="none" w:sz="0" w:space="0" w:color="auto"/>
        <w:left w:val="none" w:sz="0" w:space="0" w:color="auto"/>
        <w:bottom w:val="none" w:sz="0" w:space="0" w:color="auto"/>
        <w:right w:val="none" w:sz="0" w:space="0" w:color="auto"/>
      </w:divBdr>
      <w:divsChild>
        <w:div w:id="373194038">
          <w:marLeft w:val="0"/>
          <w:marRight w:val="0"/>
          <w:marTop w:val="0"/>
          <w:marBottom w:val="0"/>
          <w:divBdr>
            <w:top w:val="none" w:sz="0" w:space="0" w:color="auto"/>
            <w:left w:val="none" w:sz="0" w:space="0" w:color="auto"/>
            <w:bottom w:val="none" w:sz="0" w:space="0" w:color="auto"/>
            <w:right w:val="none" w:sz="0" w:space="0" w:color="auto"/>
          </w:divBdr>
        </w:div>
        <w:div w:id="847989856">
          <w:marLeft w:val="0"/>
          <w:marRight w:val="0"/>
          <w:marTop w:val="0"/>
          <w:marBottom w:val="0"/>
          <w:divBdr>
            <w:top w:val="none" w:sz="0" w:space="0" w:color="auto"/>
            <w:left w:val="none" w:sz="0" w:space="0" w:color="auto"/>
            <w:bottom w:val="none" w:sz="0" w:space="0" w:color="auto"/>
            <w:right w:val="none" w:sz="0" w:space="0" w:color="auto"/>
          </w:divBdr>
          <w:divsChild>
            <w:div w:id="1208565379">
              <w:marLeft w:val="0"/>
              <w:marRight w:val="0"/>
              <w:marTop w:val="0"/>
              <w:marBottom w:val="0"/>
              <w:divBdr>
                <w:top w:val="none" w:sz="0" w:space="0" w:color="auto"/>
                <w:left w:val="none" w:sz="0" w:space="0" w:color="auto"/>
                <w:bottom w:val="none" w:sz="0" w:space="0" w:color="auto"/>
                <w:right w:val="none" w:sz="0" w:space="0" w:color="auto"/>
              </w:divBdr>
              <w:divsChild>
                <w:div w:id="1792164400">
                  <w:marLeft w:val="0"/>
                  <w:marRight w:val="0"/>
                  <w:marTop w:val="75"/>
                  <w:marBottom w:val="75"/>
                  <w:divBdr>
                    <w:top w:val="none" w:sz="0" w:space="0" w:color="auto"/>
                    <w:left w:val="none" w:sz="0" w:space="0" w:color="auto"/>
                    <w:bottom w:val="none" w:sz="0" w:space="0" w:color="auto"/>
                    <w:right w:val="none" w:sz="0" w:space="0" w:color="auto"/>
                  </w:divBdr>
                  <w:divsChild>
                    <w:div w:id="844243574">
                      <w:marLeft w:val="0"/>
                      <w:marRight w:val="0"/>
                      <w:marTop w:val="0"/>
                      <w:marBottom w:val="0"/>
                      <w:divBdr>
                        <w:top w:val="none" w:sz="0" w:space="0" w:color="auto"/>
                        <w:left w:val="none" w:sz="0" w:space="0" w:color="auto"/>
                        <w:bottom w:val="none" w:sz="0" w:space="0" w:color="auto"/>
                        <w:right w:val="none" w:sz="0" w:space="0" w:color="auto"/>
                      </w:divBdr>
                    </w:div>
                    <w:div w:id="13962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7225">
          <w:marLeft w:val="0"/>
          <w:marRight w:val="0"/>
          <w:marTop w:val="0"/>
          <w:marBottom w:val="0"/>
          <w:divBdr>
            <w:top w:val="none" w:sz="0" w:space="0" w:color="auto"/>
            <w:left w:val="none" w:sz="0" w:space="0" w:color="auto"/>
            <w:bottom w:val="none" w:sz="0" w:space="0" w:color="auto"/>
            <w:right w:val="none" w:sz="0" w:space="0" w:color="auto"/>
          </w:divBdr>
          <w:divsChild>
            <w:div w:id="926570991">
              <w:marLeft w:val="0"/>
              <w:marRight w:val="0"/>
              <w:marTop w:val="0"/>
              <w:marBottom w:val="0"/>
              <w:divBdr>
                <w:top w:val="none" w:sz="0" w:space="0" w:color="auto"/>
                <w:left w:val="none" w:sz="0" w:space="0" w:color="auto"/>
                <w:bottom w:val="none" w:sz="0" w:space="0" w:color="auto"/>
                <w:right w:val="none" w:sz="0" w:space="0" w:color="auto"/>
              </w:divBdr>
            </w:div>
            <w:div w:id="953828333">
              <w:marLeft w:val="0"/>
              <w:marRight w:val="0"/>
              <w:marTop w:val="0"/>
              <w:marBottom w:val="0"/>
              <w:divBdr>
                <w:top w:val="none" w:sz="0" w:space="0" w:color="auto"/>
                <w:left w:val="none" w:sz="0" w:space="0" w:color="auto"/>
                <w:bottom w:val="none" w:sz="0" w:space="0" w:color="auto"/>
                <w:right w:val="none" w:sz="0" w:space="0" w:color="auto"/>
              </w:divBdr>
            </w:div>
            <w:div w:id="1187140143">
              <w:marLeft w:val="0"/>
              <w:marRight w:val="0"/>
              <w:marTop w:val="180"/>
              <w:marBottom w:val="45"/>
              <w:divBdr>
                <w:top w:val="none" w:sz="0" w:space="0" w:color="auto"/>
                <w:left w:val="none" w:sz="0" w:space="0" w:color="auto"/>
                <w:bottom w:val="none" w:sz="0" w:space="0" w:color="auto"/>
                <w:right w:val="none" w:sz="0" w:space="0" w:color="auto"/>
              </w:divBdr>
            </w:div>
            <w:div w:id="1455365447">
              <w:marLeft w:val="0"/>
              <w:marRight w:val="0"/>
              <w:marTop w:val="0"/>
              <w:marBottom w:val="0"/>
              <w:divBdr>
                <w:top w:val="none" w:sz="0" w:space="0" w:color="auto"/>
                <w:left w:val="none" w:sz="0" w:space="0" w:color="auto"/>
                <w:bottom w:val="none" w:sz="0" w:space="0" w:color="auto"/>
                <w:right w:val="none" w:sz="0" w:space="0" w:color="auto"/>
              </w:divBdr>
              <w:divsChild>
                <w:div w:id="2139252292">
                  <w:marLeft w:val="0"/>
                  <w:marRight w:val="0"/>
                  <w:marTop w:val="0"/>
                  <w:marBottom w:val="0"/>
                  <w:divBdr>
                    <w:top w:val="none" w:sz="0" w:space="0" w:color="auto"/>
                    <w:left w:val="none" w:sz="0" w:space="0" w:color="auto"/>
                    <w:bottom w:val="none" w:sz="0" w:space="0" w:color="auto"/>
                    <w:right w:val="none" w:sz="0" w:space="0" w:color="auto"/>
                  </w:divBdr>
                  <w:divsChild>
                    <w:div w:id="329791085">
                      <w:marLeft w:val="0"/>
                      <w:marRight w:val="0"/>
                      <w:marTop w:val="0"/>
                      <w:marBottom w:val="0"/>
                      <w:divBdr>
                        <w:top w:val="none" w:sz="0" w:space="0" w:color="auto"/>
                        <w:left w:val="none" w:sz="0" w:space="0" w:color="auto"/>
                        <w:bottom w:val="none" w:sz="0" w:space="0" w:color="auto"/>
                        <w:right w:val="none" w:sz="0" w:space="0" w:color="auto"/>
                      </w:divBdr>
                    </w:div>
                    <w:div w:id="376123883">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484393618">
              <w:marLeft w:val="0"/>
              <w:marRight w:val="0"/>
              <w:marTop w:val="0"/>
              <w:marBottom w:val="0"/>
              <w:divBdr>
                <w:top w:val="none" w:sz="0" w:space="0" w:color="auto"/>
                <w:left w:val="none" w:sz="0" w:space="0" w:color="auto"/>
                <w:bottom w:val="none" w:sz="0" w:space="0" w:color="auto"/>
                <w:right w:val="none" w:sz="0" w:space="0" w:color="auto"/>
              </w:divBdr>
            </w:div>
            <w:div w:id="1707679221">
              <w:marLeft w:val="0"/>
              <w:marRight w:val="0"/>
              <w:marTop w:val="180"/>
              <w:marBottom w:val="45"/>
              <w:divBdr>
                <w:top w:val="none" w:sz="0" w:space="0" w:color="auto"/>
                <w:left w:val="none" w:sz="0" w:space="0" w:color="auto"/>
                <w:bottom w:val="none" w:sz="0" w:space="0" w:color="auto"/>
                <w:right w:val="none" w:sz="0" w:space="0" w:color="auto"/>
              </w:divBdr>
            </w:div>
            <w:div w:id="1790473468">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401030799">
      <w:bodyDiv w:val="1"/>
      <w:marLeft w:val="0"/>
      <w:marRight w:val="0"/>
      <w:marTop w:val="0"/>
      <w:marBottom w:val="0"/>
      <w:divBdr>
        <w:top w:val="none" w:sz="0" w:space="0" w:color="auto"/>
        <w:left w:val="none" w:sz="0" w:space="0" w:color="auto"/>
        <w:bottom w:val="none" w:sz="0" w:space="0" w:color="auto"/>
        <w:right w:val="none" w:sz="0" w:space="0" w:color="auto"/>
      </w:divBdr>
    </w:div>
    <w:div w:id="447354615">
      <w:bodyDiv w:val="1"/>
      <w:marLeft w:val="0"/>
      <w:marRight w:val="0"/>
      <w:marTop w:val="0"/>
      <w:marBottom w:val="0"/>
      <w:divBdr>
        <w:top w:val="none" w:sz="0" w:space="0" w:color="auto"/>
        <w:left w:val="none" w:sz="0" w:space="0" w:color="auto"/>
        <w:bottom w:val="none" w:sz="0" w:space="0" w:color="auto"/>
        <w:right w:val="none" w:sz="0" w:space="0" w:color="auto"/>
      </w:divBdr>
      <w:divsChild>
        <w:div w:id="778110233">
          <w:marLeft w:val="0"/>
          <w:marRight w:val="0"/>
          <w:marTop w:val="0"/>
          <w:marBottom w:val="0"/>
          <w:divBdr>
            <w:top w:val="none" w:sz="0" w:space="0" w:color="auto"/>
            <w:left w:val="none" w:sz="0" w:space="0" w:color="auto"/>
            <w:bottom w:val="none" w:sz="0" w:space="0" w:color="auto"/>
            <w:right w:val="none" w:sz="0" w:space="0" w:color="auto"/>
          </w:divBdr>
          <w:divsChild>
            <w:div w:id="681709981">
              <w:marLeft w:val="0"/>
              <w:marRight w:val="0"/>
              <w:marTop w:val="0"/>
              <w:marBottom w:val="0"/>
              <w:divBdr>
                <w:top w:val="none" w:sz="0" w:space="0" w:color="auto"/>
                <w:left w:val="none" w:sz="0" w:space="0" w:color="auto"/>
                <w:bottom w:val="none" w:sz="0" w:space="0" w:color="auto"/>
                <w:right w:val="none" w:sz="0" w:space="0" w:color="auto"/>
              </w:divBdr>
              <w:divsChild>
                <w:div w:id="283855298">
                  <w:marLeft w:val="0"/>
                  <w:marRight w:val="0"/>
                  <w:marTop w:val="75"/>
                  <w:marBottom w:val="75"/>
                  <w:divBdr>
                    <w:top w:val="none" w:sz="0" w:space="0" w:color="auto"/>
                    <w:left w:val="none" w:sz="0" w:space="0" w:color="auto"/>
                    <w:bottom w:val="none" w:sz="0" w:space="0" w:color="auto"/>
                    <w:right w:val="none" w:sz="0" w:space="0" w:color="auto"/>
                  </w:divBdr>
                  <w:divsChild>
                    <w:div w:id="271934314">
                      <w:marLeft w:val="0"/>
                      <w:marRight w:val="0"/>
                      <w:marTop w:val="0"/>
                      <w:marBottom w:val="0"/>
                      <w:divBdr>
                        <w:top w:val="none" w:sz="0" w:space="0" w:color="auto"/>
                        <w:left w:val="none" w:sz="0" w:space="0" w:color="auto"/>
                        <w:bottom w:val="none" w:sz="0" w:space="0" w:color="auto"/>
                        <w:right w:val="none" w:sz="0" w:space="0" w:color="auto"/>
                      </w:divBdr>
                    </w:div>
                    <w:div w:id="11935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4729">
          <w:marLeft w:val="0"/>
          <w:marRight w:val="0"/>
          <w:marTop w:val="0"/>
          <w:marBottom w:val="0"/>
          <w:divBdr>
            <w:top w:val="none" w:sz="0" w:space="0" w:color="auto"/>
            <w:left w:val="none" w:sz="0" w:space="0" w:color="auto"/>
            <w:bottom w:val="none" w:sz="0" w:space="0" w:color="auto"/>
            <w:right w:val="none" w:sz="0" w:space="0" w:color="auto"/>
          </w:divBdr>
        </w:div>
        <w:div w:id="1603222390">
          <w:marLeft w:val="0"/>
          <w:marRight w:val="0"/>
          <w:marTop w:val="0"/>
          <w:marBottom w:val="0"/>
          <w:divBdr>
            <w:top w:val="none" w:sz="0" w:space="0" w:color="auto"/>
            <w:left w:val="none" w:sz="0" w:space="0" w:color="auto"/>
            <w:bottom w:val="none" w:sz="0" w:space="0" w:color="auto"/>
            <w:right w:val="none" w:sz="0" w:space="0" w:color="auto"/>
          </w:divBdr>
          <w:divsChild>
            <w:div w:id="68384464">
              <w:marLeft w:val="0"/>
              <w:marRight w:val="0"/>
              <w:marTop w:val="0"/>
              <w:marBottom w:val="0"/>
              <w:divBdr>
                <w:top w:val="none" w:sz="0" w:space="0" w:color="auto"/>
                <w:left w:val="none" w:sz="0" w:space="0" w:color="auto"/>
                <w:bottom w:val="none" w:sz="0" w:space="0" w:color="auto"/>
                <w:right w:val="none" w:sz="0" w:space="0" w:color="auto"/>
              </w:divBdr>
            </w:div>
            <w:div w:id="271085310">
              <w:marLeft w:val="0"/>
              <w:marRight w:val="0"/>
              <w:marTop w:val="0"/>
              <w:marBottom w:val="0"/>
              <w:divBdr>
                <w:top w:val="none" w:sz="0" w:space="0" w:color="auto"/>
                <w:left w:val="none" w:sz="0" w:space="0" w:color="auto"/>
                <w:bottom w:val="none" w:sz="0" w:space="0" w:color="auto"/>
                <w:right w:val="none" w:sz="0" w:space="0" w:color="auto"/>
              </w:divBdr>
            </w:div>
            <w:div w:id="638996393">
              <w:marLeft w:val="0"/>
              <w:marRight w:val="0"/>
              <w:marTop w:val="180"/>
              <w:marBottom w:val="45"/>
              <w:divBdr>
                <w:top w:val="none" w:sz="0" w:space="0" w:color="auto"/>
                <w:left w:val="none" w:sz="0" w:space="0" w:color="auto"/>
                <w:bottom w:val="none" w:sz="0" w:space="0" w:color="auto"/>
                <w:right w:val="none" w:sz="0" w:space="0" w:color="auto"/>
              </w:divBdr>
            </w:div>
            <w:div w:id="1070154496">
              <w:marLeft w:val="0"/>
              <w:marRight w:val="0"/>
              <w:marTop w:val="0"/>
              <w:marBottom w:val="0"/>
              <w:divBdr>
                <w:top w:val="none" w:sz="0" w:space="0" w:color="auto"/>
                <w:left w:val="none" w:sz="0" w:space="0" w:color="auto"/>
                <w:bottom w:val="none" w:sz="0" w:space="0" w:color="auto"/>
                <w:right w:val="none" w:sz="0" w:space="0" w:color="auto"/>
              </w:divBdr>
            </w:div>
            <w:div w:id="1146361218">
              <w:marLeft w:val="0"/>
              <w:marRight w:val="0"/>
              <w:marTop w:val="180"/>
              <w:marBottom w:val="45"/>
              <w:divBdr>
                <w:top w:val="none" w:sz="0" w:space="0" w:color="auto"/>
                <w:left w:val="none" w:sz="0" w:space="0" w:color="auto"/>
                <w:bottom w:val="none" w:sz="0" w:space="0" w:color="auto"/>
                <w:right w:val="none" w:sz="0" w:space="0" w:color="auto"/>
              </w:divBdr>
            </w:div>
            <w:div w:id="1221089772">
              <w:marLeft w:val="0"/>
              <w:marRight w:val="0"/>
              <w:marTop w:val="0"/>
              <w:marBottom w:val="0"/>
              <w:divBdr>
                <w:top w:val="none" w:sz="0" w:space="0" w:color="auto"/>
                <w:left w:val="none" w:sz="0" w:space="0" w:color="auto"/>
                <w:bottom w:val="none" w:sz="0" w:space="0" w:color="auto"/>
                <w:right w:val="none" w:sz="0" w:space="0" w:color="auto"/>
              </w:divBdr>
              <w:divsChild>
                <w:div w:id="993145698">
                  <w:marLeft w:val="0"/>
                  <w:marRight w:val="0"/>
                  <w:marTop w:val="0"/>
                  <w:marBottom w:val="0"/>
                  <w:divBdr>
                    <w:top w:val="none" w:sz="0" w:space="0" w:color="auto"/>
                    <w:left w:val="none" w:sz="0" w:space="0" w:color="auto"/>
                    <w:bottom w:val="none" w:sz="0" w:space="0" w:color="auto"/>
                    <w:right w:val="none" w:sz="0" w:space="0" w:color="auto"/>
                  </w:divBdr>
                  <w:divsChild>
                    <w:div w:id="89280142">
                      <w:marLeft w:val="0"/>
                      <w:marRight w:val="0"/>
                      <w:marTop w:val="0"/>
                      <w:marBottom w:val="0"/>
                      <w:divBdr>
                        <w:top w:val="none" w:sz="0" w:space="0" w:color="auto"/>
                        <w:left w:val="none" w:sz="0" w:space="0" w:color="auto"/>
                        <w:bottom w:val="none" w:sz="0" w:space="0" w:color="auto"/>
                        <w:right w:val="none" w:sz="0" w:space="0" w:color="auto"/>
                      </w:divBdr>
                    </w:div>
                    <w:div w:id="589509239">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268081638">
              <w:marLeft w:val="0"/>
              <w:marRight w:val="0"/>
              <w:marTop w:val="0"/>
              <w:marBottom w:val="0"/>
              <w:divBdr>
                <w:top w:val="none" w:sz="0" w:space="0" w:color="auto"/>
                <w:left w:val="none" w:sz="0" w:space="0" w:color="auto"/>
                <w:bottom w:val="none" w:sz="0" w:space="0" w:color="auto"/>
                <w:right w:val="none" w:sz="0" w:space="0" w:color="auto"/>
              </w:divBdr>
            </w:div>
            <w:div w:id="1539121067">
              <w:marLeft w:val="0"/>
              <w:marRight w:val="0"/>
              <w:marTop w:val="180"/>
              <w:marBottom w:val="45"/>
              <w:divBdr>
                <w:top w:val="none" w:sz="0" w:space="0" w:color="auto"/>
                <w:left w:val="none" w:sz="0" w:space="0" w:color="auto"/>
                <w:bottom w:val="none" w:sz="0" w:space="0" w:color="auto"/>
                <w:right w:val="none" w:sz="0" w:space="0" w:color="auto"/>
              </w:divBdr>
            </w:div>
            <w:div w:id="205877167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456414759">
      <w:bodyDiv w:val="1"/>
      <w:marLeft w:val="0"/>
      <w:marRight w:val="0"/>
      <w:marTop w:val="0"/>
      <w:marBottom w:val="0"/>
      <w:divBdr>
        <w:top w:val="none" w:sz="0" w:space="0" w:color="auto"/>
        <w:left w:val="none" w:sz="0" w:space="0" w:color="auto"/>
        <w:bottom w:val="none" w:sz="0" w:space="0" w:color="auto"/>
        <w:right w:val="none" w:sz="0" w:space="0" w:color="auto"/>
      </w:divBdr>
      <w:divsChild>
        <w:div w:id="1001003550">
          <w:marLeft w:val="0"/>
          <w:marRight w:val="0"/>
          <w:marTop w:val="0"/>
          <w:marBottom w:val="0"/>
          <w:divBdr>
            <w:top w:val="none" w:sz="0" w:space="0" w:color="auto"/>
            <w:left w:val="none" w:sz="0" w:space="0" w:color="auto"/>
            <w:bottom w:val="none" w:sz="0" w:space="0" w:color="auto"/>
            <w:right w:val="none" w:sz="0" w:space="0" w:color="auto"/>
          </w:divBdr>
        </w:div>
      </w:divsChild>
    </w:div>
    <w:div w:id="466514890">
      <w:bodyDiv w:val="1"/>
      <w:marLeft w:val="0"/>
      <w:marRight w:val="0"/>
      <w:marTop w:val="0"/>
      <w:marBottom w:val="0"/>
      <w:divBdr>
        <w:top w:val="none" w:sz="0" w:space="0" w:color="auto"/>
        <w:left w:val="none" w:sz="0" w:space="0" w:color="auto"/>
        <w:bottom w:val="none" w:sz="0" w:space="0" w:color="auto"/>
        <w:right w:val="none" w:sz="0" w:space="0" w:color="auto"/>
      </w:divBdr>
    </w:div>
    <w:div w:id="469445149">
      <w:bodyDiv w:val="1"/>
      <w:marLeft w:val="0"/>
      <w:marRight w:val="0"/>
      <w:marTop w:val="0"/>
      <w:marBottom w:val="0"/>
      <w:divBdr>
        <w:top w:val="none" w:sz="0" w:space="0" w:color="auto"/>
        <w:left w:val="none" w:sz="0" w:space="0" w:color="auto"/>
        <w:bottom w:val="none" w:sz="0" w:space="0" w:color="auto"/>
        <w:right w:val="none" w:sz="0" w:space="0" w:color="auto"/>
      </w:divBdr>
      <w:divsChild>
        <w:div w:id="1104226216">
          <w:marLeft w:val="0"/>
          <w:marRight w:val="0"/>
          <w:marTop w:val="0"/>
          <w:marBottom w:val="0"/>
          <w:divBdr>
            <w:top w:val="none" w:sz="0" w:space="0" w:color="auto"/>
            <w:left w:val="none" w:sz="0" w:space="0" w:color="auto"/>
            <w:bottom w:val="none" w:sz="0" w:space="0" w:color="auto"/>
            <w:right w:val="none" w:sz="0" w:space="0" w:color="auto"/>
          </w:divBdr>
        </w:div>
      </w:divsChild>
    </w:div>
    <w:div w:id="488134564">
      <w:bodyDiv w:val="1"/>
      <w:marLeft w:val="0"/>
      <w:marRight w:val="0"/>
      <w:marTop w:val="0"/>
      <w:marBottom w:val="0"/>
      <w:divBdr>
        <w:top w:val="none" w:sz="0" w:space="0" w:color="auto"/>
        <w:left w:val="none" w:sz="0" w:space="0" w:color="auto"/>
        <w:bottom w:val="none" w:sz="0" w:space="0" w:color="auto"/>
        <w:right w:val="none" w:sz="0" w:space="0" w:color="auto"/>
      </w:divBdr>
    </w:div>
    <w:div w:id="493185148">
      <w:bodyDiv w:val="1"/>
      <w:marLeft w:val="0"/>
      <w:marRight w:val="0"/>
      <w:marTop w:val="0"/>
      <w:marBottom w:val="0"/>
      <w:divBdr>
        <w:top w:val="none" w:sz="0" w:space="0" w:color="auto"/>
        <w:left w:val="none" w:sz="0" w:space="0" w:color="auto"/>
        <w:bottom w:val="none" w:sz="0" w:space="0" w:color="auto"/>
        <w:right w:val="none" w:sz="0" w:space="0" w:color="auto"/>
      </w:divBdr>
    </w:div>
    <w:div w:id="496501212">
      <w:bodyDiv w:val="1"/>
      <w:marLeft w:val="0"/>
      <w:marRight w:val="0"/>
      <w:marTop w:val="0"/>
      <w:marBottom w:val="0"/>
      <w:divBdr>
        <w:top w:val="none" w:sz="0" w:space="0" w:color="auto"/>
        <w:left w:val="none" w:sz="0" w:space="0" w:color="auto"/>
        <w:bottom w:val="none" w:sz="0" w:space="0" w:color="auto"/>
        <w:right w:val="none" w:sz="0" w:space="0" w:color="auto"/>
      </w:divBdr>
      <w:divsChild>
        <w:div w:id="1661301015">
          <w:marLeft w:val="0"/>
          <w:marRight w:val="0"/>
          <w:marTop w:val="180"/>
          <w:marBottom w:val="45"/>
          <w:divBdr>
            <w:top w:val="none" w:sz="0" w:space="0" w:color="auto"/>
            <w:left w:val="none" w:sz="0" w:space="0" w:color="auto"/>
            <w:bottom w:val="none" w:sz="0" w:space="0" w:color="auto"/>
            <w:right w:val="none" w:sz="0" w:space="0" w:color="auto"/>
          </w:divBdr>
        </w:div>
      </w:divsChild>
    </w:div>
    <w:div w:id="619840607">
      <w:bodyDiv w:val="1"/>
      <w:marLeft w:val="0"/>
      <w:marRight w:val="0"/>
      <w:marTop w:val="0"/>
      <w:marBottom w:val="0"/>
      <w:divBdr>
        <w:top w:val="none" w:sz="0" w:space="0" w:color="auto"/>
        <w:left w:val="none" w:sz="0" w:space="0" w:color="auto"/>
        <w:bottom w:val="none" w:sz="0" w:space="0" w:color="auto"/>
        <w:right w:val="none" w:sz="0" w:space="0" w:color="auto"/>
      </w:divBdr>
    </w:div>
    <w:div w:id="669992755">
      <w:bodyDiv w:val="1"/>
      <w:marLeft w:val="0"/>
      <w:marRight w:val="0"/>
      <w:marTop w:val="0"/>
      <w:marBottom w:val="0"/>
      <w:divBdr>
        <w:top w:val="none" w:sz="0" w:space="0" w:color="auto"/>
        <w:left w:val="none" w:sz="0" w:space="0" w:color="auto"/>
        <w:bottom w:val="none" w:sz="0" w:space="0" w:color="auto"/>
        <w:right w:val="none" w:sz="0" w:space="0" w:color="auto"/>
      </w:divBdr>
    </w:div>
    <w:div w:id="679889978">
      <w:bodyDiv w:val="1"/>
      <w:marLeft w:val="0"/>
      <w:marRight w:val="0"/>
      <w:marTop w:val="0"/>
      <w:marBottom w:val="0"/>
      <w:divBdr>
        <w:top w:val="none" w:sz="0" w:space="0" w:color="auto"/>
        <w:left w:val="none" w:sz="0" w:space="0" w:color="auto"/>
        <w:bottom w:val="none" w:sz="0" w:space="0" w:color="auto"/>
        <w:right w:val="none" w:sz="0" w:space="0" w:color="auto"/>
      </w:divBdr>
    </w:div>
    <w:div w:id="701133189">
      <w:bodyDiv w:val="1"/>
      <w:marLeft w:val="0"/>
      <w:marRight w:val="0"/>
      <w:marTop w:val="0"/>
      <w:marBottom w:val="0"/>
      <w:divBdr>
        <w:top w:val="none" w:sz="0" w:space="0" w:color="auto"/>
        <w:left w:val="none" w:sz="0" w:space="0" w:color="auto"/>
        <w:bottom w:val="none" w:sz="0" w:space="0" w:color="auto"/>
        <w:right w:val="none" w:sz="0" w:space="0" w:color="auto"/>
      </w:divBdr>
      <w:divsChild>
        <w:div w:id="1367489389">
          <w:marLeft w:val="0"/>
          <w:marRight w:val="0"/>
          <w:marTop w:val="0"/>
          <w:marBottom w:val="0"/>
          <w:divBdr>
            <w:top w:val="none" w:sz="0" w:space="0" w:color="auto"/>
            <w:left w:val="none" w:sz="0" w:space="0" w:color="auto"/>
            <w:bottom w:val="none" w:sz="0" w:space="0" w:color="auto"/>
            <w:right w:val="none" w:sz="0" w:space="0" w:color="auto"/>
          </w:divBdr>
        </w:div>
      </w:divsChild>
    </w:div>
    <w:div w:id="708913533">
      <w:bodyDiv w:val="1"/>
      <w:marLeft w:val="0"/>
      <w:marRight w:val="0"/>
      <w:marTop w:val="0"/>
      <w:marBottom w:val="0"/>
      <w:divBdr>
        <w:top w:val="none" w:sz="0" w:space="0" w:color="auto"/>
        <w:left w:val="none" w:sz="0" w:space="0" w:color="auto"/>
        <w:bottom w:val="none" w:sz="0" w:space="0" w:color="auto"/>
        <w:right w:val="none" w:sz="0" w:space="0" w:color="auto"/>
      </w:divBdr>
      <w:divsChild>
        <w:div w:id="38288003">
          <w:marLeft w:val="0"/>
          <w:marRight w:val="0"/>
          <w:marTop w:val="0"/>
          <w:marBottom w:val="0"/>
          <w:divBdr>
            <w:top w:val="none" w:sz="0" w:space="0" w:color="auto"/>
            <w:left w:val="none" w:sz="0" w:space="0" w:color="auto"/>
            <w:bottom w:val="none" w:sz="0" w:space="0" w:color="auto"/>
            <w:right w:val="none" w:sz="0" w:space="0" w:color="auto"/>
          </w:divBdr>
        </w:div>
        <w:div w:id="585966979">
          <w:marLeft w:val="0"/>
          <w:marRight w:val="0"/>
          <w:marTop w:val="180"/>
          <w:marBottom w:val="45"/>
          <w:divBdr>
            <w:top w:val="none" w:sz="0" w:space="0" w:color="auto"/>
            <w:left w:val="none" w:sz="0" w:space="0" w:color="auto"/>
            <w:bottom w:val="none" w:sz="0" w:space="0" w:color="auto"/>
            <w:right w:val="none" w:sz="0" w:space="0" w:color="auto"/>
          </w:divBdr>
        </w:div>
        <w:div w:id="591399505">
          <w:marLeft w:val="0"/>
          <w:marRight w:val="0"/>
          <w:marTop w:val="180"/>
          <w:marBottom w:val="45"/>
          <w:divBdr>
            <w:top w:val="none" w:sz="0" w:space="0" w:color="auto"/>
            <w:left w:val="none" w:sz="0" w:space="0" w:color="auto"/>
            <w:bottom w:val="none" w:sz="0" w:space="0" w:color="auto"/>
            <w:right w:val="none" w:sz="0" w:space="0" w:color="auto"/>
          </w:divBdr>
        </w:div>
        <w:div w:id="780760764">
          <w:marLeft w:val="0"/>
          <w:marRight w:val="0"/>
          <w:marTop w:val="180"/>
          <w:marBottom w:val="45"/>
          <w:divBdr>
            <w:top w:val="none" w:sz="0" w:space="0" w:color="auto"/>
            <w:left w:val="none" w:sz="0" w:space="0" w:color="auto"/>
            <w:bottom w:val="none" w:sz="0" w:space="0" w:color="auto"/>
            <w:right w:val="none" w:sz="0" w:space="0" w:color="auto"/>
          </w:divBdr>
        </w:div>
        <w:div w:id="798107608">
          <w:marLeft w:val="0"/>
          <w:marRight w:val="0"/>
          <w:marTop w:val="0"/>
          <w:marBottom w:val="0"/>
          <w:divBdr>
            <w:top w:val="none" w:sz="0" w:space="0" w:color="auto"/>
            <w:left w:val="none" w:sz="0" w:space="0" w:color="auto"/>
            <w:bottom w:val="none" w:sz="0" w:space="0" w:color="auto"/>
            <w:right w:val="none" w:sz="0" w:space="0" w:color="auto"/>
          </w:divBdr>
        </w:div>
        <w:div w:id="1061320948">
          <w:marLeft w:val="0"/>
          <w:marRight w:val="0"/>
          <w:marTop w:val="0"/>
          <w:marBottom w:val="0"/>
          <w:divBdr>
            <w:top w:val="none" w:sz="0" w:space="0" w:color="auto"/>
            <w:left w:val="none" w:sz="0" w:space="0" w:color="auto"/>
            <w:bottom w:val="none" w:sz="0" w:space="0" w:color="auto"/>
            <w:right w:val="none" w:sz="0" w:space="0" w:color="auto"/>
          </w:divBdr>
        </w:div>
        <w:div w:id="1307275331">
          <w:marLeft w:val="0"/>
          <w:marRight w:val="0"/>
          <w:marTop w:val="0"/>
          <w:marBottom w:val="0"/>
          <w:divBdr>
            <w:top w:val="none" w:sz="0" w:space="0" w:color="auto"/>
            <w:left w:val="none" w:sz="0" w:space="0" w:color="auto"/>
            <w:bottom w:val="none" w:sz="0" w:space="0" w:color="auto"/>
            <w:right w:val="none" w:sz="0" w:space="0" w:color="auto"/>
          </w:divBdr>
        </w:div>
        <w:div w:id="1374115630">
          <w:marLeft w:val="0"/>
          <w:marRight w:val="0"/>
          <w:marTop w:val="180"/>
          <w:marBottom w:val="45"/>
          <w:divBdr>
            <w:top w:val="none" w:sz="0" w:space="0" w:color="auto"/>
            <w:left w:val="none" w:sz="0" w:space="0" w:color="auto"/>
            <w:bottom w:val="none" w:sz="0" w:space="0" w:color="auto"/>
            <w:right w:val="none" w:sz="0" w:space="0" w:color="auto"/>
          </w:divBdr>
        </w:div>
        <w:div w:id="1488133348">
          <w:marLeft w:val="0"/>
          <w:marRight w:val="0"/>
          <w:marTop w:val="0"/>
          <w:marBottom w:val="0"/>
          <w:divBdr>
            <w:top w:val="none" w:sz="0" w:space="0" w:color="auto"/>
            <w:left w:val="none" w:sz="0" w:space="0" w:color="auto"/>
            <w:bottom w:val="none" w:sz="0" w:space="0" w:color="auto"/>
            <w:right w:val="none" w:sz="0" w:space="0" w:color="auto"/>
          </w:divBdr>
          <w:divsChild>
            <w:div w:id="309482501">
              <w:marLeft w:val="0"/>
              <w:marRight w:val="0"/>
              <w:marTop w:val="0"/>
              <w:marBottom w:val="0"/>
              <w:divBdr>
                <w:top w:val="none" w:sz="0" w:space="0" w:color="auto"/>
                <w:left w:val="none" w:sz="0" w:space="0" w:color="auto"/>
                <w:bottom w:val="none" w:sz="0" w:space="0" w:color="auto"/>
                <w:right w:val="none" w:sz="0" w:space="0" w:color="auto"/>
              </w:divBdr>
              <w:divsChild>
                <w:div w:id="170074196">
                  <w:marLeft w:val="0"/>
                  <w:marRight w:val="0"/>
                  <w:marTop w:val="0"/>
                  <w:marBottom w:val="0"/>
                  <w:divBdr>
                    <w:top w:val="none" w:sz="0" w:space="0" w:color="auto"/>
                    <w:left w:val="none" w:sz="0" w:space="0" w:color="auto"/>
                    <w:bottom w:val="none" w:sz="0" w:space="0" w:color="auto"/>
                    <w:right w:val="none" w:sz="0" w:space="0" w:color="auto"/>
                  </w:divBdr>
                </w:div>
                <w:div w:id="966548313">
                  <w:marLeft w:val="0"/>
                  <w:marRight w:val="0"/>
                  <w:marTop w:val="0"/>
                  <w:marBottom w:val="0"/>
                  <w:divBdr>
                    <w:top w:val="none" w:sz="0" w:space="0" w:color="auto"/>
                    <w:left w:val="none" w:sz="0" w:space="0" w:color="auto"/>
                    <w:bottom w:val="none" w:sz="0" w:space="0" w:color="auto"/>
                    <w:right w:val="none" w:sz="0" w:space="0" w:color="auto"/>
                  </w:divBdr>
                  <w:divsChild>
                    <w:div w:id="650331873">
                      <w:marLeft w:val="0"/>
                      <w:marRight w:val="0"/>
                      <w:marTop w:val="0"/>
                      <w:marBottom w:val="0"/>
                      <w:divBdr>
                        <w:top w:val="none" w:sz="0" w:space="0" w:color="auto"/>
                        <w:left w:val="none" w:sz="0" w:space="0" w:color="auto"/>
                        <w:bottom w:val="none" w:sz="0" w:space="0" w:color="auto"/>
                        <w:right w:val="none" w:sz="0" w:space="0" w:color="auto"/>
                      </w:divBdr>
                    </w:div>
                  </w:divsChild>
                </w:div>
                <w:div w:id="1237009327">
                  <w:marLeft w:val="0"/>
                  <w:marRight w:val="0"/>
                  <w:marTop w:val="0"/>
                  <w:marBottom w:val="0"/>
                  <w:divBdr>
                    <w:top w:val="none" w:sz="0" w:space="0" w:color="auto"/>
                    <w:left w:val="none" w:sz="0" w:space="0" w:color="auto"/>
                    <w:bottom w:val="none" w:sz="0" w:space="0" w:color="auto"/>
                    <w:right w:val="none" w:sz="0" w:space="0" w:color="auto"/>
                  </w:divBdr>
                </w:div>
                <w:div w:id="1306735087">
                  <w:marLeft w:val="0"/>
                  <w:marRight w:val="0"/>
                  <w:marTop w:val="0"/>
                  <w:marBottom w:val="0"/>
                  <w:divBdr>
                    <w:top w:val="none" w:sz="0" w:space="0" w:color="auto"/>
                    <w:left w:val="none" w:sz="0" w:space="0" w:color="auto"/>
                    <w:bottom w:val="none" w:sz="0" w:space="0" w:color="auto"/>
                    <w:right w:val="none" w:sz="0" w:space="0" w:color="auto"/>
                  </w:divBdr>
                </w:div>
                <w:div w:id="1776974330">
                  <w:marLeft w:val="0"/>
                  <w:marRight w:val="0"/>
                  <w:marTop w:val="0"/>
                  <w:marBottom w:val="0"/>
                  <w:divBdr>
                    <w:top w:val="none" w:sz="0" w:space="0" w:color="auto"/>
                    <w:left w:val="none" w:sz="0" w:space="0" w:color="auto"/>
                    <w:bottom w:val="none" w:sz="0" w:space="0" w:color="auto"/>
                    <w:right w:val="none" w:sz="0" w:space="0" w:color="auto"/>
                  </w:divBdr>
                </w:div>
                <w:div w:id="1797288681">
                  <w:marLeft w:val="0"/>
                  <w:marRight w:val="0"/>
                  <w:marTop w:val="0"/>
                  <w:marBottom w:val="0"/>
                  <w:divBdr>
                    <w:top w:val="none" w:sz="0" w:space="0" w:color="auto"/>
                    <w:left w:val="none" w:sz="0" w:space="0" w:color="auto"/>
                    <w:bottom w:val="none" w:sz="0" w:space="0" w:color="auto"/>
                    <w:right w:val="none" w:sz="0" w:space="0" w:color="auto"/>
                  </w:divBdr>
                </w:div>
                <w:div w:id="19225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077">
          <w:marLeft w:val="0"/>
          <w:marRight w:val="0"/>
          <w:marTop w:val="0"/>
          <w:marBottom w:val="0"/>
          <w:divBdr>
            <w:top w:val="none" w:sz="0" w:space="0" w:color="auto"/>
            <w:left w:val="none" w:sz="0" w:space="0" w:color="auto"/>
            <w:bottom w:val="none" w:sz="0" w:space="0" w:color="auto"/>
            <w:right w:val="none" w:sz="0" w:space="0" w:color="auto"/>
          </w:divBdr>
        </w:div>
      </w:divsChild>
    </w:div>
    <w:div w:id="726301363">
      <w:bodyDiv w:val="1"/>
      <w:marLeft w:val="0"/>
      <w:marRight w:val="0"/>
      <w:marTop w:val="0"/>
      <w:marBottom w:val="0"/>
      <w:divBdr>
        <w:top w:val="none" w:sz="0" w:space="0" w:color="auto"/>
        <w:left w:val="none" w:sz="0" w:space="0" w:color="auto"/>
        <w:bottom w:val="none" w:sz="0" w:space="0" w:color="auto"/>
        <w:right w:val="none" w:sz="0" w:space="0" w:color="auto"/>
      </w:divBdr>
    </w:div>
    <w:div w:id="736440425">
      <w:bodyDiv w:val="1"/>
      <w:marLeft w:val="0"/>
      <w:marRight w:val="0"/>
      <w:marTop w:val="0"/>
      <w:marBottom w:val="0"/>
      <w:divBdr>
        <w:top w:val="none" w:sz="0" w:space="0" w:color="auto"/>
        <w:left w:val="none" w:sz="0" w:space="0" w:color="auto"/>
        <w:bottom w:val="none" w:sz="0" w:space="0" w:color="auto"/>
        <w:right w:val="none" w:sz="0" w:space="0" w:color="auto"/>
      </w:divBdr>
    </w:div>
    <w:div w:id="745566298">
      <w:bodyDiv w:val="1"/>
      <w:marLeft w:val="0"/>
      <w:marRight w:val="0"/>
      <w:marTop w:val="0"/>
      <w:marBottom w:val="0"/>
      <w:divBdr>
        <w:top w:val="none" w:sz="0" w:space="0" w:color="auto"/>
        <w:left w:val="none" w:sz="0" w:space="0" w:color="auto"/>
        <w:bottom w:val="none" w:sz="0" w:space="0" w:color="auto"/>
        <w:right w:val="none" w:sz="0" w:space="0" w:color="auto"/>
      </w:divBdr>
    </w:div>
    <w:div w:id="749666491">
      <w:bodyDiv w:val="1"/>
      <w:marLeft w:val="0"/>
      <w:marRight w:val="0"/>
      <w:marTop w:val="0"/>
      <w:marBottom w:val="0"/>
      <w:divBdr>
        <w:top w:val="none" w:sz="0" w:space="0" w:color="auto"/>
        <w:left w:val="none" w:sz="0" w:space="0" w:color="auto"/>
        <w:bottom w:val="none" w:sz="0" w:space="0" w:color="auto"/>
        <w:right w:val="none" w:sz="0" w:space="0" w:color="auto"/>
      </w:divBdr>
    </w:div>
    <w:div w:id="780496081">
      <w:bodyDiv w:val="1"/>
      <w:marLeft w:val="0"/>
      <w:marRight w:val="0"/>
      <w:marTop w:val="0"/>
      <w:marBottom w:val="0"/>
      <w:divBdr>
        <w:top w:val="none" w:sz="0" w:space="0" w:color="auto"/>
        <w:left w:val="none" w:sz="0" w:space="0" w:color="auto"/>
        <w:bottom w:val="none" w:sz="0" w:space="0" w:color="auto"/>
        <w:right w:val="none" w:sz="0" w:space="0" w:color="auto"/>
      </w:divBdr>
    </w:div>
    <w:div w:id="785974378">
      <w:bodyDiv w:val="1"/>
      <w:marLeft w:val="0"/>
      <w:marRight w:val="0"/>
      <w:marTop w:val="0"/>
      <w:marBottom w:val="0"/>
      <w:divBdr>
        <w:top w:val="none" w:sz="0" w:space="0" w:color="auto"/>
        <w:left w:val="none" w:sz="0" w:space="0" w:color="auto"/>
        <w:bottom w:val="none" w:sz="0" w:space="0" w:color="auto"/>
        <w:right w:val="none" w:sz="0" w:space="0" w:color="auto"/>
      </w:divBdr>
    </w:div>
    <w:div w:id="890992756">
      <w:bodyDiv w:val="1"/>
      <w:marLeft w:val="0"/>
      <w:marRight w:val="0"/>
      <w:marTop w:val="0"/>
      <w:marBottom w:val="0"/>
      <w:divBdr>
        <w:top w:val="none" w:sz="0" w:space="0" w:color="auto"/>
        <w:left w:val="none" w:sz="0" w:space="0" w:color="auto"/>
        <w:bottom w:val="none" w:sz="0" w:space="0" w:color="auto"/>
        <w:right w:val="none" w:sz="0" w:space="0" w:color="auto"/>
      </w:divBdr>
    </w:div>
    <w:div w:id="924991566">
      <w:bodyDiv w:val="1"/>
      <w:marLeft w:val="0"/>
      <w:marRight w:val="0"/>
      <w:marTop w:val="0"/>
      <w:marBottom w:val="0"/>
      <w:divBdr>
        <w:top w:val="none" w:sz="0" w:space="0" w:color="auto"/>
        <w:left w:val="none" w:sz="0" w:space="0" w:color="auto"/>
        <w:bottom w:val="none" w:sz="0" w:space="0" w:color="auto"/>
        <w:right w:val="none" w:sz="0" w:space="0" w:color="auto"/>
      </w:divBdr>
    </w:div>
    <w:div w:id="974603003">
      <w:bodyDiv w:val="1"/>
      <w:marLeft w:val="0"/>
      <w:marRight w:val="0"/>
      <w:marTop w:val="0"/>
      <w:marBottom w:val="0"/>
      <w:divBdr>
        <w:top w:val="none" w:sz="0" w:space="0" w:color="auto"/>
        <w:left w:val="none" w:sz="0" w:space="0" w:color="auto"/>
        <w:bottom w:val="none" w:sz="0" w:space="0" w:color="auto"/>
        <w:right w:val="none" w:sz="0" w:space="0" w:color="auto"/>
      </w:divBdr>
    </w:div>
    <w:div w:id="996882608">
      <w:bodyDiv w:val="1"/>
      <w:marLeft w:val="0"/>
      <w:marRight w:val="0"/>
      <w:marTop w:val="0"/>
      <w:marBottom w:val="0"/>
      <w:divBdr>
        <w:top w:val="none" w:sz="0" w:space="0" w:color="auto"/>
        <w:left w:val="none" w:sz="0" w:space="0" w:color="auto"/>
        <w:bottom w:val="none" w:sz="0" w:space="0" w:color="auto"/>
        <w:right w:val="none" w:sz="0" w:space="0" w:color="auto"/>
      </w:divBdr>
      <w:divsChild>
        <w:div w:id="477847020">
          <w:marLeft w:val="0"/>
          <w:marRight w:val="0"/>
          <w:marTop w:val="0"/>
          <w:marBottom w:val="0"/>
          <w:divBdr>
            <w:top w:val="none" w:sz="0" w:space="0" w:color="auto"/>
            <w:left w:val="none" w:sz="0" w:space="0" w:color="auto"/>
            <w:bottom w:val="none" w:sz="0" w:space="0" w:color="auto"/>
            <w:right w:val="none" w:sz="0" w:space="0" w:color="auto"/>
          </w:divBdr>
        </w:div>
        <w:div w:id="1687242831">
          <w:marLeft w:val="0"/>
          <w:marRight w:val="0"/>
          <w:marTop w:val="0"/>
          <w:marBottom w:val="0"/>
          <w:divBdr>
            <w:top w:val="none" w:sz="0" w:space="0" w:color="auto"/>
            <w:left w:val="none" w:sz="0" w:space="0" w:color="auto"/>
            <w:bottom w:val="none" w:sz="0" w:space="0" w:color="auto"/>
            <w:right w:val="none" w:sz="0" w:space="0" w:color="auto"/>
          </w:divBdr>
        </w:div>
      </w:divsChild>
    </w:div>
    <w:div w:id="1040521195">
      <w:bodyDiv w:val="1"/>
      <w:marLeft w:val="0"/>
      <w:marRight w:val="0"/>
      <w:marTop w:val="0"/>
      <w:marBottom w:val="0"/>
      <w:divBdr>
        <w:top w:val="none" w:sz="0" w:space="0" w:color="auto"/>
        <w:left w:val="none" w:sz="0" w:space="0" w:color="auto"/>
        <w:bottom w:val="none" w:sz="0" w:space="0" w:color="auto"/>
        <w:right w:val="none" w:sz="0" w:space="0" w:color="auto"/>
      </w:divBdr>
    </w:div>
    <w:div w:id="1053886040">
      <w:bodyDiv w:val="1"/>
      <w:marLeft w:val="0"/>
      <w:marRight w:val="0"/>
      <w:marTop w:val="0"/>
      <w:marBottom w:val="0"/>
      <w:divBdr>
        <w:top w:val="none" w:sz="0" w:space="0" w:color="auto"/>
        <w:left w:val="none" w:sz="0" w:space="0" w:color="auto"/>
        <w:bottom w:val="none" w:sz="0" w:space="0" w:color="auto"/>
        <w:right w:val="none" w:sz="0" w:space="0" w:color="auto"/>
      </w:divBdr>
    </w:div>
    <w:div w:id="1157303079">
      <w:bodyDiv w:val="1"/>
      <w:marLeft w:val="0"/>
      <w:marRight w:val="0"/>
      <w:marTop w:val="0"/>
      <w:marBottom w:val="0"/>
      <w:divBdr>
        <w:top w:val="none" w:sz="0" w:space="0" w:color="auto"/>
        <w:left w:val="none" w:sz="0" w:space="0" w:color="auto"/>
        <w:bottom w:val="none" w:sz="0" w:space="0" w:color="auto"/>
        <w:right w:val="none" w:sz="0" w:space="0" w:color="auto"/>
      </w:divBdr>
    </w:div>
    <w:div w:id="1158883095">
      <w:bodyDiv w:val="1"/>
      <w:marLeft w:val="0"/>
      <w:marRight w:val="0"/>
      <w:marTop w:val="0"/>
      <w:marBottom w:val="0"/>
      <w:divBdr>
        <w:top w:val="none" w:sz="0" w:space="0" w:color="auto"/>
        <w:left w:val="none" w:sz="0" w:space="0" w:color="auto"/>
        <w:bottom w:val="none" w:sz="0" w:space="0" w:color="auto"/>
        <w:right w:val="none" w:sz="0" w:space="0" w:color="auto"/>
      </w:divBdr>
    </w:div>
    <w:div w:id="1175607442">
      <w:bodyDiv w:val="1"/>
      <w:marLeft w:val="0"/>
      <w:marRight w:val="0"/>
      <w:marTop w:val="0"/>
      <w:marBottom w:val="0"/>
      <w:divBdr>
        <w:top w:val="none" w:sz="0" w:space="0" w:color="auto"/>
        <w:left w:val="none" w:sz="0" w:space="0" w:color="auto"/>
        <w:bottom w:val="none" w:sz="0" w:space="0" w:color="auto"/>
        <w:right w:val="none" w:sz="0" w:space="0" w:color="auto"/>
      </w:divBdr>
    </w:div>
    <w:div w:id="1191644306">
      <w:bodyDiv w:val="1"/>
      <w:marLeft w:val="0"/>
      <w:marRight w:val="0"/>
      <w:marTop w:val="0"/>
      <w:marBottom w:val="0"/>
      <w:divBdr>
        <w:top w:val="none" w:sz="0" w:space="0" w:color="auto"/>
        <w:left w:val="none" w:sz="0" w:space="0" w:color="auto"/>
        <w:bottom w:val="none" w:sz="0" w:space="0" w:color="auto"/>
        <w:right w:val="none" w:sz="0" w:space="0" w:color="auto"/>
      </w:divBdr>
      <w:divsChild>
        <w:div w:id="791903253">
          <w:marLeft w:val="0"/>
          <w:marRight w:val="0"/>
          <w:marTop w:val="0"/>
          <w:marBottom w:val="0"/>
          <w:divBdr>
            <w:top w:val="none" w:sz="0" w:space="0" w:color="auto"/>
            <w:left w:val="none" w:sz="0" w:space="0" w:color="auto"/>
            <w:bottom w:val="none" w:sz="0" w:space="0" w:color="auto"/>
            <w:right w:val="none" w:sz="0" w:space="0" w:color="auto"/>
          </w:divBdr>
        </w:div>
      </w:divsChild>
    </w:div>
    <w:div w:id="1195312624">
      <w:bodyDiv w:val="1"/>
      <w:marLeft w:val="0"/>
      <w:marRight w:val="0"/>
      <w:marTop w:val="0"/>
      <w:marBottom w:val="0"/>
      <w:divBdr>
        <w:top w:val="none" w:sz="0" w:space="0" w:color="auto"/>
        <w:left w:val="none" w:sz="0" w:space="0" w:color="auto"/>
        <w:bottom w:val="none" w:sz="0" w:space="0" w:color="auto"/>
        <w:right w:val="none" w:sz="0" w:space="0" w:color="auto"/>
      </w:divBdr>
      <w:divsChild>
        <w:div w:id="245960563">
          <w:marLeft w:val="0"/>
          <w:marRight w:val="0"/>
          <w:marTop w:val="0"/>
          <w:marBottom w:val="0"/>
          <w:divBdr>
            <w:top w:val="none" w:sz="0" w:space="0" w:color="auto"/>
            <w:left w:val="none" w:sz="0" w:space="0" w:color="auto"/>
            <w:bottom w:val="none" w:sz="0" w:space="0" w:color="auto"/>
            <w:right w:val="none" w:sz="0" w:space="0" w:color="auto"/>
          </w:divBdr>
          <w:divsChild>
            <w:div w:id="1888640861">
              <w:marLeft w:val="0"/>
              <w:marRight w:val="0"/>
              <w:marTop w:val="0"/>
              <w:marBottom w:val="0"/>
              <w:divBdr>
                <w:top w:val="none" w:sz="0" w:space="0" w:color="auto"/>
                <w:left w:val="none" w:sz="0" w:space="0" w:color="auto"/>
                <w:bottom w:val="none" w:sz="0" w:space="0" w:color="auto"/>
                <w:right w:val="none" w:sz="0" w:space="0" w:color="auto"/>
              </w:divBdr>
              <w:divsChild>
                <w:div w:id="2105346615">
                  <w:marLeft w:val="0"/>
                  <w:marRight w:val="0"/>
                  <w:marTop w:val="75"/>
                  <w:marBottom w:val="75"/>
                  <w:divBdr>
                    <w:top w:val="none" w:sz="0" w:space="0" w:color="auto"/>
                    <w:left w:val="none" w:sz="0" w:space="0" w:color="auto"/>
                    <w:bottom w:val="none" w:sz="0" w:space="0" w:color="auto"/>
                    <w:right w:val="none" w:sz="0" w:space="0" w:color="auto"/>
                  </w:divBdr>
                  <w:divsChild>
                    <w:div w:id="770128792">
                      <w:marLeft w:val="0"/>
                      <w:marRight w:val="0"/>
                      <w:marTop w:val="0"/>
                      <w:marBottom w:val="0"/>
                      <w:divBdr>
                        <w:top w:val="none" w:sz="0" w:space="0" w:color="auto"/>
                        <w:left w:val="none" w:sz="0" w:space="0" w:color="auto"/>
                        <w:bottom w:val="none" w:sz="0" w:space="0" w:color="auto"/>
                        <w:right w:val="none" w:sz="0" w:space="0" w:color="auto"/>
                      </w:divBdr>
                    </w:div>
                    <w:div w:id="17591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7210">
          <w:marLeft w:val="0"/>
          <w:marRight w:val="0"/>
          <w:marTop w:val="0"/>
          <w:marBottom w:val="0"/>
          <w:divBdr>
            <w:top w:val="none" w:sz="0" w:space="0" w:color="auto"/>
            <w:left w:val="none" w:sz="0" w:space="0" w:color="auto"/>
            <w:bottom w:val="none" w:sz="0" w:space="0" w:color="auto"/>
            <w:right w:val="none" w:sz="0" w:space="0" w:color="auto"/>
          </w:divBdr>
        </w:div>
        <w:div w:id="499278144">
          <w:marLeft w:val="0"/>
          <w:marRight w:val="0"/>
          <w:marTop w:val="0"/>
          <w:marBottom w:val="0"/>
          <w:divBdr>
            <w:top w:val="none" w:sz="0" w:space="0" w:color="auto"/>
            <w:left w:val="none" w:sz="0" w:space="0" w:color="auto"/>
            <w:bottom w:val="none" w:sz="0" w:space="0" w:color="auto"/>
            <w:right w:val="none" w:sz="0" w:space="0" w:color="auto"/>
          </w:divBdr>
        </w:div>
        <w:div w:id="575745110">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906115056">
          <w:marLeft w:val="0"/>
          <w:marRight w:val="0"/>
          <w:marTop w:val="0"/>
          <w:marBottom w:val="0"/>
          <w:divBdr>
            <w:top w:val="none" w:sz="0" w:space="0" w:color="auto"/>
            <w:left w:val="none" w:sz="0" w:space="0" w:color="auto"/>
            <w:bottom w:val="none" w:sz="0" w:space="0" w:color="auto"/>
            <w:right w:val="none" w:sz="0" w:space="0" w:color="auto"/>
          </w:divBdr>
          <w:divsChild>
            <w:div w:id="394937230">
              <w:marLeft w:val="0"/>
              <w:marRight w:val="0"/>
              <w:marTop w:val="0"/>
              <w:marBottom w:val="0"/>
              <w:divBdr>
                <w:top w:val="none" w:sz="0" w:space="0" w:color="auto"/>
                <w:left w:val="none" w:sz="0" w:space="0" w:color="auto"/>
                <w:bottom w:val="none" w:sz="0" w:space="0" w:color="auto"/>
                <w:right w:val="none" w:sz="0" w:space="0" w:color="auto"/>
              </w:divBdr>
              <w:divsChild>
                <w:div w:id="1479374940">
                  <w:marLeft w:val="0"/>
                  <w:marRight w:val="0"/>
                  <w:marTop w:val="75"/>
                  <w:marBottom w:val="75"/>
                  <w:divBdr>
                    <w:top w:val="none" w:sz="0" w:space="0" w:color="auto"/>
                    <w:left w:val="none" w:sz="0" w:space="0" w:color="auto"/>
                    <w:bottom w:val="none" w:sz="0" w:space="0" w:color="auto"/>
                    <w:right w:val="none" w:sz="0" w:space="0" w:color="auto"/>
                  </w:divBdr>
                  <w:divsChild>
                    <w:div w:id="153839822">
                      <w:marLeft w:val="0"/>
                      <w:marRight w:val="0"/>
                      <w:marTop w:val="0"/>
                      <w:marBottom w:val="0"/>
                      <w:divBdr>
                        <w:top w:val="none" w:sz="0" w:space="0" w:color="auto"/>
                        <w:left w:val="none" w:sz="0" w:space="0" w:color="auto"/>
                        <w:bottom w:val="none" w:sz="0" w:space="0" w:color="auto"/>
                        <w:right w:val="none" w:sz="0" w:space="0" w:color="auto"/>
                      </w:divBdr>
                    </w:div>
                    <w:div w:id="19229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1599">
          <w:marLeft w:val="0"/>
          <w:marRight w:val="0"/>
          <w:marTop w:val="0"/>
          <w:marBottom w:val="0"/>
          <w:divBdr>
            <w:top w:val="none" w:sz="0" w:space="0" w:color="auto"/>
            <w:left w:val="none" w:sz="0" w:space="0" w:color="auto"/>
            <w:bottom w:val="none" w:sz="0" w:space="0" w:color="auto"/>
            <w:right w:val="none" w:sz="0" w:space="0" w:color="auto"/>
          </w:divBdr>
        </w:div>
        <w:div w:id="1372657766">
          <w:marLeft w:val="0"/>
          <w:marRight w:val="0"/>
          <w:marTop w:val="0"/>
          <w:marBottom w:val="0"/>
          <w:divBdr>
            <w:top w:val="none" w:sz="0" w:space="0" w:color="auto"/>
            <w:left w:val="none" w:sz="0" w:space="0" w:color="auto"/>
            <w:bottom w:val="none" w:sz="0" w:space="0" w:color="auto"/>
            <w:right w:val="none" w:sz="0" w:space="0" w:color="auto"/>
          </w:divBdr>
          <w:divsChild>
            <w:div w:id="236286152">
              <w:marLeft w:val="0"/>
              <w:marRight w:val="0"/>
              <w:marTop w:val="0"/>
              <w:marBottom w:val="0"/>
              <w:divBdr>
                <w:top w:val="none" w:sz="0" w:space="0" w:color="auto"/>
                <w:left w:val="none" w:sz="0" w:space="0" w:color="auto"/>
                <w:bottom w:val="none" w:sz="0" w:space="0" w:color="auto"/>
                <w:right w:val="none" w:sz="0" w:space="0" w:color="auto"/>
              </w:divBdr>
              <w:divsChild>
                <w:div w:id="1040134678">
                  <w:marLeft w:val="0"/>
                  <w:marRight w:val="0"/>
                  <w:marTop w:val="75"/>
                  <w:marBottom w:val="75"/>
                  <w:divBdr>
                    <w:top w:val="none" w:sz="0" w:space="0" w:color="auto"/>
                    <w:left w:val="none" w:sz="0" w:space="0" w:color="auto"/>
                    <w:bottom w:val="none" w:sz="0" w:space="0" w:color="auto"/>
                    <w:right w:val="none" w:sz="0" w:space="0" w:color="auto"/>
                  </w:divBdr>
                  <w:divsChild>
                    <w:div w:id="921597368">
                      <w:marLeft w:val="0"/>
                      <w:marRight w:val="0"/>
                      <w:marTop w:val="0"/>
                      <w:marBottom w:val="0"/>
                      <w:divBdr>
                        <w:top w:val="none" w:sz="0" w:space="0" w:color="auto"/>
                        <w:left w:val="none" w:sz="0" w:space="0" w:color="auto"/>
                        <w:bottom w:val="none" w:sz="0" w:space="0" w:color="auto"/>
                        <w:right w:val="none" w:sz="0" w:space="0" w:color="auto"/>
                      </w:divBdr>
                    </w:div>
                    <w:div w:id="17588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14285">
          <w:marLeft w:val="0"/>
          <w:marRight w:val="0"/>
          <w:marTop w:val="0"/>
          <w:marBottom w:val="0"/>
          <w:divBdr>
            <w:top w:val="none" w:sz="0" w:space="0" w:color="auto"/>
            <w:left w:val="none" w:sz="0" w:space="0" w:color="auto"/>
            <w:bottom w:val="none" w:sz="0" w:space="0" w:color="auto"/>
            <w:right w:val="none" w:sz="0" w:space="0" w:color="auto"/>
          </w:divBdr>
          <w:divsChild>
            <w:div w:id="1447382064">
              <w:marLeft w:val="0"/>
              <w:marRight w:val="0"/>
              <w:marTop w:val="0"/>
              <w:marBottom w:val="0"/>
              <w:divBdr>
                <w:top w:val="none" w:sz="0" w:space="0" w:color="auto"/>
                <w:left w:val="none" w:sz="0" w:space="0" w:color="auto"/>
                <w:bottom w:val="none" w:sz="0" w:space="0" w:color="auto"/>
                <w:right w:val="none" w:sz="0" w:space="0" w:color="auto"/>
              </w:divBdr>
              <w:divsChild>
                <w:div w:id="1009260474">
                  <w:marLeft w:val="0"/>
                  <w:marRight w:val="0"/>
                  <w:marTop w:val="75"/>
                  <w:marBottom w:val="75"/>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
                    <w:div w:id="17135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37635">
          <w:marLeft w:val="0"/>
          <w:marRight w:val="0"/>
          <w:marTop w:val="0"/>
          <w:marBottom w:val="0"/>
          <w:divBdr>
            <w:top w:val="none" w:sz="0" w:space="0" w:color="auto"/>
            <w:left w:val="none" w:sz="0" w:space="0" w:color="auto"/>
            <w:bottom w:val="none" w:sz="0" w:space="0" w:color="auto"/>
            <w:right w:val="none" w:sz="0" w:space="0" w:color="auto"/>
          </w:divBdr>
          <w:divsChild>
            <w:div w:id="2100560015">
              <w:marLeft w:val="0"/>
              <w:marRight w:val="0"/>
              <w:marTop w:val="0"/>
              <w:marBottom w:val="0"/>
              <w:divBdr>
                <w:top w:val="none" w:sz="0" w:space="0" w:color="auto"/>
                <w:left w:val="none" w:sz="0" w:space="0" w:color="auto"/>
                <w:bottom w:val="none" w:sz="0" w:space="0" w:color="auto"/>
                <w:right w:val="none" w:sz="0" w:space="0" w:color="auto"/>
              </w:divBdr>
              <w:divsChild>
                <w:div w:id="437142249">
                  <w:marLeft w:val="0"/>
                  <w:marRight w:val="0"/>
                  <w:marTop w:val="75"/>
                  <w:marBottom w:val="75"/>
                  <w:divBdr>
                    <w:top w:val="none" w:sz="0" w:space="0" w:color="auto"/>
                    <w:left w:val="none" w:sz="0" w:space="0" w:color="auto"/>
                    <w:bottom w:val="none" w:sz="0" w:space="0" w:color="auto"/>
                    <w:right w:val="none" w:sz="0" w:space="0" w:color="auto"/>
                  </w:divBdr>
                  <w:divsChild>
                    <w:div w:id="120728200">
                      <w:marLeft w:val="0"/>
                      <w:marRight w:val="0"/>
                      <w:marTop w:val="0"/>
                      <w:marBottom w:val="0"/>
                      <w:divBdr>
                        <w:top w:val="none" w:sz="0" w:space="0" w:color="auto"/>
                        <w:left w:val="none" w:sz="0" w:space="0" w:color="auto"/>
                        <w:bottom w:val="none" w:sz="0" w:space="0" w:color="auto"/>
                        <w:right w:val="none" w:sz="0" w:space="0" w:color="auto"/>
                      </w:divBdr>
                    </w:div>
                    <w:div w:id="1386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310">
      <w:bodyDiv w:val="1"/>
      <w:marLeft w:val="0"/>
      <w:marRight w:val="0"/>
      <w:marTop w:val="0"/>
      <w:marBottom w:val="0"/>
      <w:divBdr>
        <w:top w:val="none" w:sz="0" w:space="0" w:color="auto"/>
        <w:left w:val="none" w:sz="0" w:space="0" w:color="auto"/>
        <w:bottom w:val="none" w:sz="0" w:space="0" w:color="auto"/>
        <w:right w:val="none" w:sz="0" w:space="0" w:color="auto"/>
      </w:divBdr>
    </w:div>
    <w:div w:id="1237517454">
      <w:bodyDiv w:val="1"/>
      <w:marLeft w:val="0"/>
      <w:marRight w:val="0"/>
      <w:marTop w:val="0"/>
      <w:marBottom w:val="0"/>
      <w:divBdr>
        <w:top w:val="none" w:sz="0" w:space="0" w:color="auto"/>
        <w:left w:val="none" w:sz="0" w:space="0" w:color="auto"/>
        <w:bottom w:val="none" w:sz="0" w:space="0" w:color="auto"/>
        <w:right w:val="none" w:sz="0" w:space="0" w:color="auto"/>
      </w:divBdr>
    </w:div>
    <w:div w:id="1285307346">
      <w:bodyDiv w:val="1"/>
      <w:marLeft w:val="0"/>
      <w:marRight w:val="0"/>
      <w:marTop w:val="0"/>
      <w:marBottom w:val="0"/>
      <w:divBdr>
        <w:top w:val="none" w:sz="0" w:space="0" w:color="auto"/>
        <w:left w:val="none" w:sz="0" w:space="0" w:color="auto"/>
        <w:bottom w:val="none" w:sz="0" w:space="0" w:color="auto"/>
        <w:right w:val="none" w:sz="0" w:space="0" w:color="auto"/>
      </w:divBdr>
      <w:divsChild>
        <w:div w:id="430787071">
          <w:marLeft w:val="0"/>
          <w:marRight w:val="0"/>
          <w:marTop w:val="0"/>
          <w:marBottom w:val="0"/>
          <w:divBdr>
            <w:top w:val="none" w:sz="0" w:space="0" w:color="auto"/>
            <w:left w:val="none" w:sz="0" w:space="0" w:color="auto"/>
            <w:bottom w:val="none" w:sz="0" w:space="0" w:color="auto"/>
            <w:right w:val="none" w:sz="0" w:space="0" w:color="auto"/>
          </w:divBdr>
        </w:div>
        <w:div w:id="459883989">
          <w:marLeft w:val="0"/>
          <w:marRight w:val="0"/>
          <w:marTop w:val="0"/>
          <w:marBottom w:val="0"/>
          <w:divBdr>
            <w:top w:val="none" w:sz="0" w:space="0" w:color="auto"/>
            <w:left w:val="none" w:sz="0" w:space="0" w:color="auto"/>
            <w:bottom w:val="none" w:sz="0" w:space="0" w:color="auto"/>
            <w:right w:val="none" w:sz="0" w:space="0" w:color="auto"/>
          </w:divBdr>
        </w:div>
        <w:div w:id="967475059">
          <w:marLeft w:val="0"/>
          <w:marRight w:val="0"/>
          <w:marTop w:val="180"/>
          <w:marBottom w:val="45"/>
          <w:divBdr>
            <w:top w:val="none" w:sz="0" w:space="0" w:color="auto"/>
            <w:left w:val="none" w:sz="0" w:space="0" w:color="auto"/>
            <w:bottom w:val="none" w:sz="0" w:space="0" w:color="auto"/>
            <w:right w:val="none" w:sz="0" w:space="0" w:color="auto"/>
          </w:divBdr>
        </w:div>
        <w:div w:id="1129399942">
          <w:marLeft w:val="0"/>
          <w:marRight w:val="0"/>
          <w:marTop w:val="0"/>
          <w:marBottom w:val="0"/>
          <w:divBdr>
            <w:top w:val="none" w:sz="0" w:space="0" w:color="auto"/>
            <w:left w:val="none" w:sz="0" w:space="0" w:color="auto"/>
            <w:bottom w:val="none" w:sz="0" w:space="0" w:color="auto"/>
            <w:right w:val="none" w:sz="0" w:space="0" w:color="auto"/>
          </w:divBdr>
        </w:div>
        <w:div w:id="1228418246">
          <w:marLeft w:val="0"/>
          <w:marRight w:val="0"/>
          <w:marTop w:val="0"/>
          <w:marBottom w:val="0"/>
          <w:divBdr>
            <w:top w:val="none" w:sz="0" w:space="0" w:color="auto"/>
            <w:left w:val="none" w:sz="0" w:space="0" w:color="auto"/>
            <w:bottom w:val="none" w:sz="0" w:space="0" w:color="auto"/>
            <w:right w:val="none" w:sz="0" w:space="0" w:color="auto"/>
          </w:divBdr>
        </w:div>
        <w:div w:id="1328095580">
          <w:marLeft w:val="0"/>
          <w:marRight w:val="0"/>
          <w:marTop w:val="0"/>
          <w:marBottom w:val="0"/>
          <w:divBdr>
            <w:top w:val="none" w:sz="0" w:space="0" w:color="auto"/>
            <w:left w:val="none" w:sz="0" w:space="0" w:color="auto"/>
            <w:bottom w:val="none" w:sz="0" w:space="0" w:color="auto"/>
            <w:right w:val="none" w:sz="0" w:space="0" w:color="auto"/>
          </w:divBdr>
          <w:divsChild>
            <w:div w:id="247539763">
              <w:marLeft w:val="0"/>
              <w:marRight w:val="0"/>
              <w:marTop w:val="0"/>
              <w:marBottom w:val="0"/>
              <w:divBdr>
                <w:top w:val="none" w:sz="0" w:space="0" w:color="auto"/>
                <w:left w:val="none" w:sz="0" w:space="0" w:color="auto"/>
                <w:bottom w:val="none" w:sz="0" w:space="0" w:color="auto"/>
                <w:right w:val="none" w:sz="0" w:space="0" w:color="auto"/>
              </w:divBdr>
              <w:divsChild>
                <w:div w:id="391932579">
                  <w:marLeft w:val="0"/>
                  <w:marRight w:val="0"/>
                  <w:marTop w:val="0"/>
                  <w:marBottom w:val="0"/>
                  <w:divBdr>
                    <w:top w:val="none" w:sz="0" w:space="0" w:color="auto"/>
                    <w:left w:val="none" w:sz="0" w:space="0" w:color="auto"/>
                    <w:bottom w:val="none" w:sz="0" w:space="0" w:color="auto"/>
                    <w:right w:val="none" w:sz="0" w:space="0" w:color="auto"/>
                  </w:divBdr>
                </w:div>
                <w:div w:id="541287216">
                  <w:marLeft w:val="0"/>
                  <w:marRight w:val="0"/>
                  <w:marTop w:val="0"/>
                  <w:marBottom w:val="0"/>
                  <w:divBdr>
                    <w:top w:val="none" w:sz="0" w:space="0" w:color="auto"/>
                    <w:left w:val="none" w:sz="0" w:space="0" w:color="auto"/>
                    <w:bottom w:val="none" w:sz="0" w:space="0" w:color="auto"/>
                    <w:right w:val="none" w:sz="0" w:space="0" w:color="auto"/>
                  </w:divBdr>
                </w:div>
                <w:div w:id="11737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59">
          <w:marLeft w:val="0"/>
          <w:marRight w:val="0"/>
          <w:marTop w:val="0"/>
          <w:marBottom w:val="0"/>
          <w:divBdr>
            <w:top w:val="none" w:sz="0" w:space="0" w:color="auto"/>
            <w:left w:val="none" w:sz="0" w:space="0" w:color="auto"/>
            <w:bottom w:val="none" w:sz="0" w:space="0" w:color="auto"/>
            <w:right w:val="none" w:sz="0" w:space="0" w:color="auto"/>
          </w:divBdr>
        </w:div>
        <w:div w:id="1622682730">
          <w:marLeft w:val="0"/>
          <w:marRight w:val="0"/>
          <w:marTop w:val="0"/>
          <w:marBottom w:val="0"/>
          <w:divBdr>
            <w:top w:val="none" w:sz="0" w:space="0" w:color="auto"/>
            <w:left w:val="none" w:sz="0" w:space="0" w:color="auto"/>
            <w:bottom w:val="none" w:sz="0" w:space="0" w:color="auto"/>
            <w:right w:val="none" w:sz="0" w:space="0" w:color="auto"/>
          </w:divBdr>
        </w:div>
        <w:div w:id="1884101412">
          <w:marLeft w:val="0"/>
          <w:marRight w:val="0"/>
          <w:marTop w:val="0"/>
          <w:marBottom w:val="0"/>
          <w:divBdr>
            <w:top w:val="none" w:sz="0" w:space="0" w:color="auto"/>
            <w:left w:val="none" w:sz="0" w:space="0" w:color="auto"/>
            <w:bottom w:val="none" w:sz="0" w:space="0" w:color="auto"/>
            <w:right w:val="none" w:sz="0" w:space="0" w:color="auto"/>
          </w:divBdr>
        </w:div>
        <w:div w:id="2064597531">
          <w:marLeft w:val="0"/>
          <w:marRight w:val="0"/>
          <w:marTop w:val="180"/>
          <w:marBottom w:val="45"/>
          <w:divBdr>
            <w:top w:val="none" w:sz="0" w:space="0" w:color="auto"/>
            <w:left w:val="none" w:sz="0" w:space="0" w:color="auto"/>
            <w:bottom w:val="none" w:sz="0" w:space="0" w:color="auto"/>
            <w:right w:val="none" w:sz="0" w:space="0" w:color="auto"/>
          </w:divBdr>
        </w:div>
        <w:div w:id="2124836248">
          <w:marLeft w:val="0"/>
          <w:marRight w:val="0"/>
          <w:marTop w:val="0"/>
          <w:marBottom w:val="0"/>
          <w:divBdr>
            <w:top w:val="none" w:sz="0" w:space="0" w:color="auto"/>
            <w:left w:val="none" w:sz="0" w:space="0" w:color="auto"/>
            <w:bottom w:val="none" w:sz="0" w:space="0" w:color="auto"/>
            <w:right w:val="none" w:sz="0" w:space="0" w:color="auto"/>
          </w:divBdr>
        </w:div>
      </w:divsChild>
    </w:div>
    <w:div w:id="1316565604">
      <w:bodyDiv w:val="1"/>
      <w:marLeft w:val="0"/>
      <w:marRight w:val="0"/>
      <w:marTop w:val="0"/>
      <w:marBottom w:val="0"/>
      <w:divBdr>
        <w:top w:val="none" w:sz="0" w:space="0" w:color="auto"/>
        <w:left w:val="none" w:sz="0" w:space="0" w:color="auto"/>
        <w:bottom w:val="none" w:sz="0" w:space="0" w:color="auto"/>
        <w:right w:val="none" w:sz="0" w:space="0" w:color="auto"/>
      </w:divBdr>
    </w:div>
    <w:div w:id="1362591307">
      <w:bodyDiv w:val="1"/>
      <w:marLeft w:val="0"/>
      <w:marRight w:val="0"/>
      <w:marTop w:val="0"/>
      <w:marBottom w:val="0"/>
      <w:divBdr>
        <w:top w:val="none" w:sz="0" w:space="0" w:color="auto"/>
        <w:left w:val="none" w:sz="0" w:space="0" w:color="auto"/>
        <w:bottom w:val="none" w:sz="0" w:space="0" w:color="auto"/>
        <w:right w:val="none" w:sz="0" w:space="0" w:color="auto"/>
      </w:divBdr>
      <w:divsChild>
        <w:div w:id="44263313">
          <w:marLeft w:val="0"/>
          <w:marRight w:val="0"/>
          <w:marTop w:val="0"/>
          <w:marBottom w:val="0"/>
          <w:divBdr>
            <w:top w:val="none" w:sz="0" w:space="0" w:color="auto"/>
            <w:left w:val="none" w:sz="0" w:space="0" w:color="auto"/>
            <w:bottom w:val="none" w:sz="0" w:space="0" w:color="auto"/>
            <w:right w:val="none" w:sz="0" w:space="0" w:color="auto"/>
          </w:divBdr>
          <w:divsChild>
            <w:div w:id="1997806197">
              <w:marLeft w:val="0"/>
              <w:marRight w:val="0"/>
              <w:marTop w:val="0"/>
              <w:marBottom w:val="0"/>
              <w:divBdr>
                <w:top w:val="none" w:sz="0" w:space="0" w:color="auto"/>
                <w:left w:val="none" w:sz="0" w:space="0" w:color="auto"/>
                <w:bottom w:val="none" w:sz="0" w:space="0" w:color="auto"/>
                <w:right w:val="none" w:sz="0" w:space="0" w:color="auto"/>
              </w:divBdr>
              <w:divsChild>
                <w:div w:id="722800010">
                  <w:marLeft w:val="0"/>
                  <w:marRight w:val="0"/>
                  <w:marTop w:val="75"/>
                  <w:marBottom w:val="75"/>
                  <w:divBdr>
                    <w:top w:val="none" w:sz="0" w:space="0" w:color="auto"/>
                    <w:left w:val="none" w:sz="0" w:space="0" w:color="auto"/>
                    <w:bottom w:val="none" w:sz="0" w:space="0" w:color="auto"/>
                    <w:right w:val="none" w:sz="0" w:space="0" w:color="auto"/>
                  </w:divBdr>
                  <w:divsChild>
                    <w:div w:id="19909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8085">
          <w:marLeft w:val="0"/>
          <w:marRight w:val="0"/>
          <w:marTop w:val="0"/>
          <w:marBottom w:val="0"/>
          <w:divBdr>
            <w:top w:val="none" w:sz="0" w:space="0" w:color="auto"/>
            <w:left w:val="none" w:sz="0" w:space="0" w:color="auto"/>
            <w:bottom w:val="none" w:sz="0" w:space="0" w:color="auto"/>
            <w:right w:val="none" w:sz="0" w:space="0" w:color="auto"/>
          </w:divBdr>
        </w:div>
      </w:divsChild>
    </w:div>
    <w:div w:id="1505514694">
      <w:bodyDiv w:val="1"/>
      <w:marLeft w:val="0"/>
      <w:marRight w:val="0"/>
      <w:marTop w:val="0"/>
      <w:marBottom w:val="0"/>
      <w:divBdr>
        <w:top w:val="none" w:sz="0" w:space="0" w:color="auto"/>
        <w:left w:val="none" w:sz="0" w:space="0" w:color="auto"/>
        <w:bottom w:val="none" w:sz="0" w:space="0" w:color="auto"/>
        <w:right w:val="none" w:sz="0" w:space="0" w:color="auto"/>
      </w:divBdr>
    </w:div>
    <w:div w:id="1520125452">
      <w:bodyDiv w:val="1"/>
      <w:marLeft w:val="0"/>
      <w:marRight w:val="0"/>
      <w:marTop w:val="0"/>
      <w:marBottom w:val="0"/>
      <w:divBdr>
        <w:top w:val="none" w:sz="0" w:space="0" w:color="auto"/>
        <w:left w:val="none" w:sz="0" w:space="0" w:color="auto"/>
        <w:bottom w:val="none" w:sz="0" w:space="0" w:color="auto"/>
        <w:right w:val="none" w:sz="0" w:space="0" w:color="auto"/>
      </w:divBdr>
    </w:div>
    <w:div w:id="1525049574">
      <w:bodyDiv w:val="1"/>
      <w:marLeft w:val="0"/>
      <w:marRight w:val="0"/>
      <w:marTop w:val="0"/>
      <w:marBottom w:val="0"/>
      <w:divBdr>
        <w:top w:val="none" w:sz="0" w:space="0" w:color="auto"/>
        <w:left w:val="none" w:sz="0" w:space="0" w:color="auto"/>
        <w:bottom w:val="none" w:sz="0" w:space="0" w:color="auto"/>
        <w:right w:val="none" w:sz="0" w:space="0" w:color="auto"/>
      </w:divBdr>
    </w:div>
    <w:div w:id="1572347498">
      <w:bodyDiv w:val="1"/>
      <w:marLeft w:val="0"/>
      <w:marRight w:val="0"/>
      <w:marTop w:val="0"/>
      <w:marBottom w:val="0"/>
      <w:divBdr>
        <w:top w:val="none" w:sz="0" w:space="0" w:color="auto"/>
        <w:left w:val="none" w:sz="0" w:space="0" w:color="auto"/>
        <w:bottom w:val="none" w:sz="0" w:space="0" w:color="auto"/>
        <w:right w:val="none" w:sz="0" w:space="0" w:color="auto"/>
      </w:divBdr>
    </w:div>
    <w:div w:id="1591498963">
      <w:bodyDiv w:val="1"/>
      <w:marLeft w:val="0"/>
      <w:marRight w:val="0"/>
      <w:marTop w:val="0"/>
      <w:marBottom w:val="0"/>
      <w:divBdr>
        <w:top w:val="none" w:sz="0" w:space="0" w:color="auto"/>
        <w:left w:val="none" w:sz="0" w:space="0" w:color="auto"/>
        <w:bottom w:val="none" w:sz="0" w:space="0" w:color="auto"/>
        <w:right w:val="none" w:sz="0" w:space="0" w:color="auto"/>
      </w:divBdr>
    </w:div>
    <w:div w:id="1610429003">
      <w:bodyDiv w:val="1"/>
      <w:marLeft w:val="0"/>
      <w:marRight w:val="0"/>
      <w:marTop w:val="0"/>
      <w:marBottom w:val="0"/>
      <w:divBdr>
        <w:top w:val="none" w:sz="0" w:space="0" w:color="auto"/>
        <w:left w:val="none" w:sz="0" w:space="0" w:color="auto"/>
        <w:bottom w:val="none" w:sz="0" w:space="0" w:color="auto"/>
        <w:right w:val="none" w:sz="0" w:space="0" w:color="auto"/>
      </w:divBdr>
      <w:divsChild>
        <w:div w:id="1834106876">
          <w:marLeft w:val="0"/>
          <w:marRight w:val="0"/>
          <w:marTop w:val="0"/>
          <w:marBottom w:val="0"/>
          <w:divBdr>
            <w:top w:val="none" w:sz="0" w:space="0" w:color="auto"/>
            <w:left w:val="none" w:sz="0" w:space="0" w:color="auto"/>
            <w:bottom w:val="none" w:sz="0" w:space="0" w:color="auto"/>
            <w:right w:val="none" w:sz="0" w:space="0" w:color="auto"/>
          </w:divBdr>
        </w:div>
      </w:divsChild>
    </w:div>
    <w:div w:id="1662394149">
      <w:bodyDiv w:val="1"/>
      <w:marLeft w:val="0"/>
      <w:marRight w:val="0"/>
      <w:marTop w:val="0"/>
      <w:marBottom w:val="0"/>
      <w:divBdr>
        <w:top w:val="none" w:sz="0" w:space="0" w:color="auto"/>
        <w:left w:val="none" w:sz="0" w:space="0" w:color="auto"/>
        <w:bottom w:val="none" w:sz="0" w:space="0" w:color="auto"/>
        <w:right w:val="none" w:sz="0" w:space="0" w:color="auto"/>
      </w:divBdr>
    </w:div>
    <w:div w:id="1741946936">
      <w:bodyDiv w:val="1"/>
      <w:marLeft w:val="0"/>
      <w:marRight w:val="0"/>
      <w:marTop w:val="0"/>
      <w:marBottom w:val="0"/>
      <w:divBdr>
        <w:top w:val="none" w:sz="0" w:space="0" w:color="auto"/>
        <w:left w:val="none" w:sz="0" w:space="0" w:color="auto"/>
        <w:bottom w:val="none" w:sz="0" w:space="0" w:color="auto"/>
        <w:right w:val="none" w:sz="0" w:space="0" w:color="auto"/>
      </w:divBdr>
    </w:div>
    <w:div w:id="1762096444">
      <w:bodyDiv w:val="1"/>
      <w:marLeft w:val="0"/>
      <w:marRight w:val="0"/>
      <w:marTop w:val="0"/>
      <w:marBottom w:val="0"/>
      <w:divBdr>
        <w:top w:val="none" w:sz="0" w:space="0" w:color="auto"/>
        <w:left w:val="none" w:sz="0" w:space="0" w:color="auto"/>
        <w:bottom w:val="none" w:sz="0" w:space="0" w:color="auto"/>
        <w:right w:val="none" w:sz="0" w:space="0" w:color="auto"/>
      </w:divBdr>
      <w:divsChild>
        <w:div w:id="950087105">
          <w:marLeft w:val="0"/>
          <w:marRight w:val="0"/>
          <w:marTop w:val="0"/>
          <w:marBottom w:val="0"/>
          <w:divBdr>
            <w:top w:val="none" w:sz="0" w:space="0" w:color="auto"/>
            <w:left w:val="none" w:sz="0" w:space="0" w:color="auto"/>
            <w:bottom w:val="none" w:sz="0" w:space="0" w:color="auto"/>
            <w:right w:val="none" w:sz="0" w:space="0" w:color="auto"/>
          </w:divBdr>
        </w:div>
        <w:div w:id="1189758018">
          <w:marLeft w:val="0"/>
          <w:marRight w:val="0"/>
          <w:marTop w:val="0"/>
          <w:marBottom w:val="0"/>
          <w:divBdr>
            <w:top w:val="none" w:sz="0" w:space="0" w:color="auto"/>
            <w:left w:val="none" w:sz="0" w:space="0" w:color="auto"/>
            <w:bottom w:val="none" w:sz="0" w:space="0" w:color="auto"/>
            <w:right w:val="none" w:sz="0" w:space="0" w:color="auto"/>
          </w:divBdr>
          <w:divsChild>
            <w:div w:id="988482222">
              <w:marLeft w:val="0"/>
              <w:marRight w:val="0"/>
              <w:marTop w:val="0"/>
              <w:marBottom w:val="0"/>
              <w:divBdr>
                <w:top w:val="none" w:sz="0" w:space="0" w:color="auto"/>
                <w:left w:val="none" w:sz="0" w:space="0" w:color="auto"/>
                <w:bottom w:val="none" w:sz="0" w:space="0" w:color="auto"/>
                <w:right w:val="none" w:sz="0" w:space="0" w:color="auto"/>
              </w:divBdr>
              <w:divsChild>
                <w:div w:id="1752849554">
                  <w:marLeft w:val="0"/>
                  <w:marRight w:val="0"/>
                  <w:marTop w:val="0"/>
                  <w:marBottom w:val="0"/>
                  <w:divBdr>
                    <w:top w:val="none" w:sz="0" w:space="0" w:color="auto"/>
                    <w:left w:val="none" w:sz="0" w:space="0" w:color="auto"/>
                    <w:bottom w:val="none" w:sz="0" w:space="0" w:color="auto"/>
                    <w:right w:val="none" w:sz="0" w:space="0" w:color="auto"/>
                  </w:divBdr>
                </w:div>
                <w:div w:id="1805657540">
                  <w:marLeft w:val="0"/>
                  <w:marRight w:val="0"/>
                  <w:marTop w:val="0"/>
                  <w:marBottom w:val="0"/>
                  <w:divBdr>
                    <w:top w:val="none" w:sz="0" w:space="0" w:color="auto"/>
                    <w:left w:val="none" w:sz="0" w:space="0" w:color="auto"/>
                    <w:bottom w:val="none" w:sz="0" w:space="0" w:color="auto"/>
                    <w:right w:val="none" w:sz="0" w:space="0" w:color="auto"/>
                  </w:divBdr>
                </w:div>
                <w:div w:id="1929072405">
                  <w:marLeft w:val="0"/>
                  <w:marRight w:val="0"/>
                  <w:marTop w:val="0"/>
                  <w:marBottom w:val="0"/>
                  <w:divBdr>
                    <w:top w:val="none" w:sz="0" w:space="0" w:color="auto"/>
                    <w:left w:val="none" w:sz="0" w:space="0" w:color="auto"/>
                    <w:bottom w:val="none" w:sz="0" w:space="0" w:color="auto"/>
                    <w:right w:val="none" w:sz="0" w:space="0" w:color="auto"/>
                  </w:divBdr>
                </w:div>
              </w:divsChild>
            </w:div>
            <w:div w:id="105554479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788767136">
      <w:bodyDiv w:val="1"/>
      <w:marLeft w:val="0"/>
      <w:marRight w:val="0"/>
      <w:marTop w:val="0"/>
      <w:marBottom w:val="0"/>
      <w:divBdr>
        <w:top w:val="none" w:sz="0" w:space="0" w:color="auto"/>
        <w:left w:val="none" w:sz="0" w:space="0" w:color="auto"/>
        <w:bottom w:val="none" w:sz="0" w:space="0" w:color="auto"/>
        <w:right w:val="none" w:sz="0" w:space="0" w:color="auto"/>
      </w:divBdr>
      <w:divsChild>
        <w:div w:id="376321972">
          <w:marLeft w:val="0"/>
          <w:marRight w:val="0"/>
          <w:marTop w:val="0"/>
          <w:marBottom w:val="0"/>
          <w:divBdr>
            <w:top w:val="none" w:sz="0" w:space="0" w:color="auto"/>
            <w:left w:val="none" w:sz="0" w:space="0" w:color="auto"/>
            <w:bottom w:val="none" w:sz="0" w:space="0" w:color="auto"/>
            <w:right w:val="none" w:sz="0" w:space="0" w:color="auto"/>
          </w:divBdr>
        </w:div>
        <w:div w:id="1597203097">
          <w:marLeft w:val="0"/>
          <w:marRight w:val="0"/>
          <w:marTop w:val="180"/>
          <w:marBottom w:val="45"/>
          <w:divBdr>
            <w:top w:val="none" w:sz="0" w:space="0" w:color="auto"/>
            <w:left w:val="none" w:sz="0" w:space="0" w:color="auto"/>
            <w:bottom w:val="none" w:sz="0" w:space="0" w:color="auto"/>
            <w:right w:val="none" w:sz="0" w:space="0" w:color="auto"/>
          </w:divBdr>
        </w:div>
        <w:div w:id="1638678839">
          <w:marLeft w:val="0"/>
          <w:marRight w:val="0"/>
          <w:marTop w:val="0"/>
          <w:marBottom w:val="0"/>
          <w:divBdr>
            <w:top w:val="none" w:sz="0" w:space="0" w:color="auto"/>
            <w:left w:val="none" w:sz="0" w:space="0" w:color="auto"/>
            <w:bottom w:val="none" w:sz="0" w:space="0" w:color="auto"/>
            <w:right w:val="none" w:sz="0" w:space="0" w:color="auto"/>
          </w:divBdr>
          <w:divsChild>
            <w:div w:id="1805730640">
              <w:marLeft w:val="0"/>
              <w:marRight w:val="0"/>
              <w:marTop w:val="0"/>
              <w:marBottom w:val="0"/>
              <w:divBdr>
                <w:top w:val="none" w:sz="0" w:space="0" w:color="auto"/>
                <w:left w:val="none" w:sz="0" w:space="0" w:color="auto"/>
                <w:bottom w:val="none" w:sz="0" w:space="0" w:color="auto"/>
                <w:right w:val="none" w:sz="0" w:space="0" w:color="auto"/>
              </w:divBdr>
              <w:divsChild>
                <w:div w:id="255670583">
                  <w:marLeft w:val="0"/>
                  <w:marRight w:val="0"/>
                  <w:marTop w:val="0"/>
                  <w:marBottom w:val="0"/>
                  <w:divBdr>
                    <w:top w:val="none" w:sz="0" w:space="0" w:color="auto"/>
                    <w:left w:val="none" w:sz="0" w:space="0" w:color="auto"/>
                    <w:bottom w:val="none" w:sz="0" w:space="0" w:color="auto"/>
                    <w:right w:val="none" w:sz="0" w:space="0" w:color="auto"/>
                  </w:divBdr>
                </w:div>
                <w:div w:id="1078019336">
                  <w:marLeft w:val="0"/>
                  <w:marRight w:val="0"/>
                  <w:marTop w:val="0"/>
                  <w:marBottom w:val="0"/>
                  <w:divBdr>
                    <w:top w:val="none" w:sz="0" w:space="0" w:color="auto"/>
                    <w:left w:val="none" w:sz="0" w:space="0" w:color="auto"/>
                    <w:bottom w:val="none" w:sz="0" w:space="0" w:color="auto"/>
                    <w:right w:val="none" w:sz="0" w:space="0" w:color="auto"/>
                  </w:divBdr>
                  <w:divsChild>
                    <w:div w:id="1669215147">
                      <w:marLeft w:val="0"/>
                      <w:marRight w:val="0"/>
                      <w:marTop w:val="0"/>
                      <w:marBottom w:val="0"/>
                      <w:divBdr>
                        <w:top w:val="none" w:sz="0" w:space="0" w:color="auto"/>
                        <w:left w:val="none" w:sz="0" w:space="0" w:color="auto"/>
                        <w:bottom w:val="none" w:sz="0" w:space="0" w:color="auto"/>
                        <w:right w:val="none" w:sz="0" w:space="0" w:color="auto"/>
                      </w:divBdr>
                    </w:div>
                    <w:div w:id="1819881298">
                      <w:marLeft w:val="0"/>
                      <w:marRight w:val="0"/>
                      <w:marTop w:val="0"/>
                      <w:marBottom w:val="0"/>
                      <w:divBdr>
                        <w:top w:val="none" w:sz="0" w:space="0" w:color="auto"/>
                        <w:left w:val="none" w:sz="0" w:space="0" w:color="auto"/>
                        <w:bottom w:val="none" w:sz="0" w:space="0" w:color="auto"/>
                        <w:right w:val="none" w:sz="0" w:space="0" w:color="auto"/>
                      </w:divBdr>
                    </w:div>
                  </w:divsChild>
                </w:div>
                <w:div w:id="1418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468">
          <w:marLeft w:val="0"/>
          <w:marRight w:val="0"/>
          <w:marTop w:val="0"/>
          <w:marBottom w:val="0"/>
          <w:divBdr>
            <w:top w:val="none" w:sz="0" w:space="0" w:color="auto"/>
            <w:left w:val="none" w:sz="0" w:space="0" w:color="auto"/>
            <w:bottom w:val="none" w:sz="0" w:space="0" w:color="auto"/>
            <w:right w:val="none" w:sz="0" w:space="0" w:color="auto"/>
          </w:divBdr>
        </w:div>
      </w:divsChild>
    </w:div>
    <w:div w:id="1832867110">
      <w:bodyDiv w:val="1"/>
      <w:marLeft w:val="0"/>
      <w:marRight w:val="0"/>
      <w:marTop w:val="0"/>
      <w:marBottom w:val="0"/>
      <w:divBdr>
        <w:top w:val="none" w:sz="0" w:space="0" w:color="auto"/>
        <w:left w:val="none" w:sz="0" w:space="0" w:color="auto"/>
        <w:bottom w:val="none" w:sz="0" w:space="0" w:color="auto"/>
        <w:right w:val="none" w:sz="0" w:space="0" w:color="auto"/>
      </w:divBdr>
    </w:div>
    <w:div w:id="1860125012">
      <w:bodyDiv w:val="1"/>
      <w:marLeft w:val="0"/>
      <w:marRight w:val="0"/>
      <w:marTop w:val="0"/>
      <w:marBottom w:val="0"/>
      <w:divBdr>
        <w:top w:val="none" w:sz="0" w:space="0" w:color="auto"/>
        <w:left w:val="none" w:sz="0" w:space="0" w:color="auto"/>
        <w:bottom w:val="none" w:sz="0" w:space="0" w:color="auto"/>
        <w:right w:val="none" w:sz="0" w:space="0" w:color="auto"/>
      </w:divBdr>
    </w:div>
    <w:div w:id="1914929022">
      <w:bodyDiv w:val="1"/>
      <w:marLeft w:val="0"/>
      <w:marRight w:val="0"/>
      <w:marTop w:val="0"/>
      <w:marBottom w:val="0"/>
      <w:divBdr>
        <w:top w:val="none" w:sz="0" w:space="0" w:color="auto"/>
        <w:left w:val="none" w:sz="0" w:space="0" w:color="auto"/>
        <w:bottom w:val="none" w:sz="0" w:space="0" w:color="auto"/>
        <w:right w:val="none" w:sz="0" w:space="0" w:color="auto"/>
      </w:divBdr>
    </w:div>
    <w:div w:id="1916239103">
      <w:bodyDiv w:val="1"/>
      <w:marLeft w:val="0"/>
      <w:marRight w:val="0"/>
      <w:marTop w:val="0"/>
      <w:marBottom w:val="0"/>
      <w:divBdr>
        <w:top w:val="none" w:sz="0" w:space="0" w:color="auto"/>
        <w:left w:val="none" w:sz="0" w:space="0" w:color="auto"/>
        <w:bottom w:val="none" w:sz="0" w:space="0" w:color="auto"/>
        <w:right w:val="none" w:sz="0" w:space="0" w:color="auto"/>
      </w:divBdr>
    </w:div>
    <w:div w:id="1921596487">
      <w:bodyDiv w:val="1"/>
      <w:marLeft w:val="0"/>
      <w:marRight w:val="0"/>
      <w:marTop w:val="0"/>
      <w:marBottom w:val="0"/>
      <w:divBdr>
        <w:top w:val="none" w:sz="0" w:space="0" w:color="auto"/>
        <w:left w:val="none" w:sz="0" w:space="0" w:color="auto"/>
        <w:bottom w:val="none" w:sz="0" w:space="0" w:color="auto"/>
        <w:right w:val="none" w:sz="0" w:space="0" w:color="auto"/>
      </w:divBdr>
      <w:divsChild>
        <w:div w:id="125976921">
          <w:marLeft w:val="0"/>
          <w:marRight w:val="0"/>
          <w:marTop w:val="0"/>
          <w:marBottom w:val="0"/>
          <w:divBdr>
            <w:top w:val="none" w:sz="0" w:space="0" w:color="auto"/>
            <w:left w:val="none" w:sz="0" w:space="0" w:color="auto"/>
            <w:bottom w:val="none" w:sz="0" w:space="0" w:color="auto"/>
            <w:right w:val="none" w:sz="0" w:space="0" w:color="auto"/>
          </w:divBdr>
          <w:divsChild>
            <w:div w:id="756173089">
              <w:marLeft w:val="0"/>
              <w:marRight w:val="0"/>
              <w:marTop w:val="0"/>
              <w:marBottom w:val="0"/>
              <w:divBdr>
                <w:top w:val="none" w:sz="0" w:space="0" w:color="auto"/>
                <w:left w:val="none" w:sz="0" w:space="0" w:color="auto"/>
                <w:bottom w:val="none" w:sz="0" w:space="0" w:color="auto"/>
                <w:right w:val="none" w:sz="0" w:space="0" w:color="auto"/>
              </w:divBdr>
              <w:divsChild>
                <w:div w:id="1366784713">
                  <w:marLeft w:val="0"/>
                  <w:marRight w:val="0"/>
                  <w:marTop w:val="75"/>
                  <w:marBottom w:val="75"/>
                  <w:divBdr>
                    <w:top w:val="none" w:sz="0" w:space="0" w:color="auto"/>
                    <w:left w:val="none" w:sz="0" w:space="0" w:color="auto"/>
                    <w:bottom w:val="none" w:sz="0" w:space="0" w:color="auto"/>
                    <w:right w:val="none" w:sz="0" w:space="0" w:color="auto"/>
                  </w:divBdr>
                  <w:divsChild>
                    <w:div w:id="1902248492">
                      <w:marLeft w:val="0"/>
                      <w:marRight w:val="0"/>
                      <w:marTop w:val="0"/>
                      <w:marBottom w:val="0"/>
                      <w:divBdr>
                        <w:top w:val="none" w:sz="0" w:space="0" w:color="auto"/>
                        <w:left w:val="none" w:sz="0" w:space="0" w:color="auto"/>
                        <w:bottom w:val="none" w:sz="0" w:space="0" w:color="auto"/>
                        <w:right w:val="none" w:sz="0" w:space="0" w:color="auto"/>
                      </w:divBdr>
                    </w:div>
                    <w:div w:id="21203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6336">
          <w:marLeft w:val="0"/>
          <w:marRight w:val="0"/>
          <w:marTop w:val="0"/>
          <w:marBottom w:val="0"/>
          <w:divBdr>
            <w:top w:val="none" w:sz="0" w:space="0" w:color="auto"/>
            <w:left w:val="none" w:sz="0" w:space="0" w:color="auto"/>
            <w:bottom w:val="none" w:sz="0" w:space="0" w:color="auto"/>
            <w:right w:val="none" w:sz="0" w:space="0" w:color="auto"/>
          </w:divBdr>
        </w:div>
        <w:div w:id="359867329">
          <w:marLeft w:val="0"/>
          <w:marRight w:val="0"/>
          <w:marTop w:val="0"/>
          <w:marBottom w:val="0"/>
          <w:divBdr>
            <w:top w:val="none" w:sz="0" w:space="0" w:color="auto"/>
            <w:left w:val="none" w:sz="0" w:space="0" w:color="auto"/>
            <w:bottom w:val="none" w:sz="0" w:space="0" w:color="auto"/>
            <w:right w:val="none" w:sz="0" w:space="0" w:color="auto"/>
          </w:divBdr>
          <w:divsChild>
            <w:div w:id="364715097">
              <w:marLeft w:val="0"/>
              <w:marRight w:val="0"/>
              <w:marTop w:val="0"/>
              <w:marBottom w:val="0"/>
              <w:divBdr>
                <w:top w:val="none" w:sz="0" w:space="0" w:color="auto"/>
                <w:left w:val="none" w:sz="0" w:space="0" w:color="auto"/>
                <w:bottom w:val="none" w:sz="0" w:space="0" w:color="auto"/>
                <w:right w:val="none" w:sz="0" w:space="0" w:color="auto"/>
              </w:divBdr>
              <w:divsChild>
                <w:div w:id="1896352582">
                  <w:marLeft w:val="0"/>
                  <w:marRight w:val="0"/>
                  <w:marTop w:val="75"/>
                  <w:marBottom w:val="75"/>
                  <w:divBdr>
                    <w:top w:val="none" w:sz="0" w:space="0" w:color="auto"/>
                    <w:left w:val="none" w:sz="0" w:space="0" w:color="auto"/>
                    <w:bottom w:val="none" w:sz="0" w:space="0" w:color="auto"/>
                    <w:right w:val="none" w:sz="0" w:space="0" w:color="auto"/>
                  </w:divBdr>
                  <w:divsChild>
                    <w:div w:id="21326564">
                      <w:marLeft w:val="0"/>
                      <w:marRight w:val="0"/>
                      <w:marTop w:val="0"/>
                      <w:marBottom w:val="0"/>
                      <w:divBdr>
                        <w:top w:val="none" w:sz="0" w:space="0" w:color="auto"/>
                        <w:left w:val="none" w:sz="0" w:space="0" w:color="auto"/>
                        <w:bottom w:val="none" w:sz="0" w:space="0" w:color="auto"/>
                        <w:right w:val="none" w:sz="0" w:space="0" w:color="auto"/>
                      </w:divBdr>
                    </w:div>
                    <w:div w:id="13346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3804">
          <w:marLeft w:val="0"/>
          <w:marRight w:val="0"/>
          <w:marTop w:val="0"/>
          <w:marBottom w:val="0"/>
          <w:divBdr>
            <w:top w:val="none" w:sz="0" w:space="0" w:color="auto"/>
            <w:left w:val="none" w:sz="0" w:space="0" w:color="auto"/>
            <w:bottom w:val="none" w:sz="0" w:space="0" w:color="auto"/>
            <w:right w:val="none" w:sz="0" w:space="0" w:color="auto"/>
          </w:divBdr>
        </w:div>
        <w:div w:id="633104311">
          <w:marLeft w:val="0"/>
          <w:marRight w:val="0"/>
          <w:marTop w:val="0"/>
          <w:marBottom w:val="0"/>
          <w:divBdr>
            <w:top w:val="none" w:sz="0" w:space="0" w:color="auto"/>
            <w:left w:val="none" w:sz="0" w:space="0" w:color="auto"/>
            <w:bottom w:val="none" w:sz="0" w:space="0" w:color="auto"/>
            <w:right w:val="none" w:sz="0" w:space="0" w:color="auto"/>
          </w:divBdr>
          <w:divsChild>
            <w:div w:id="164244233">
              <w:marLeft w:val="0"/>
              <w:marRight w:val="0"/>
              <w:marTop w:val="0"/>
              <w:marBottom w:val="0"/>
              <w:divBdr>
                <w:top w:val="none" w:sz="0" w:space="0" w:color="auto"/>
                <w:left w:val="none" w:sz="0" w:space="0" w:color="auto"/>
                <w:bottom w:val="none" w:sz="0" w:space="0" w:color="auto"/>
                <w:right w:val="none" w:sz="0" w:space="0" w:color="auto"/>
              </w:divBdr>
              <w:divsChild>
                <w:div w:id="1180852358">
                  <w:marLeft w:val="0"/>
                  <w:marRight w:val="0"/>
                  <w:marTop w:val="0"/>
                  <w:marBottom w:val="0"/>
                  <w:divBdr>
                    <w:top w:val="none" w:sz="0" w:space="0" w:color="auto"/>
                    <w:left w:val="none" w:sz="0" w:space="0" w:color="auto"/>
                    <w:bottom w:val="none" w:sz="0" w:space="0" w:color="auto"/>
                    <w:right w:val="none" w:sz="0" w:space="0" w:color="auto"/>
                  </w:divBdr>
                  <w:divsChild>
                    <w:div w:id="162475713">
                      <w:marLeft w:val="0"/>
                      <w:marRight w:val="0"/>
                      <w:marTop w:val="0"/>
                      <w:marBottom w:val="0"/>
                      <w:divBdr>
                        <w:top w:val="none" w:sz="0" w:space="0" w:color="auto"/>
                        <w:left w:val="none" w:sz="0" w:space="0" w:color="auto"/>
                        <w:bottom w:val="none" w:sz="0" w:space="0" w:color="auto"/>
                        <w:right w:val="none" w:sz="0" w:space="0" w:color="auto"/>
                      </w:divBdr>
                    </w:div>
                    <w:div w:id="417868811">
                      <w:marLeft w:val="0"/>
                      <w:marRight w:val="0"/>
                      <w:marTop w:val="0"/>
                      <w:marBottom w:val="0"/>
                      <w:divBdr>
                        <w:top w:val="none" w:sz="0" w:space="0" w:color="auto"/>
                        <w:left w:val="none" w:sz="0" w:space="0" w:color="auto"/>
                        <w:bottom w:val="none" w:sz="0" w:space="0" w:color="auto"/>
                        <w:right w:val="none" w:sz="0" w:space="0" w:color="auto"/>
                      </w:divBdr>
                    </w:div>
                    <w:div w:id="729427837">
                      <w:marLeft w:val="0"/>
                      <w:marRight w:val="0"/>
                      <w:marTop w:val="0"/>
                      <w:marBottom w:val="0"/>
                      <w:divBdr>
                        <w:top w:val="none" w:sz="0" w:space="0" w:color="auto"/>
                        <w:left w:val="none" w:sz="0" w:space="0" w:color="auto"/>
                        <w:bottom w:val="none" w:sz="0" w:space="0" w:color="auto"/>
                        <w:right w:val="none" w:sz="0" w:space="0" w:color="auto"/>
                      </w:divBdr>
                    </w:div>
                    <w:div w:id="20119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1422">
              <w:marLeft w:val="0"/>
              <w:marRight w:val="0"/>
              <w:marTop w:val="0"/>
              <w:marBottom w:val="0"/>
              <w:divBdr>
                <w:top w:val="none" w:sz="0" w:space="0" w:color="auto"/>
                <w:left w:val="none" w:sz="0" w:space="0" w:color="auto"/>
                <w:bottom w:val="none" w:sz="0" w:space="0" w:color="auto"/>
                <w:right w:val="none" w:sz="0" w:space="0" w:color="auto"/>
              </w:divBdr>
              <w:divsChild>
                <w:div w:id="147015139">
                  <w:marLeft w:val="0"/>
                  <w:marRight w:val="0"/>
                  <w:marTop w:val="180"/>
                  <w:marBottom w:val="45"/>
                  <w:divBdr>
                    <w:top w:val="none" w:sz="0" w:space="0" w:color="auto"/>
                    <w:left w:val="none" w:sz="0" w:space="0" w:color="auto"/>
                    <w:bottom w:val="none" w:sz="0" w:space="0" w:color="auto"/>
                    <w:right w:val="none" w:sz="0" w:space="0" w:color="auto"/>
                  </w:divBdr>
                </w:div>
                <w:div w:id="1020158066">
                  <w:marLeft w:val="0"/>
                  <w:marRight w:val="0"/>
                  <w:marTop w:val="0"/>
                  <w:marBottom w:val="0"/>
                  <w:divBdr>
                    <w:top w:val="none" w:sz="0" w:space="0" w:color="auto"/>
                    <w:left w:val="none" w:sz="0" w:space="0" w:color="auto"/>
                    <w:bottom w:val="none" w:sz="0" w:space="0" w:color="auto"/>
                    <w:right w:val="none" w:sz="0" w:space="0" w:color="auto"/>
                  </w:divBdr>
                  <w:divsChild>
                    <w:div w:id="959994355">
                      <w:marLeft w:val="0"/>
                      <w:marRight w:val="0"/>
                      <w:marTop w:val="0"/>
                      <w:marBottom w:val="0"/>
                      <w:divBdr>
                        <w:top w:val="none" w:sz="0" w:space="0" w:color="auto"/>
                        <w:left w:val="none" w:sz="0" w:space="0" w:color="auto"/>
                        <w:bottom w:val="none" w:sz="0" w:space="0" w:color="auto"/>
                        <w:right w:val="none" w:sz="0" w:space="0" w:color="auto"/>
                      </w:divBdr>
                    </w:div>
                    <w:div w:id="1073549812">
                      <w:marLeft w:val="0"/>
                      <w:marRight w:val="0"/>
                      <w:marTop w:val="0"/>
                      <w:marBottom w:val="0"/>
                      <w:divBdr>
                        <w:top w:val="none" w:sz="0" w:space="0" w:color="auto"/>
                        <w:left w:val="none" w:sz="0" w:space="0" w:color="auto"/>
                        <w:bottom w:val="none" w:sz="0" w:space="0" w:color="auto"/>
                        <w:right w:val="none" w:sz="0" w:space="0" w:color="auto"/>
                      </w:divBdr>
                    </w:div>
                    <w:div w:id="1367950249">
                      <w:marLeft w:val="0"/>
                      <w:marRight w:val="0"/>
                      <w:marTop w:val="0"/>
                      <w:marBottom w:val="0"/>
                      <w:divBdr>
                        <w:top w:val="none" w:sz="0" w:space="0" w:color="auto"/>
                        <w:left w:val="none" w:sz="0" w:space="0" w:color="auto"/>
                        <w:bottom w:val="none" w:sz="0" w:space="0" w:color="auto"/>
                        <w:right w:val="none" w:sz="0" w:space="0" w:color="auto"/>
                      </w:divBdr>
                    </w:div>
                    <w:div w:id="1781531995">
                      <w:marLeft w:val="0"/>
                      <w:marRight w:val="0"/>
                      <w:marTop w:val="0"/>
                      <w:marBottom w:val="0"/>
                      <w:divBdr>
                        <w:top w:val="none" w:sz="0" w:space="0" w:color="auto"/>
                        <w:left w:val="none" w:sz="0" w:space="0" w:color="auto"/>
                        <w:bottom w:val="none" w:sz="0" w:space="0" w:color="auto"/>
                        <w:right w:val="none" w:sz="0" w:space="0" w:color="auto"/>
                      </w:divBdr>
                    </w:div>
                    <w:div w:id="1910995348">
                      <w:marLeft w:val="0"/>
                      <w:marRight w:val="0"/>
                      <w:marTop w:val="0"/>
                      <w:marBottom w:val="0"/>
                      <w:divBdr>
                        <w:top w:val="none" w:sz="0" w:space="0" w:color="auto"/>
                        <w:left w:val="none" w:sz="0" w:space="0" w:color="auto"/>
                        <w:bottom w:val="none" w:sz="0" w:space="0" w:color="auto"/>
                        <w:right w:val="none" w:sz="0" w:space="0" w:color="auto"/>
                      </w:divBdr>
                    </w:div>
                    <w:div w:id="20348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1990">
              <w:marLeft w:val="0"/>
              <w:marRight w:val="0"/>
              <w:marTop w:val="0"/>
              <w:marBottom w:val="0"/>
              <w:divBdr>
                <w:top w:val="none" w:sz="0" w:space="0" w:color="auto"/>
                <w:left w:val="none" w:sz="0" w:space="0" w:color="auto"/>
                <w:bottom w:val="none" w:sz="0" w:space="0" w:color="auto"/>
                <w:right w:val="none" w:sz="0" w:space="0" w:color="auto"/>
              </w:divBdr>
              <w:divsChild>
                <w:div w:id="1828158596">
                  <w:marLeft w:val="0"/>
                  <w:marRight w:val="0"/>
                  <w:marTop w:val="0"/>
                  <w:marBottom w:val="0"/>
                  <w:divBdr>
                    <w:top w:val="none" w:sz="0" w:space="0" w:color="auto"/>
                    <w:left w:val="none" w:sz="0" w:space="0" w:color="auto"/>
                    <w:bottom w:val="none" w:sz="0" w:space="0" w:color="auto"/>
                    <w:right w:val="none" w:sz="0" w:space="0" w:color="auto"/>
                  </w:divBdr>
                  <w:divsChild>
                    <w:div w:id="430012043">
                      <w:marLeft w:val="0"/>
                      <w:marRight w:val="0"/>
                      <w:marTop w:val="180"/>
                      <w:marBottom w:val="45"/>
                      <w:divBdr>
                        <w:top w:val="none" w:sz="0" w:space="0" w:color="auto"/>
                        <w:left w:val="none" w:sz="0" w:space="0" w:color="auto"/>
                        <w:bottom w:val="none" w:sz="0" w:space="0" w:color="auto"/>
                        <w:right w:val="none" w:sz="0" w:space="0" w:color="auto"/>
                      </w:divBdr>
                    </w:div>
                    <w:div w:id="12975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84">
              <w:marLeft w:val="0"/>
              <w:marRight w:val="0"/>
              <w:marTop w:val="180"/>
              <w:marBottom w:val="45"/>
              <w:divBdr>
                <w:top w:val="none" w:sz="0" w:space="0" w:color="auto"/>
                <w:left w:val="none" w:sz="0" w:space="0" w:color="auto"/>
                <w:bottom w:val="none" w:sz="0" w:space="0" w:color="auto"/>
                <w:right w:val="none" w:sz="0" w:space="0" w:color="auto"/>
              </w:divBdr>
            </w:div>
            <w:div w:id="622152715">
              <w:marLeft w:val="0"/>
              <w:marRight w:val="0"/>
              <w:marTop w:val="0"/>
              <w:marBottom w:val="0"/>
              <w:divBdr>
                <w:top w:val="none" w:sz="0" w:space="0" w:color="auto"/>
                <w:left w:val="none" w:sz="0" w:space="0" w:color="auto"/>
                <w:bottom w:val="none" w:sz="0" w:space="0" w:color="auto"/>
                <w:right w:val="none" w:sz="0" w:space="0" w:color="auto"/>
              </w:divBdr>
            </w:div>
            <w:div w:id="916746823">
              <w:marLeft w:val="0"/>
              <w:marRight w:val="0"/>
              <w:marTop w:val="180"/>
              <w:marBottom w:val="45"/>
              <w:divBdr>
                <w:top w:val="none" w:sz="0" w:space="0" w:color="auto"/>
                <w:left w:val="none" w:sz="0" w:space="0" w:color="auto"/>
                <w:bottom w:val="none" w:sz="0" w:space="0" w:color="auto"/>
                <w:right w:val="none" w:sz="0" w:space="0" w:color="auto"/>
              </w:divBdr>
            </w:div>
            <w:div w:id="928275158">
              <w:marLeft w:val="0"/>
              <w:marRight w:val="0"/>
              <w:marTop w:val="0"/>
              <w:marBottom w:val="0"/>
              <w:divBdr>
                <w:top w:val="none" w:sz="0" w:space="0" w:color="auto"/>
                <w:left w:val="none" w:sz="0" w:space="0" w:color="auto"/>
                <w:bottom w:val="none" w:sz="0" w:space="0" w:color="auto"/>
                <w:right w:val="none" w:sz="0" w:space="0" w:color="auto"/>
              </w:divBdr>
            </w:div>
            <w:div w:id="1403942103">
              <w:marLeft w:val="0"/>
              <w:marRight w:val="0"/>
              <w:marTop w:val="180"/>
              <w:marBottom w:val="45"/>
              <w:divBdr>
                <w:top w:val="none" w:sz="0" w:space="0" w:color="auto"/>
                <w:left w:val="none" w:sz="0" w:space="0" w:color="auto"/>
                <w:bottom w:val="none" w:sz="0" w:space="0" w:color="auto"/>
                <w:right w:val="none" w:sz="0" w:space="0" w:color="auto"/>
              </w:divBdr>
            </w:div>
            <w:div w:id="1425683553">
              <w:marLeft w:val="0"/>
              <w:marRight w:val="0"/>
              <w:marTop w:val="0"/>
              <w:marBottom w:val="0"/>
              <w:divBdr>
                <w:top w:val="none" w:sz="0" w:space="0" w:color="auto"/>
                <w:left w:val="none" w:sz="0" w:space="0" w:color="auto"/>
                <w:bottom w:val="none" w:sz="0" w:space="0" w:color="auto"/>
                <w:right w:val="none" w:sz="0" w:space="0" w:color="auto"/>
              </w:divBdr>
            </w:div>
            <w:div w:id="1905141548">
              <w:marLeft w:val="0"/>
              <w:marRight w:val="0"/>
              <w:marTop w:val="0"/>
              <w:marBottom w:val="0"/>
              <w:divBdr>
                <w:top w:val="none" w:sz="0" w:space="0" w:color="auto"/>
                <w:left w:val="none" w:sz="0" w:space="0" w:color="auto"/>
                <w:bottom w:val="none" w:sz="0" w:space="0" w:color="auto"/>
                <w:right w:val="none" w:sz="0" w:space="0" w:color="auto"/>
              </w:divBdr>
            </w:div>
            <w:div w:id="2093231168">
              <w:marLeft w:val="0"/>
              <w:marRight w:val="0"/>
              <w:marTop w:val="180"/>
              <w:marBottom w:val="45"/>
              <w:divBdr>
                <w:top w:val="none" w:sz="0" w:space="0" w:color="auto"/>
                <w:left w:val="none" w:sz="0" w:space="0" w:color="auto"/>
                <w:bottom w:val="none" w:sz="0" w:space="0" w:color="auto"/>
                <w:right w:val="none" w:sz="0" w:space="0" w:color="auto"/>
              </w:divBdr>
            </w:div>
          </w:divsChild>
        </w:div>
        <w:div w:id="737439588">
          <w:marLeft w:val="0"/>
          <w:marRight w:val="0"/>
          <w:marTop w:val="0"/>
          <w:marBottom w:val="0"/>
          <w:divBdr>
            <w:top w:val="none" w:sz="0" w:space="0" w:color="auto"/>
            <w:left w:val="none" w:sz="0" w:space="0" w:color="auto"/>
            <w:bottom w:val="none" w:sz="0" w:space="0" w:color="auto"/>
            <w:right w:val="none" w:sz="0" w:space="0" w:color="auto"/>
          </w:divBdr>
          <w:divsChild>
            <w:div w:id="1205755338">
              <w:marLeft w:val="0"/>
              <w:marRight w:val="0"/>
              <w:marTop w:val="0"/>
              <w:marBottom w:val="0"/>
              <w:divBdr>
                <w:top w:val="none" w:sz="0" w:space="0" w:color="auto"/>
                <w:left w:val="none" w:sz="0" w:space="0" w:color="auto"/>
                <w:bottom w:val="none" w:sz="0" w:space="0" w:color="auto"/>
                <w:right w:val="none" w:sz="0" w:space="0" w:color="auto"/>
              </w:divBdr>
              <w:divsChild>
                <w:div w:id="730619762">
                  <w:marLeft w:val="0"/>
                  <w:marRight w:val="0"/>
                  <w:marTop w:val="75"/>
                  <w:marBottom w:val="75"/>
                  <w:divBdr>
                    <w:top w:val="none" w:sz="0" w:space="0" w:color="auto"/>
                    <w:left w:val="none" w:sz="0" w:space="0" w:color="auto"/>
                    <w:bottom w:val="none" w:sz="0" w:space="0" w:color="auto"/>
                    <w:right w:val="none" w:sz="0" w:space="0" w:color="auto"/>
                  </w:divBdr>
                  <w:divsChild>
                    <w:div w:id="2033457718">
                      <w:marLeft w:val="0"/>
                      <w:marRight w:val="0"/>
                      <w:marTop w:val="0"/>
                      <w:marBottom w:val="0"/>
                      <w:divBdr>
                        <w:top w:val="none" w:sz="0" w:space="0" w:color="auto"/>
                        <w:left w:val="none" w:sz="0" w:space="0" w:color="auto"/>
                        <w:bottom w:val="none" w:sz="0" w:space="0" w:color="auto"/>
                        <w:right w:val="none" w:sz="0" w:space="0" w:color="auto"/>
                      </w:divBdr>
                    </w:div>
                    <w:div w:id="21134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9067">
          <w:marLeft w:val="0"/>
          <w:marRight w:val="0"/>
          <w:marTop w:val="0"/>
          <w:marBottom w:val="0"/>
          <w:divBdr>
            <w:top w:val="none" w:sz="0" w:space="0" w:color="auto"/>
            <w:left w:val="none" w:sz="0" w:space="0" w:color="auto"/>
            <w:bottom w:val="none" w:sz="0" w:space="0" w:color="auto"/>
            <w:right w:val="none" w:sz="0" w:space="0" w:color="auto"/>
          </w:divBdr>
          <w:divsChild>
            <w:div w:id="905607875">
              <w:marLeft w:val="0"/>
              <w:marRight w:val="0"/>
              <w:marTop w:val="0"/>
              <w:marBottom w:val="0"/>
              <w:divBdr>
                <w:top w:val="none" w:sz="0" w:space="0" w:color="auto"/>
                <w:left w:val="none" w:sz="0" w:space="0" w:color="auto"/>
                <w:bottom w:val="none" w:sz="0" w:space="0" w:color="auto"/>
                <w:right w:val="none" w:sz="0" w:space="0" w:color="auto"/>
              </w:divBdr>
              <w:divsChild>
                <w:div w:id="1998026341">
                  <w:marLeft w:val="0"/>
                  <w:marRight w:val="0"/>
                  <w:marTop w:val="75"/>
                  <w:marBottom w:val="75"/>
                  <w:divBdr>
                    <w:top w:val="none" w:sz="0" w:space="0" w:color="auto"/>
                    <w:left w:val="none" w:sz="0" w:space="0" w:color="auto"/>
                    <w:bottom w:val="none" w:sz="0" w:space="0" w:color="auto"/>
                    <w:right w:val="none" w:sz="0" w:space="0" w:color="auto"/>
                  </w:divBdr>
                  <w:divsChild>
                    <w:div w:id="490489300">
                      <w:marLeft w:val="0"/>
                      <w:marRight w:val="0"/>
                      <w:marTop w:val="0"/>
                      <w:marBottom w:val="0"/>
                      <w:divBdr>
                        <w:top w:val="none" w:sz="0" w:space="0" w:color="auto"/>
                        <w:left w:val="none" w:sz="0" w:space="0" w:color="auto"/>
                        <w:bottom w:val="none" w:sz="0" w:space="0" w:color="auto"/>
                        <w:right w:val="none" w:sz="0" w:space="0" w:color="auto"/>
                      </w:divBdr>
                    </w:div>
                    <w:div w:id="9188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2348">
          <w:marLeft w:val="0"/>
          <w:marRight w:val="0"/>
          <w:marTop w:val="0"/>
          <w:marBottom w:val="0"/>
          <w:divBdr>
            <w:top w:val="none" w:sz="0" w:space="0" w:color="auto"/>
            <w:left w:val="none" w:sz="0" w:space="0" w:color="auto"/>
            <w:bottom w:val="none" w:sz="0" w:space="0" w:color="auto"/>
            <w:right w:val="none" w:sz="0" w:space="0" w:color="auto"/>
          </w:divBdr>
        </w:div>
        <w:div w:id="967668107">
          <w:marLeft w:val="0"/>
          <w:marRight w:val="0"/>
          <w:marTop w:val="0"/>
          <w:marBottom w:val="0"/>
          <w:divBdr>
            <w:top w:val="none" w:sz="0" w:space="0" w:color="auto"/>
            <w:left w:val="none" w:sz="0" w:space="0" w:color="auto"/>
            <w:bottom w:val="none" w:sz="0" w:space="0" w:color="auto"/>
            <w:right w:val="none" w:sz="0" w:space="0" w:color="auto"/>
          </w:divBdr>
        </w:div>
        <w:div w:id="1168861444">
          <w:marLeft w:val="0"/>
          <w:marRight w:val="0"/>
          <w:marTop w:val="0"/>
          <w:marBottom w:val="0"/>
          <w:divBdr>
            <w:top w:val="none" w:sz="0" w:space="0" w:color="auto"/>
            <w:left w:val="none" w:sz="0" w:space="0" w:color="auto"/>
            <w:bottom w:val="none" w:sz="0" w:space="0" w:color="auto"/>
            <w:right w:val="none" w:sz="0" w:space="0" w:color="auto"/>
          </w:divBdr>
          <w:divsChild>
            <w:div w:id="1445689561">
              <w:marLeft w:val="0"/>
              <w:marRight w:val="0"/>
              <w:marTop w:val="0"/>
              <w:marBottom w:val="0"/>
              <w:divBdr>
                <w:top w:val="none" w:sz="0" w:space="0" w:color="auto"/>
                <w:left w:val="none" w:sz="0" w:space="0" w:color="auto"/>
                <w:bottom w:val="none" w:sz="0" w:space="0" w:color="auto"/>
                <w:right w:val="none" w:sz="0" w:space="0" w:color="auto"/>
              </w:divBdr>
              <w:divsChild>
                <w:div w:id="1905556267">
                  <w:marLeft w:val="0"/>
                  <w:marRight w:val="0"/>
                  <w:marTop w:val="75"/>
                  <w:marBottom w:val="75"/>
                  <w:divBdr>
                    <w:top w:val="none" w:sz="0" w:space="0" w:color="auto"/>
                    <w:left w:val="none" w:sz="0" w:space="0" w:color="auto"/>
                    <w:bottom w:val="none" w:sz="0" w:space="0" w:color="auto"/>
                    <w:right w:val="none" w:sz="0" w:space="0" w:color="auto"/>
                  </w:divBdr>
                  <w:divsChild>
                    <w:div w:id="875504605">
                      <w:marLeft w:val="0"/>
                      <w:marRight w:val="0"/>
                      <w:marTop w:val="0"/>
                      <w:marBottom w:val="0"/>
                      <w:divBdr>
                        <w:top w:val="none" w:sz="0" w:space="0" w:color="auto"/>
                        <w:left w:val="none" w:sz="0" w:space="0" w:color="auto"/>
                        <w:bottom w:val="none" w:sz="0" w:space="0" w:color="auto"/>
                        <w:right w:val="none" w:sz="0" w:space="0" w:color="auto"/>
                      </w:divBdr>
                    </w:div>
                    <w:div w:id="1418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415">
          <w:marLeft w:val="0"/>
          <w:marRight w:val="0"/>
          <w:marTop w:val="0"/>
          <w:marBottom w:val="0"/>
          <w:divBdr>
            <w:top w:val="none" w:sz="0" w:space="0" w:color="auto"/>
            <w:left w:val="none" w:sz="0" w:space="0" w:color="auto"/>
            <w:bottom w:val="none" w:sz="0" w:space="0" w:color="auto"/>
            <w:right w:val="none" w:sz="0" w:space="0" w:color="auto"/>
          </w:divBdr>
          <w:divsChild>
            <w:div w:id="187715435">
              <w:marLeft w:val="0"/>
              <w:marRight w:val="0"/>
              <w:marTop w:val="0"/>
              <w:marBottom w:val="0"/>
              <w:divBdr>
                <w:top w:val="none" w:sz="0" w:space="0" w:color="auto"/>
                <w:left w:val="none" w:sz="0" w:space="0" w:color="auto"/>
                <w:bottom w:val="none" w:sz="0" w:space="0" w:color="auto"/>
                <w:right w:val="none" w:sz="0" w:space="0" w:color="auto"/>
              </w:divBdr>
              <w:divsChild>
                <w:div w:id="590511607">
                  <w:marLeft w:val="0"/>
                  <w:marRight w:val="0"/>
                  <w:marTop w:val="75"/>
                  <w:marBottom w:val="75"/>
                  <w:divBdr>
                    <w:top w:val="none" w:sz="0" w:space="0" w:color="auto"/>
                    <w:left w:val="none" w:sz="0" w:space="0" w:color="auto"/>
                    <w:bottom w:val="none" w:sz="0" w:space="0" w:color="auto"/>
                    <w:right w:val="none" w:sz="0" w:space="0" w:color="auto"/>
                  </w:divBdr>
                  <w:divsChild>
                    <w:div w:id="730688620">
                      <w:marLeft w:val="0"/>
                      <w:marRight w:val="0"/>
                      <w:marTop w:val="0"/>
                      <w:marBottom w:val="0"/>
                      <w:divBdr>
                        <w:top w:val="none" w:sz="0" w:space="0" w:color="auto"/>
                        <w:left w:val="none" w:sz="0" w:space="0" w:color="auto"/>
                        <w:bottom w:val="none" w:sz="0" w:space="0" w:color="auto"/>
                        <w:right w:val="none" w:sz="0" w:space="0" w:color="auto"/>
                      </w:divBdr>
                    </w:div>
                    <w:div w:id="1778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0876">
          <w:marLeft w:val="0"/>
          <w:marRight w:val="0"/>
          <w:marTop w:val="0"/>
          <w:marBottom w:val="0"/>
          <w:divBdr>
            <w:top w:val="none" w:sz="0" w:space="0" w:color="auto"/>
            <w:left w:val="none" w:sz="0" w:space="0" w:color="auto"/>
            <w:bottom w:val="none" w:sz="0" w:space="0" w:color="auto"/>
            <w:right w:val="none" w:sz="0" w:space="0" w:color="auto"/>
          </w:divBdr>
        </w:div>
        <w:div w:id="2001496271">
          <w:marLeft w:val="0"/>
          <w:marRight w:val="0"/>
          <w:marTop w:val="0"/>
          <w:marBottom w:val="0"/>
          <w:divBdr>
            <w:top w:val="none" w:sz="0" w:space="0" w:color="auto"/>
            <w:left w:val="none" w:sz="0" w:space="0" w:color="auto"/>
            <w:bottom w:val="none" w:sz="0" w:space="0" w:color="auto"/>
            <w:right w:val="none" w:sz="0" w:space="0" w:color="auto"/>
          </w:divBdr>
        </w:div>
      </w:divsChild>
    </w:div>
    <w:div w:id="1928032407">
      <w:bodyDiv w:val="1"/>
      <w:marLeft w:val="0"/>
      <w:marRight w:val="0"/>
      <w:marTop w:val="0"/>
      <w:marBottom w:val="0"/>
      <w:divBdr>
        <w:top w:val="none" w:sz="0" w:space="0" w:color="auto"/>
        <w:left w:val="none" w:sz="0" w:space="0" w:color="auto"/>
        <w:bottom w:val="none" w:sz="0" w:space="0" w:color="auto"/>
        <w:right w:val="none" w:sz="0" w:space="0" w:color="auto"/>
      </w:divBdr>
      <w:divsChild>
        <w:div w:id="364214224">
          <w:marLeft w:val="0"/>
          <w:marRight w:val="0"/>
          <w:marTop w:val="0"/>
          <w:marBottom w:val="0"/>
          <w:divBdr>
            <w:top w:val="none" w:sz="0" w:space="0" w:color="auto"/>
            <w:left w:val="none" w:sz="0" w:space="0" w:color="auto"/>
            <w:bottom w:val="none" w:sz="0" w:space="0" w:color="auto"/>
            <w:right w:val="none" w:sz="0" w:space="0" w:color="auto"/>
          </w:divBdr>
        </w:div>
        <w:div w:id="601454079">
          <w:marLeft w:val="0"/>
          <w:marRight w:val="0"/>
          <w:marTop w:val="0"/>
          <w:marBottom w:val="0"/>
          <w:divBdr>
            <w:top w:val="none" w:sz="0" w:space="0" w:color="auto"/>
            <w:left w:val="none" w:sz="0" w:space="0" w:color="auto"/>
            <w:bottom w:val="none" w:sz="0" w:space="0" w:color="auto"/>
            <w:right w:val="none" w:sz="0" w:space="0" w:color="auto"/>
          </w:divBdr>
        </w:div>
        <w:div w:id="1090197776">
          <w:marLeft w:val="0"/>
          <w:marRight w:val="0"/>
          <w:marTop w:val="0"/>
          <w:marBottom w:val="0"/>
          <w:divBdr>
            <w:top w:val="none" w:sz="0" w:space="0" w:color="auto"/>
            <w:left w:val="none" w:sz="0" w:space="0" w:color="auto"/>
            <w:bottom w:val="none" w:sz="0" w:space="0" w:color="auto"/>
            <w:right w:val="none" w:sz="0" w:space="0" w:color="auto"/>
          </w:divBdr>
        </w:div>
        <w:div w:id="1503740267">
          <w:marLeft w:val="0"/>
          <w:marRight w:val="0"/>
          <w:marTop w:val="0"/>
          <w:marBottom w:val="0"/>
          <w:divBdr>
            <w:top w:val="none" w:sz="0" w:space="0" w:color="auto"/>
            <w:left w:val="none" w:sz="0" w:space="0" w:color="auto"/>
            <w:bottom w:val="none" w:sz="0" w:space="0" w:color="auto"/>
            <w:right w:val="none" w:sz="0" w:space="0" w:color="auto"/>
          </w:divBdr>
        </w:div>
        <w:div w:id="1795908187">
          <w:marLeft w:val="0"/>
          <w:marRight w:val="0"/>
          <w:marTop w:val="0"/>
          <w:marBottom w:val="0"/>
          <w:divBdr>
            <w:top w:val="none" w:sz="0" w:space="0" w:color="auto"/>
            <w:left w:val="none" w:sz="0" w:space="0" w:color="auto"/>
            <w:bottom w:val="none" w:sz="0" w:space="0" w:color="auto"/>
            <w:right w:val="none" w:sz="0" w:space="0" w:color="auto"/>
          </w:divBdr>
        </w:div>
      </w:divsChild>
    </w:div>
    <w:div w:id="1948076209">
      <w:bodyDiv w:val="1"/>
      <w:marLeft w:val="0"/>
      <w:marRight w:val="0"/>
      <w:marTop w:val="0"/>
      <w:marBottom w:val="0"/>
      <w:divBdr>
        <w:top w:val="none" w:sz="0" w:space="0" w:color="auto"/>
        <w:left w:val="none" w:sz="0" w:space="0" w:color="auto"/>
        <w:bottom w:val="none" w:sz="0" w:space="0" w:color="auto"/>
        <w:right w:val="none" w:sz="0" w:space="0" w:color="auto"/>
      </w:divBdr>
    </w:div>
    <w:div w:id="1948194104">
      <w:bodyDiv w:val="1"/>
      <w:marLeft w:val="0"/>
      <w:marRight w:val="0"/>
      <w:marTop w:val="0"/>
      <w:marBottom w:val="0"/>
      <w:divBdr>
        <w:top w:val="none" w:sz="0" w:space="0" w:color="auto"/>
        <w:left w:val="none" w:sz="0" w:space="0" w:color="auto"/>
        <w:bottom w:val="none" w:sz="0" w:space="0" w:color="auto"/>
        <w:right w:val="none" w:sz="0" w:space="0" w:color="auto"/>
      </w:divBdr>
    </w:div>
    <w:div w:id="1956058153">
      <w:bodyDiv w:val="1"/>
      <w:marLeft w:val="0"/>
      <w:marRight w:val="0"/>
      <w:marTop w:val="0"/>
      <w:marBottom w:val="0"/>
      <w:divBdr>
        <w:top w:val="none" w:sz="0" w:space="0" w:color="auto"/>
        <w:left w:val="none" w:sz="0" w:space="0" w:color="auto"/>
        <w:bottom w:val="none" w:sz="0" w:space="0" w:color="auto"/>
        <w:right w:val="none" w:sz="0" w:space="0" w:color="auto"/>
      </w:divBdr>
    </w:div>
    <w:div w:id="1986813640">
      <w:bodyDiv w:val="1"/>
      <w:marLeft w:val="0"/>
      <w:marRight w:val="0"/>
      <w:marTop w:val="0"/>
      <w:marBottom w:val="0"/>
      <w:divBdr>
        <w:top w:val="none" w:sz="0" w:space="0" w:color="auto"/>
        <w:left w:val="none" w:sz="0" w:space="0" w:color="auto"/>
        <w:bottom w:val="none" w:sz="0" w:space="0" w:color="auto"/>
        <w:right w:val="none" w:sz="0" w:space="0" w:color="auto"/>
      </w:divBdr>
    </w:div>
    <w:div w:id="1996912876">
      <w:bodyDiv w:val="1"/>
      <w:marLeft w:val="0"/>
      <w:marRight w:val="0"/>
      <w:marTop w:val="0"/>
      <w:marBottom w:val="0"/>
      <w:divBdr>
        <w:top w:val="none" w:sz="0" w:space="0" w:color="auto"/>
        <w:left w:val="none" w:sz="0" w:space="0" w:color="auto"/>
        <w:bottom w:val="none" w:sz="0" w:space="0" w:color="auto"/>
        <w:right w:val="none" w:sz="0" w:space="0" w:color="auto"/>
      </w:divBdr>
    </w:div>
    <w:div w:id="2036735426">
      <w:bodyDiv w:val="1"/>
      <w:marLeft w:val="0"/>
      <w:marRight w:val="0"/>
      <w:marTop w:val="0"/>
      <w:marBottom w:val="0"/>
      <w:divBdr>
        <w:top w:val="none" w:sz="0" w:space="0" w:color="auto"/>
        <w:left w:val="none" w:sz="0" w:space="0" w:color="auto"/>
        <w:bottom w:val="none" w:sz="0" w:space="0" w:color="auto"/>
        <w:right w:val="none" w:sz="0" w:space="0" w:color="auto"/>
      </w:divBdr>
    </w:div>
    <w:div w:id="2039239287">
      <w:bodyDiv w:val="1"/>
      <w:marLeft w:val="0"/>
      <w:marRight w:val="0"/>
      <w:marTop w:val="0"/>
      <w:marBottom w:val="0"/>
      <w:divBdr>
        <w:top w:val="none" w:sz="0" w:space="0" w:color="auto"/>
        <w:left w:val="none" w:sz="0" w:space="0" w:color="auto"/>
        <w:bottom w:val="none" w:sz="0" w:space="0" w:color="auto"/>
        <w:right w:val="none" w:sz="0" w:space="0" w:color="auto"/>
      </w:divBdr>
    </w:div>
    <w:div w:id="2107994476">
      <w:bodyDiv w:val="1"/>
      <w:marLeft w:val="0"/>
      <w:marRight w:val="0"/>
      <w:marTop w:val="0"/>
      <w:marBottom w:val="0"/>
      <w:divBdr>
        <w:top w:val="none" w:sz="0" w:space="0" w:color="auto"/>
        <w:left w:val="none" w:sz="0" w:space="0" w:color="auto"/>
        <w:bottom w:val="none" w:sz="0" w:space="0" w:color="auto"/>
        <w:right w:val="none" w:sz="0" w:space="0" w:color="auto"/>
      </w:divBdr>
    </w:div>
    <w:div w:id="2113430332">
      <w:bodyDiv w:val="1"/>
      <w:marLeft w:val="0"/>
      <w:marRight w:val="0"/>
      <w:marTop w:val="0"/>
      <w:marBottom w:val="0"/>
      <w:divBdr>
        <w:top w:val="none" w:sz="0" w:space="0" w:color="auto"/>
        <w:left w:val="none" w:sz="0" w:space="0" w:color="auto"/>
        <w:bottom w:val="none" w:sz="0" w:space="0" w:color="auto"/>
        <w:right w:val="none" w:sz="0" w:space="0" w:color="auto"/>
      </w:divBdr>
    </w:div>
    <w:div w:id="2120709915">
      <w:bodyDiv w:val="1"/>
      <w:marLeft w:val="0"/>
      <w:marRight w:val="0"/>
      <w:marTop w:val="0"/>
      <w:marBottom w:val="0"/>
      <w:divBdr>
        <w:top w:val="none" w:sz="0" w:space="0" w:color="auto"/>
        <w:left w:val="none" w:sz="0" w:space="0" w:color="auto"/>
        <w:bottom w:val="none" w:sz="0" w:space="0" w:color="auto"/>
        <w:right w:val="none" w:sz="0" w:space="0" w:color="auto"/>
      </w:divBdr>
    </w:div>
    <w:div w:id="21247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rwe.jnj.com/index" TargetMode="External"/><Relationship Id="rId18" Type="http://schemas.openxmlformats.org/officeDocument/2006/relationships/hyperlink" Target="https://epi.jnj.com/atlas/" TargetMode="External"/><Relationship Id="rId26" Type="http://schemas.openxmlformats.org/officeDocument/2006/relationships/hyperlink" Target="https://epi.jnj.com/atlas/" TargetMode="External"/><Relationship Id="rId39" Type="http://schemas.openxmlformats.org/officeDocument/2006/relationships/hyperlink" Target="https://epi.jnj.com/atlas/" TargetMode="External"/><Relationship Id="rId3" Type="http://schemas.openxmlformats.org/officeDocument/2006/relationships/customXml" Target="../customXml/item3.xml"/><Relationship Id="rId21" Type="http://schemas.openxmlformats.org/officeDocument/2006/relationships/hyperlink" Target="https://epi.jnj.com/atlas/" TargetMode="External"/><Relationship Id="rId34" Type="http://schemas.openxmlformats.org/officeDocument/2006/relationships/hyperlink" Target="https://epi.jnj.com/atlas/" TargetMode="External"/><Relationship Id="rId42" Type="http://schemas.openxmlformats.org/officeDocument/2006/relationships/hyperlink" Target="http://www.encepp.eu/" TargetMode="External"/><Relationship Id="rId47" Type="http://schemas.openxmlformats.org/officeDocument/2006/relationships/hyperlink" Target="http://cancermpact.khapps.com/" TargetMode="External"/><Relationship Id="rId50"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github.com/OHDSI/ETL-CDMBuilder" TargetMode="External"/><Relationship Id="rId17" Type="http://schemas.openxmlformats.org/officeDocument/2006/relationships/hyperlink" Target="https://epi.jnj.com/atlas/" TargetMode="External"/><Relationship Id="rId25" Type="http://schemas.openxmlformats.org/officeDocument/2006/relationships/hyperlink" Target="https://epi.jnj.com/atlas/" TargetMode="External"/><Relationship Id="rId33" Type="http://schemas.openxmlformats.org/officeDocument/2006/relationships/hyperlink" Target="https://epi.jnj.com/atlas/" TargetMode="External"/><Relationship Id="rId38" Type="http://schemas.openxmlformats.org/officeDocument/2006/relationships/hyperlink" Target="https://epi.jnj.com/atlas/" TargetMode="External"/><Relationship Id="rId46" Type="http://schemas.openxmlformats.org/officeDocument/2006/relationships/hyperlink" Target="http://gco.iarc.fr/today/home" TargetMode="External"/><Relationship Id="rId2" Type="http://schemas.openxmlformats.org/officeDocument/2006/relationships/customXml" Target="../customXml/item2.xml"/><Relationship Id="rId16" Type="http://schemas.openxmlformats.org/officeDocument/2006/relationships/hyperlink" Target="https://epi.jnj.com/atlas/" TargetMode="External"/><Relationship Id="rId20" Type="http://schemas.openxmlformats.org/officeDocument/2006/relationships/hyperlink" Target="https://epi.jnj.com/atlas/" TargetMode="External"/><Relationship Id="rId29" Type="http://schemas.openxmlformats.org/officeDocument/2006/relationships/hyperlink" Target="https://epi.jnj.com/atlas/" TargetMode="External"/><Relationship Id="rId41" Type="http://schemas.openxmlformats.org/officeDocument/2006/relationships/hyperlink" Target="http://www.clinicaltrials.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pi.jnj.com/atlas/" TargetMode="External"/><Relationship Id="rId32" Type="http://schemas.openxmlformats.org/officeDocument/2006/relationships/hyperlink" Target="https://epi.jnj.com/atlas/" TargetMode="External"/><Relationship Id="rId37" Type="http://schemas.openxmlformats.org/officeDocument/2006/relationships/hyperlink" Target="https://epi.jnj.com/atlas/" TargetMode="External"/><Relationship Id="rId40" Type="http://schemas.openxmlformats.org/officeDocument/2006/relationships/hyperlink" Target="https://sharedshiny.jnj.com/user/mconove1/EPI720_3/" TargetMode="External"/><Relationship Id="rId45" Type="http://schemas.openxmlformats.org/officeDocument/2006/relationships/hyperlink" Target="http://www.ancr.nu"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catalog.rwe.jnj.com/index" TargetMode="External"/><Relationship Id="rId23" Type="http://schemas.openxmlformats.org/officeDocument/2006/relationships/hyperlink" Target="https://epi.jnj.com/atlas/" TargetMode="External"/><Relationship Id="rId28" Type="http://schemas.openxmlformats.org/officeDocument/2006/relationships/hyperlink" Target="https://epi.jnj.com/atlas/" TargetMode="External"/><Relationship Id="rId36" Type="http://schemas.openxmlformats.org/officeDocument/2006/relationships/hyperlink" Target="https://epi.jnj.com/atlas/" TargetMode="External"/><Relationship Id="rId49" Type="http://schemas.openxmlformats.org/officeDocument/2006/relationships/hyperlink" Target="https://seer.cancer.gov/statfacts/html/prost.html" TargetMode="External"/><Relationship Id="rId10" Type="http://schemas.openxmlformats.org/officeDocument/2006/relationships/footnotes" Target="footnotes.xml"/><Relationship Id="rId19" Type="http://schemas.openxmlformats.org/officeDocument/2006/relationships/hyperlink" Target="https://epi.jnj.com/atlas/" TargetMode="External"/><Relationship Id="rId31" Type="http://schemas.openxmlformats.org/officeDocument/2006/relationships/hyperlink" Target="https://epi.jnj.com/atlas/" TargetMode="External"/><Relationship Id="rId44" Type="http://schemas.openxmlformats.org/officeDocument/2006/relationships/hyperlink" Target="https://sharedshiny.jnj.com/user/mconove1/EPI720_3/"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atalog.rwe.jnj.com/index" TargetMode="External"/><Relationship Id="rId22" Type="http://schemas.openxmlformats.org/officeDocument/2006/relationships/hyperlink" Target="https://epi.jnj.com/atlas/" TargetMode="External"/><Relationship Id="rId27" Type="http://schemas.openxmlformats.org/officeDocument/2006/relationships/hyperlink" Target="https://epi.jnj.com/atlas/" TargetMode="External"/><Relationship Id="rId30" Type="http://schemas.openxmlformats.org/officeDocument/2006/relationships/hyperlink" Target="https://epi.jnj.com/atlas/" TargetMode="External"/><Relationship Id="rId35" Type="http://schemas.openxmlformats.org/officeDocument/2006/relationships/hyperlink" Target="https://epi.jnj.com/atlas/" TargetMode="External"/><Relationship Id="rId43" Type="http://schemas.openxmlformats.org/officeDocument/2006/relationships/hyperlink" Target="https://epi.jnj.com/atlas/" TargetMode="External"/><Relationship Id="rId48" Type="http://schemas.openxmlformats.org/officeDocument/2006/relationships/hyperlink" Target="https://seer.cancer.gov/csr/1975_2015/" TargetMode="External"/><Relationship Id="rId8" Type="http://schemas.openxmlformats.org/officeDocument/2006/relationships/settings" Target="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11846341E584D8BC5976E323482C8" ma:contentTypeVersion="5" ma:contentTypeDescription="Create a new document." ma:contentTypeScope="" ma:versionID="ecbb46fa3b68b5f4e13382c489a483c1">
  <xsd:schema xmlns:xsd="http://www.w3.org/2001/XMLSchema" xmlns:xs="http://www.w3.org/2001/XMLSchema" xmlns:p="http://schemas.microsoft.com/office/2006/metadata/properties" xmlns:ns3="4a827b70-f53a-480a-9efc-97fcb60c4e80" targetNamespace="http://schemas.microsoft.com/office/2006/metadata/properties" ma:root="true" ma:fieldsID="bf0b7280fa7c175b20232a47ef1b9338" ns3:_="">
    <xsd:import namespace="4a827b70-f53a-480a-9efc-97fcb60c4e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27b70-f53a-480a-9efc-97fcb60c4e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ocumentManagement>
</p:properties>
</file>

<file path=customXml/item3.xml><?xml version="1.0" encoding="utf-8"?>
<root>
  <PrimaryCompoundNo/>
  <Generic/>
  <Status/>
  <ReportType/>
  <ProtocolNumber/>
  <DocumentDate>Click here to enter a date.</DocumentDate>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91EF2FFB-1DD9-441B-8FFF-13201EC7B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27b70-f53a-480a-9efc-97fcb60c4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045718-1EA2-4D08-9A8B-542499320920}">
  <ds:schemaRefs>
    <ds:schemaRef ds:uri="http://purl.org/dc/terms/"/>
    <ds:schemaRef ds:uri="http://schemas.openxmlformats.org/package/2006/metadata/core-properties"/>
    <ds:schemaRef ds:uri="http://schemas.microsoft.com/office/2006/documentManagement/types"/>
    <ds:schemaRef ds:uri="4a827b70-f53a-480a-9efc-97fcb60c4e80"/>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15E9B28-5AF7-442E-A87D-865D6BBF3CA7}">
  <ds:schemaRefs/>
</ds:datastoreItem>
</file>

<file path=customXml/itemProps4.xml><?xml version="1.0" encoding="utf-8"?>
<ds:datastoreItem xmlns:ds="http://schemas.openxmlformats.org/officeDocument/2006/customXml" ds:itemID="{BBDDCB45-340F-4439-B3F7-CE8AED30039B}">
  <ds:schemaRefs>
    <ds:schemaRef ds:uri="http://schemas.microsoft.com/sharepoint/v3/contenttype/forms"/>
  </ds:schemaRefs>
</ds:datastoreItem>
</file>

<file path=customXml/itemProps5.xml><?xml version="1.0" encoding="utf-8"?>
<ds:datastoreItem xmlns:ds="http://schemas.openxmlformats.org/officeDocument/2006/customXml" ds:itemID="{0D25AA59-4E75-4EB3-A8C1-4B951D00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11256</Words>
  <Characters>82557</Characters>
  <Application>Microsoft Office Word</Application>
  <DocSecurity>0</DocSecurity>
  <Lines>687</Lines>
  <Paragraphs>187</Paragraphs>
  <ScaleCrop>false</ScaleCrop>
  <HeadingPairs>
    <vt:vector size="2" baseType="variant">
      <vt:variant>
        <vt:lpstr>Title</vt:lpstr>
      </vt:variant>
      <vt:variant>
        <vt:i4>1</vt:i4>
      </vt:variant>
    </vt:vector>
  </HeadingPairs>
  <TitlesOfParts>
    <vt:vector size="1" baseType="lpstr">
      <vt:lpstr>Protocol for Retrospective Observational Studies with Secondary Use of Data</vt:lpstr>
    </vt:vector>
  </TitlesOfParts>
  <Company>JRD</Company>
  <LinksUpToDate>false</LinksUpToDate>
  <CharactersWithSpaces>93626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Retrospective Observational Studies with Secondary Use of Data</dc:title>
  <dc:subject>Template Version 8.0 - 22 July 2019</dc:subject>
  <dc:creator>Lori Horne</dc:creator>
  <cp:keywords/>
  <dc:description/>
  <cp:lastModifiedBy>Conover, Mitchell [JRDUS]</cp:lastModifiedBy>
  <cp:revision>7</cp:revision>
  <cp:lastPrinted>2006-08-03T20:01:00Z</cp:lastPrinted>
  <dcterms:created xsi:type="dcterms:W3CDTF">2020-05-11T19:24:00Z</dcterms:created>
  <dcterms:modified xsi:type="dcterms:W3CDTF">2020-05-12T13:05:00Z</dcterms:modified>
  <cp:category>With ERIS styles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0x010100D6111846341E584D8BC5976E323482C8</vt:lpwstr>
  </property>
</Properties>
</file>