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Patient baseline characteristics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Optum (keep all) /  1:100 variable ratio matching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Users of abiraterone + prednisone with CRPC vs. Users of enzalutamide with CRPC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Ischemic stroke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73"/>
        <w:tblLook w:firstRow="1" w:lastRow="0" w:firstColumn="0" w:lastColumn="0" w:noHBand="0" w:noVBand="1"/>
      </w:tblPr>
      <w:tblGrid>
        <w:gridCol w:w="3348"/>
        <w:gridCol w:w="2358"/>
        <w:gridCol w:w="2081"/>
        <w:gridCol w:w="674"/>
        <w:gridCol w:w="2358"/>
        <w:gridCol w:w="2081"/>
        <w:gridCol w:w="674"/>
      </w:tblGrid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matching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matching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64.7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36.0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63.9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37.9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23.7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23.1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54.1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Optum (keep all) /  1:100 variable ratio matching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Users of abiraterone + prednisone with CRPC vs. Users of enzalutamide with CRPC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Heart failure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73"/>
        <w:tblLook w:firstRow="1" w:lastRow="0" w:firstColumn="0" w:lastColumn="0" w:noHBand="0" w:noVBand="1"/>
      </w:tblPr>
      <w:tblGrid>
        <w:gridCol w:w="3348"/>
        <w:gridCol w:w="2358"/>
        <w:gridCol w:w="2081"/>
        <w:gridCol w:w="674"/>
        <w:gridCol w:w="2358"/>
        <w:gridCol w:w="2081"/>
        <w:gridCol w:w="674"/>
      </w:tblGrid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matching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matching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64.7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37.8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23.7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44.7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36.0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48.8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48.4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62.3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23.1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54.1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Optum (keep all) /  1:100 variable ratio matching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Users of abiraterone + prednisone with CRPC vs. Users of enzalutamide with CRPC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Acute myocardial infarction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73"/>
        <w:tblLook w:firstRow="1" w:lastRow="0" w:firstColumn="0" w:lastColumn="0" w:noHBand="0" w:noVBand="1"/>
      </w:tblPr>
      <w:tblGrid>
        <w:gridCol w:w="3348"/>
        <w:gridCol w:w="2358"/>
        <w:gridCol w:w="2081"/>
        <w:gridCol w:w="674"/>
        <w:gridCol w:w="2358"/>
        <w:gridCol w:w="2081"/>
        <w:gridCol w:w="674"/>
      </w:tblGrid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matching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matching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18.9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64.7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72.2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3.9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38.8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-0.1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46.8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7.2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36.0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19.4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65.5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63.9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63.7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39.7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37.2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36.7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21.7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26.1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54.1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33.5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2020-09-18T13:40:53Z</dcterms:modified>
  <cp:category/>
</cp:coreProperties>
</file>