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vestigators"/>
    <w:p>
      <w:pPr>
        <w:pStyle w:val="Heading1"/>
      </w:pPr>
      <w:r>
        <w:rPr>
          <w:rStyle w:val="SectionNumber"/>
        </w:rPr>
        <w:t xml:space="preserve">1</w:t>
      </w:r>
      <w:r>
        <w:tab/>
      </w:r>
      <w:r>
        <w:t xml:space="preserve">Investigators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Investigator</w:t>
            </w:r>
          </w:p>
        </w:tc>
        <w:tc>
          <w:tcPr/>
          <w:p>
            <w:pPr>
              <w:pStyle w:val="Compact"/>
              <w:jc w:val="left"/>
            </w:pPr>
            <w:r>
              <w:t xml:space="preserve">Contact</w:t>
            </w:r>
          </w:p>
        </w:tc>
      </w:tr>
      <w:tr>
        <w:tc>
          <w:tcPr/>
          <w:p>
            <w:pPr>
              <w:pStyle w:val="Compact"/>
              <w:jc w:val="left"/>
            </w:pPr>
            <w:r>
              <w:t xml:space="preserve">James Weaver</w:t>
            </w:r>
            <w:r>
              <w:t xml:space="preserve"> </w:t>
            </w:r>
            <w:r>
              <w:rPr>
                <w:vertAlign w:val="superscript"/>
              </w:rPr>
              <w:t xml:space="preserve">1,2,3</w:t>
            </w:r>
          </w:p>
        </w:tc>
        <w:tc>
          <w:tcPr/>
          <w:p>
            <w:pPr>
              <w:pStyle w:val="Compact"/>
              <w:jc w:val="left"/>
            </w:pPr>
            <w:hyperlink r:id="rId20">
              <w:r>
                <w:rPr>
                  <w:rStyle w:val="Hyperlink"/>
                </w:rPr>
                <w:t xml:space="preserve">james.weaver@ndorms.ox.ac.uk</w:t>
              </w:r>
            </w:hyperlink>
          </w:p>
        </w:tc>
      </w:tr>
      <w:tr>
        <w:tc>
          <w:tcPr/>
          <w:p>
            <w:pPr>
              <w:pStyle w:val="Compact"/>
              <w:jc w:val="left"/>
            </w:pPr>
            <w:r>
              <w:t xml:space="preserve">Patrick B. Ryan</w:t>
            </w:r>
            <w:r>
              <w:t xml:space="preserve"> </w:t>
            </w:r>
            <w:r>
              <w:rPr>
                <w:vertAlign w:val="superscript"/>
              </w:rPr>
              <w:t xml:space="preserve">2,3,4</w:t>
            </w:r>
          </w:p>
        </w:tc>
        <w:tc>
          <w:tcPr/>
          <w:p>
            <w:pPr>
              <w:pStyle w:val="Compact"/>
              <w:jc w:val="left"/>
            </w:pPr>
            <w:hyperlink r:id="rId21">
              <w:r>
                <w:rPr>
                  <w:rStyle w:val="Hyperlink"/>
                </w:rPr>
                <w:t xml:space="preserve">ryan@ohdsi.org</w:t>
              </w:r>
            </w:hyperlink>
          </w:p>
        </w:tc>
      </w:tr>
      <w:tr>
        <w:tc>
          <w:tcPr/>
          <w:p>
            <w:pPr>
              <w:pStyle w:val="Compact"/>
              <w:jc w:val="left"/>
            </w:pPr>
            <w:r>
              <w:t xml:space="preserve">Victoria Strauss</w:t>
            </w:r>
            <w:r>
              <w:t xml:space="preserve"> </w:t>
            </w:r>
            <w:r>
              <w:rPr>
                <w:vertAlign w:val="superscript"/>
              </w:rPr>
              <w:t xml:space="preserve">1,2</w:t>
            </w:r>
          </w:p>
        </w:tc>
        <w:tc>
          <w:tcPr/>
          <w:p>
            <w:pPr>
              <w:pStyle w:val="Compact"/>
              <w:jc w:val="left"/>
            </w:pPr>
            <w:hyperlink r:id="rId22">
              <w:r>
                <w:rPr>
                  <w:rStyle w:val="Hyperlink"/>
                </w:rPr>
                <w:t xml:space="preserve">victoria.strauss@csm.ox.ac.uk</w:t>
              </w:r>
            </w:hyperlink>
          </w:p>
        </w:tc>
      </w:tr>
      <w:tr>
        <w:tc>
          <w:tcPr/>
          <w:p>
            <w:pPr>
              <w:pStyle w:val="Compact"/>
              <w:jc w:val="left"/>
            </w:pPr>
            <w:r>
              <w:t xml:space="preserve">Marc A. Suchard</w:t>
            </w:r>
            <w:r>
              <w:t xml:space="preserve"> </w:t>
            </w:r>
            <w:r>
              <w:rPr>
                <w:vertAlign w:val="superscript"/>
              </w:rPr>
              <w:t xml:space="preserve">3,5</w:t>
            </w:r>
          </w:p>
        </w:tc>
        <w:tc>
          <w:tcPr/>
          <w:p>
            <w:pPr>
              <w:pStyle w:val="Compact"/>
              <w:jc w:val="left"/>
            </w:pPr>
            <w:hyperlink r:id="rId23">
              <w:r>
                <w:rPr>
                  <w:rStyle w:val="Hyperlink"/>
                </w:rPr>
                <w:t xml:space="preserve">msuchard@ucla.edu</w:t>
              </w:r>
            </w:hyperlink>
          </w:p>
        </w:tc>
      </w:tr>
      <w:tr>
        <w:tc>
          <w:tcPr/>
          <w:p>
            <w:pPr>
              <w:pStyle w:val="Compact"/>
              <w:jc w:val="left"/>
            </w:pPr>
            <w:r>
              <w:t xml:space="preserve">Joel Swerdel</w:t>
            </w:r>
            <w:r>
              <w:t xml:space="preserve"> </w:t>
            </w:r>
            <w:r>
              <w:rPr>
                <w:vertAlign w:val="superscript"/>
              </w:rPr>
              <w:t xml:space="preserve">2,3</w:t>
            </w:r>
          </w:p>
        </w:tc>
        <w:tc>
          <w:tcPr/>
          <w:p>
            <w:pPr>
              <w:pStyle w:val="Compact"/>
              <w:jc w:val="left"/>
            </w:pPr>
            <w:hyperlink r:id="rId24">
              <w:r>
                <w:rPr>
                  <w:rStyle w:val="Hyperlink"/>
                </w:rPr>
                <w:t xml:space="preserve">jswerdel@its.jnj.com</w:t>
              </w:r>
            </w:hyperlink>
          </w:p>
        </w:tc>
      </w:tr>
      <w:tr>
        <w:tc>
          <w:tcPr/>
          <w:p>
            <w:pPr>
              <w:pStyle w:val="Compact"/>
              <w:jc w:val="left"/>
            </w:pPr>
            <w:r>
              <w:t xml:space="preserve">Daniel Prieto-Alhambra</w:t>
            </w:r>
            <w:r>
              <w:t xml:space="preserve"> </w:t>
            </w:r>
            <w:r>
              <w:rPr>
                <w:vertAlign w:val="superscript"/>
              </w:rPr>
              <w:t xml:space="preserve">1,3,6</w:t>
            </w:r>
          </w:p>
        </w:tc>
        <w:tc>
          <w:tcPr/>
          <w:p>
            <w:pPr>
              <w:pStyle w:val="Compact"/>
              <w:jc w:val="left"/>
            </w:pPr>
            <w:hyperlink r:id="rId25">
              <w:r>
                <w:rPr>
                  <w:rStyle w:val="Hyperlink"/>
                </w:rPr>
                <w:t xml:space="preserve">daniel.prietoalhambra@ndorms.ox.ac.uk</w:t>
              </w:r>
            </w:hyperlink>
          </w:p>
        </w:tc>
      </w:tr>
    </w:tbl>
    <w:bookmarkStart w:id="26" w:name="disclosures"/>
    <w:p>
      <w:pPr>
        <w:pStyle w:val="Heading2"/>
      </w:pPr>
      <w:r>
        <w:rPr>
          <w:rStyle w:val="SectionNumber"/>
        </w:rPr>
        <w:t xml:space="preserve">1.1</w:t>
      </w:r>
      <w:r>
        <w:tab/>
      </w:r>
      <w:r>
        <w:t xml:space="preserve">Disclosures</w:t>
      </w:r>
    </w:p>
    <w:p>
      <w:pPr>
        <w:pStyle w:val="FirstParagraph"/>
      </w:pPr>
      <w:r>
        <w:t xml:space="preserve">This study is undertaken within Observational Health Data Sciences and Informatics (OHDSI), an open science collaboration.</w:t>
      </w:r>
      <w:r>
        <w:t xml:space="preserve"> </w:t>
      </w:r>
      <w:r>
        <w:rPr>
          <w:bCs/>
          <w:b/>
        </w:rPr>
        <w:t xml:space="preserve">JW</w:t>
      </w:r>
      <w:r>
        <w:t xml:space="preserve">,</w:t>
      </w:r>
      <w:r>
        <w:t xml:space="preserve"> </w:t>
      </w:r>
      <w:r>
        <w:rPr>
          <w:bCs/>
          <w:b/>
        </w:rPr>
        <w:t xml:space="preserve">PR</w:t>
      </w:r>
      <w:r>
        <w:t xml:space="preserve">, and</w:t>
      </w:r>
      <w:r>
        <w:t xml:space="preserve"> </w:t>
      </w:r>
      <w:r>
        <w:rPr>
          <w:bCs/>
          <w:b/>
        </w:rPr>
        <w:t xml:space="preserve">JS</w:t>
      </w:r>
      <w:r>
        <w:t xml:space="preserve"> </w:t>
      </w:r>
      <w:r>
        <w:t xml:space="preserve">are employees of shareholders of Janssen R&amp;D (a Johnson &amp; Johnson company).</w:t>
      </w:r>
      <w:r>
        <w:t xml:space="preserve"> </w:t>
      </w:r>
      <w:r>
        <w:rPr>
          <w:bCs/>
          <w:b/>
        </w:rPr>
        <w:t xml:space="preserve">MAS</w:t>
      </w:r>
      <w:r>
        <w:t xml:space="preserve"> </w:t>
      </w:r>
      <w:r>
        <w:t xml:space="preserve">receives grant support from the US National Institutes of Health, US Food &amp; Drug Administration and US Department of Veterans Affairs and contracts from Janssen R&amp;D.</w:t>
      </w:r>
      <w:r>
        <w:t xml:space="preserve"> </w:t>
      </w:r>
      <w:r>
        <w:rPr>
          <w:bCs/>
          <w:b/>
        </w:rPr>
        <w:t xml:space="preserve">VS</w:t>
      </w:r>
      <w:r>
        <w:t xml:space="preserve"> </w:t>
      </w:r>
      <w:r>
        <w:t xml:space="preserve">has no conflicts of interest to declare.</w:t>
      </w:r>
      <w:r>
        <w:t xml:space="preserve"> </w:t>
      </w:r>
      <w:r>
        <w:rPr>
          <w:bCs/>
          <w:b/>
        </w:rPr>
        <w:t xml:space="preserve">DPA</w:t>
      </w:r>
      <w:r>
        <w:t xml:space="preserve">’s research group has received grant support from Amgen, Chesi-Taylor, Novartis, and UCB Biopharma. His department has received advisory, consultancy fees from Amgen, Astellas, AstraZeneca, Johnson &amp; Johnson, and UCB Biopharma and fees for speaker services from Amgen and UCB Biopharma. Janssen, on behalf of IMI-funded EHDEN and EMIF consortiums, and Synapse Management Partners have supported training programs organized by DPA’s department and open for external participants organized by his department outside submitted work.</w:t>
      </w:r>
    </w:p>
    <w:bookmarkEnd w:id="26"/>
    <w:bookmarkEnd w:id="27"/>
    <w:bookmarkStart w:id="28" w:name="rationale-and-background"/>
    <w:p>
      <w:pPr>
        <w:pStyle w:val="Heading1"/>
      </w:pPr>
      <w:r>
        <w:rPr>
          <w:rStyle w:val="SectionNumber"/>
        </w:rPr>
        <w:t xml:space="preserve">2</w:t>
      </w:r>
      <w:r>
        <w:tab/>
      </w:r>
      <w:r>
        <w:t xml:space="preserve">Rationale and background</w:t>
      </w:r>
    </w:p>
    <w:p>
      <w:pPr>
        <w:pStyle w:val="FirstParagraph"/>
      </w:pPr>
      <w:r>
        <w:t xml:space="preserve">Phenotype error is acknowledged but rarely corrected for in causal effect estimation studies using observational data. Quantitative bias analysis (QBA) is a method for phenotype error correction, but the extent to which it minimizes bias in effect estimates is unclear.</w:t>
      </w:r>
    </w:p>
    <w:bookmarkEnd w:id="28"/>
    <w:bookmarkStart w:id="29" w:name="study-objectives"/>
    <w:p>
      <w:pPr>
        <w:pStyle w:val="Heading1"/>
      </w:pPr>
      <w:r>
        <w:rPr>
          <w:rStyle w:val="SectionNumber"/>
        </w:rPr>
        <w:t xml:space="preserve">3</w:t>
      </w:r>
      <w:r>
        <w:tab/>
      </w:r>
      <w:r>
        <w:t xml:space="preserve">Study objectives</w:t>
      </w:r>
    </w:p>
    <w:p>
      <w:pPr>
        <w:numPr>
          <w:ilvl w:val="0"/>
          <w:numId w:val="1001"/>
        </w:numPr>
        <w:pStyle w:val="Compact"/>
      </w:pPr>
      <w:r>
        <w:t xml:space="preserve">Empirically evaluate QBA for outcome phenotype error correction in several pharmacoepidemiologic comparative effect estimation scenarios</w:t>
      </w:r>
    </w:p>
    <w:p>
      <w:pPr>
        <w:numPr>
          <w:ilvl w:val="0"/>
          <w:numId w:val="1001"/>
        </w:numPr>
        <w:pStyle w:val="Compact"/>
      </w:pPr>
      <w:r>
        <w:t xml:space="preserve">Simulate an analytic space defined by outcome incidence proportions (IP), observed effect estimates, and phenotype measurement errors to determine which QBA input combinations produce valid results.</w:t>
      </w:r>
    </w:p>
    <w:bookmarkEnd w:id="29"/>
    <w:bookmarkStart w:id="57" w:name="research-methods"/>
    <w:p>
      <w:pPr>
        <w:pStyle w:val="Heading1"/>
      </w:pPr>
      <w:r>
        <w:rPr>
          <w:rStyle w:val="SectionNumber"/>
        </w:rPr>
        <w:t xml:space="preserve">4</w:t>
      </w:r>
      <w:r>
        <w:tab/>
      </w:r>
      <w:r>
        <w:t xml:space="preserve">Research methods</w:t>
      </w:r>
    </w:p>
    <w:bookmarkStart w:id="32" w:name="quantitative-bias-analysis"/>
    <w:p>
      <w:pPr>
        <w:pStyle w:val="Heading2"/>
      </w:pPr>
      <w:r>
        <w:rPr>
          <w:rStyle w:val="SectionNumber"/>
        </w:rPr>
        <w:t xml:space="preserve">4.1</w:t>
      </w:r>
      <w:r>
        <w:tab/>
      </w:r>
      <w:r>
        <w:t xml:space="preserve">Quantitative bias analysis</w:t>
      </w:r>
    </w:p>
    <w:p>
      <w:pPr>
        <w:pStyle w:val="FirstParagraph"/>
      </w:pPr>
      <w:r>
        <w:t xml:space="preserve">QBA is a method for correcting outcome phenotype error that can bias comparative effect estimates</w:t>
      </w:r>
      <w:r>
        <w:t xml:space="preserve">[</w:t>
      </w:r>
      <w:hyperlink w:anchor="ref-Lash2009-ch">
        <w:r>
          <w:rPr>
            <w:rStyle w:val="Hyperlink"/>
          </w:rPr>
          <w:t xml:space="preserve">1</w:t>
        </w:r>
      </w:hyperlink>
      <w:r>
        <w:t xml:space="preserve">,</w:t>
      </w:r>
      <w:hyperlink w:anchor="ref-Lash2014-jd">
        <w:r>
          <w:rPr>
            <w:rStyle w:val="Hyperlink"/>
          </w:rPr>
          <w:t xml:space="preserve">2</w:t>
        </w:r>
      </w:hyperlink>
      <w:r>
        <w:t xml:space="preserve">]</w:t>
      </w:r>
      <w:r>
        <w:t xml:space="preserve">. Phenotype definition performance characteristics (sensitivity and specificity, positive and negative predictive value) are required inputs for applying QBA. We use QBA for outcome phenotype error correction per the equations in</w:t>
      </w:r>
      <w:r>
        <w:t xml:space="preserve"> </w:t>
      </w:r>
      <w:r>
        <w:rPr>
          <w:bCs/>
          <w:b/>
        </w:rPr>
        <w:t xml:space="preserve">Table 1a</w:t>
      </w:r>
      <w:r>
        <w:t xml:space="preserve"> </w:t>
      </w:r>
      <w:r>
        <w:t xml:space="preserve">and</w:t>
      </w:r>
      <w:r>
        <w:t xml:space="preserve"> </w:t>
      </w:r>
      <w:r>
        <w:rPr>
          <w:bCs/>
          <w:b/>
        </w:rPr>
        <w:t xml:space="preserve">Table 1b</w:t>
      </w:r>
      <w:r>
        <w:t xml:space="preserve">.</w:t>
      </w:r>
    </w:p>
    <w:bookmarkStart w:id="30" w:name="X302c1fe61d209a3639121fbd454e6e2bf4342cb"/>
    <w:p>
      <w:pPr>
        <w:pStyle w:val="Heading3"/>
      </w:pPr>
      <w:r>
        <w:rPr>
          <w:rStyle w:val="SectionNumber"/>
        </w:rPr>
        <w:t xml:space="preserve">4.1.1</w:t>
      </w:r>
      <w:r>
        <w:tab/>
      </w:r>
      <w:r>
        <w:t xml:space="preserve">Table 1a: Observed exposure by outcome contingency 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T</w:t>
            </w:r>
          </w:p>
        </w:tc>
        <w:tc>
          <w:tcPr/>
          <w:p>
            <w:pPr>
              <w:pStyle w:val="Compact"/>
              <w:jc w:val="left"/>
            </w:pPr>
            <w:r>
              <w:t xml:space="preserve">C</w:t>
            </w:r>
          </w:p>
        </w:tc>
      </w:tr>
      <w:tr>
        <w:tc>
          <w:tcPr/>
          <w:p>
            <w:pPr>
              <w:pStyle w:val="Compact"/>
              <w:jc w:val="left"/>
            </w:pPr>
            <w:r>
              <w:t xml:space="preserve">O[+]</w:t>
            </w:r>
          </w:p>
        </w:tc>
        <w:tc>
          <w:tcPr/>
          <w:p>
            <w:pPr>
              <w:pStyle w:val="Compact"/>
              <w:jc w:val="left"/>
            </w:pPr>
            <w:r>
              <w:t xml:space="preserve">a</w:t>
            </w:r>
          </w:p>
        </w:tc>
        <w:tc>
          <w:tcPr/>
          <w:p>
            <w:pPr>
              <w:pStyle w:val="Compact"/>
              <w:jc w:val="left"/>
            </w:pPr>
            <w:r>
              <w:t xml:space="preserve">b</w:t>
            </w:r>
          </w:p>
        </w:tc>
      </w:tr>
      <w:tr>
        <w:tc>
          <w:tcPr/>
          <w:p>
            <w:pPr>
              <w:pStyle w:val="Compact"/>
              <w:jc w:val="left"/>
            </w:pPr>
            <w:r>
              <w:t xml:space="preserve">O[-]</w:t>
            </w:r>
          </w:p>
        </w:tc>
        <w:tc>
          <w:tcPr/>
          <w:p>
            <w:pPr>
              <w:pStyle w:val="Compact"/>
              <w:jc w:val="left"/>
            </w:pPr>
            <w:r>
              <w:t xml:space="preserve">c</w:t>
            </w:r>
          </w:p>
        </w:tc>
        <w:tc>
          <w:tcPr/>
          <w:p>
            <w:pPr>
              <w:pStyle w:val="Compact"/>
              <w:jc w:val="left"/>
            </w:pPr>
            <w:r>
              <w:t xml:space="preserve">d</w:t>
            </w:r>
          </w:p>
        </w:tc>
      </w:tr>
      <w:tr>
        <w:tc>
          <w:tcPr/>
          <w:p>
            <w:pPr>
              <w:pStyle w:val="Compact"/>
              <w:jc w:val="left"/>
            </w:pPr>
            <w:r>
              <w:t xml:space="preserve">Total</w:t>
            </w:r>
          </w:p>
        </w:tc>
        <w:tc>
          <w:tcPr/>
          <w:p>
            <w:pPr>
              <w:pStyle w:val="Compact"/>
              <w:jc w:val="left"/>
            </w:pPr>
            <w:r>
              <w:t xml:space="preserve">a + c</w:t>
            </w:r>
          </w:p>
        </w:tc>
        <w:tc>
          <w:tcPr/>
          <w:p>
            <w:pPr>
              <w:pStyle w:val="Compact"/>
              <w:jc w:val="left"/>
            </w:pPr>
            <w:r>
              <w:t xml:space="preserve">a + d</w:t>
            </w:r>
          </w:p>
        </w:tc>
      </w:tr>
    </w:tbl>
    <w:bookmarkEnd w:id="30"/>
    <w:bookmarkStart w:id="31" w:name="X1e9bbdcf277469a2ad3058a2ec8a201a9a84566"/>
    <w:p>
      <w:pPr>
        <w:pStyle w:val="Heading3"/>
      </w:pPr>
      <w:r>
        <w:rPr>
          <w:rStyle w:val="SectionNumber"/>
        </w:rPr>
        <w:t xml:space="preserve">4.1.2</w:t>
      </w:r>
      <w:r>
        <w:tab/>
      </w:r>
      <w:r>
        <w:t xml:space="preserve">Table 1b Expected exposure by outcome contingency table corrected for outcome phenotype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T</w:t>
            </w:r>
          </w:p>
        </w:tc>
        <w:tc>
          <w:tcPr/>
          <w:p>
            <w:pPr>
              <w:pStyle w:val="Compact"/>
              <w:jc w:val="left"/>
            </w:pPr>
            <w:r>
              <w:t xml:space="preserve">C</w:t>
            </w:r>
          </w:p>
        </w:tc>
      </w:tr>
      <w:tr>
        <w:tc>
          <w:tcPr/>
          <w:p>
            <w:pPr>
              <w:pStyle w:val="Compact"/>
              <w:jc w:val="left"/>
            </w:pPr>
            <w:r>
              <w:t xml:space="preserve">O[+]</w:t>
            </w:r>
          </w:p>
        </w:tc>
        <w:tc>
          <w:tcPr/>
          <w:p>
            <w:pPr>
              <w:pStyle w:val="Compact"/>
              <w:jc w:val="left"/>
            </w:pPr>
            <w:r>
              <w:t xml:space="preserve">A = a - (1 - SP1) * (a + c)) / (SN1 - (1 - SP1)</w:t>
            </w:r>
          </w:p>
        </w:tc>
        <w:tc>
          <w:tcPr/>
          <w:p>
            <w:pPr>
              <w:pStyle w:val="Compact"/>
              <w:jc w:val="left"/>
            </w:pPr>
            <w:r>
              <w:t xml:space="preserve">B = b - (1 - SP0) * (b + d)) / (SN0 - (1 - SP0)</w:t>
            </w:r>
          </w:p>
        </w:tc>
      </w:tr>
      <w:tr>
        <w:tc>
          <w:tcPr/>
          <w:p>
            <w:pPr>
              <w:pStyle w:val="Compact"/>
              <w:jc w:val="left"/>
            </w:pPr>
            <w:r>
              <w:t xml:space="preserve">O[-]</w:t>
            </w:r>
          </w:p>
        </w:tc>
        <w:tc>
          <w:tcPr/>
          <w:p>
            <w:pPr>
              <w:pStyle w:val="Compact"/>
              <w:jc w:val="left"/>
            </w:pPr>
            <w:r>
              <w:t xml:space="preserve">C = (a + c) - A</w:t>
            </w:r>
          </w:p>
        </w:tc>
        <w:tc>
          <w:tcPr/>
          <w:p>
            <w:pPr>
              <w:pStyle w:val="Compact"/>
              <w:jc w:val="left"/>
            </w:pPr>
            <w:r>
              <w:t xml:space="preserve">D = (b + d) - B</w:t>
            </w:r>
          </w:p>
        </w:tc>
      </w:tr>
      <w:tr>
        <w:tc>
          <w:tcPr/>
          <w:p>
            <w:pPr>
              <w:pStyle w:val="Compact"/>
              <w:jc w:val="left"/>
            </w:pPr>
            <w:r>
              <w:t xml:space="preserve">Total</w:t>
            </w:r>
          </w:p>
        </w:tc>
        <w:tc>
          <w:tcPr/>
          <w:p>
            <w:pPr>
              <w:pStyle w:val="Compact"/>
              <w:jc w:val="left"/>
            </w:pPr>
            <w:r>
              <w:t xml:space="preserve">A + C</w:t>
            </w:r>
          </w:p>
        </w:tc>
        <w:tc>
          <w:tcPr/>
          <w:p>
            <w:pPr>
              <w:pStyle w:val="Compact"/>
              <w:jc w:val="left"/>
            </w:pPr>
            <w:r>
              <w:t xml:space="preserve">B + D</w:t>
            </w:r>
          </w:p>
        </w:tc>
      </w:tr>
    </w:tbl>
    <w:bookmarkEnd w:id="31"/>
    <w:bookmarkEnd w:id="32"/>
    <w:bookmarkStart w:id="40" w:name="X33b3736c96ec6abab7face807c433830afe33ee"/>
    <w:p>
      <w:pPr>
        <w:pStyle w:val="Heading2"/>
      </w:pPr>
      <w:r>
        <w:rPr>
          <w:rStyle w:val="SectionNumber"/>
        </w:rPr>
        <w:t xml:space="preserve">4.2</w:t>
      </w:r>
      <w:r>
        <w:tab/>
      </w:r>
      <w:r>
        <w:t xml:space="preserve">Probabilistic reference standard validation</w:t>
      </w:r>
    </w:p>
    <w:p>
      <w:pPr>
        <w:pStyle w:val="FirstParagraph"/>
      </w:pPr>
      <w:r>
        <w:t xml:space="preserve">PheValuator is a method to calculate the performance characteristics of phenotype algorithms, namely, sensitivity, specificity, and positive and negative predictive value</w:t>
      </w:r>
      <w:r>
        <w:t xml:space="preserve">[</w:t>
      </w:r>
      <w:hyperlink w:anchor="ref-Swerdel2019-fl">
        <w:r>
          <w:rPr>
            <w:rStyle w:val="Hyperlink"/>
          </w:rPr>
          <w:t xml:space="preserve">3</w:t>
        </w:r>
      </w:hyperlink>
      <w:r>
        <w:t xml:space="preserve">,</w:t>
      </w:r>
      <w:hyperlink w:anchor="ref-Swerdel2022-pi">
        <w:r>
          <w:rPr>
            <w:rStyle w:val="Hyperlink"/>
          </w:rPr>
          <w:t xml:space="preserve">4</w:t>
        </w:r>
      </w:hyperlink>
      <w:r>
        <w:t xml:space="preserve">]</w:t>
      </w:r>
      <w:r>
        <w:t xml:space="preserve">. It develops a diagnostic predictive model to determine a probabilistic reference standard of patients against which phenotype algorithm performance can be assessed.</w:t>
      </w:r>
      <w:r>
        <w:t xml:space="preserve"> </w:t>
      </w:r>
      <w:r>
        <w:rPr>
          <w:bCs/>
          <w:b/>
        </w:rPr>
        <w:t xml:space="preserve">Table 2</w:t>
      </w:r>
      <w:r>
        <w:t xml:space="preserve"> </w:t>
      </w:r>
      <w:r>
        <w:t xml:space="preserve">reports the PheValuator confusion matrix and error metric calculations.</w:t>
      </w:r>
    </w:p>
    <w:bookmarkStart w:id="39" w:name="table-2-phevaluator-confusion-matrix"/>
    <w:p>
      <w:pPr>
        <w:pStyle w:val="Heading3"/>
      </w:pPr>
      <w:r>
        <w:rPr>
          <w:rStyle w:val="SectionNumber"/>
        </w:rPr>
        <w:t xml:space="preserve">4.2.1</w:t>
      </w:r>
      <w:r>
        <w:tab/>
      </w:r>
      <w:r>
        <w:t xml:space="preserve">Table 2: PheValuator confusion matrix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Diagnostic model output</w:t>
            </w:r>
          </w:p>
        </w:tc>
        <w:tc>
          <w:tcPr/>
          <w:p>
            <w:pPr>
              <w:pStyle w:val="Compact"/>
              <w:jc w:val="left"/>
            </w:pPr>
            <w:r>
              <w:t xml:space="preserve">Phenotype algorithm case</w:t>
            </w:r>
          </w:p>
        </w:tc>
        <w:tc>
          <w:tcPr/>
          <w:p>
            <w:pPr>
              <w:pStyle w:val="Compact"/>
              <w:jc w:val="left"/>
            </w:pPr>
            <w:r>
              <w:t xml:space="preserve">Phenotype algorithm non-case</w:t>
            </w:r>
          </w:p>
        </w:tc>
      </w:tr>
      <w:tr>
        <w:tc>
          <w:tcPr/>
          <w:p>
            <w:pPr>
              <w:pStyle w:val="Compact"/>
              <w:jc w:val="left"/>
            </w:pPr>
            <w:r>
              <w:t xml:space="preserve">Predicted probability from diagnostic predictive model, P(Y)</w:t>
            </w:r>
          </w:p>
        </w:tc>
        <w:tc>
          <w:tcPr/>
          <w:p>
            <w:pPr>
              <w:pStyle w:val="Compact"/>
              <w:jc w:val="left"/>
            </w:pPr>
            <w:r>
              <w:t xml:space="preserve">TP =</w:t>
            </w:r>
            <w:r>
              <w:t xml:space="preserve"> </w:t>
            </w:r>
            <m:oMath>
              <m:r>
                <m:t>Σ</m:t>
              </m:r>
            </m:oMath>
            <w:r>
              <w:t xml:space="preserve">[P(Y | Case)]</w:t>
            </w:r>
          </w:p>
        </w:tc>
        <w:tc>
          <w:tcPr/>
          <w:p>
            <w:pPr>
              <w:pStyle w:val="Compact"/>
              <w:jc w:val="left"/>
            </w:pPr>
            <w:r>
              <w:t xml:space="preserve">FP =</w:t>
            </w:r>
            <w:r>
              <w:t xml:space="preserve"> </w:t>
            </w:r>
            <m:oMath>
              <m:r>
                <m:t>Σ</m:t>
              </m:r>
            </m:oMath>
            <w:r>
              <w:t xml:space="preserve">[1 - P(Y | Case)]</w:t>
            </w:r>
          </w:p>
        </w:tc>
      </w:tr>
      <w:tr>
        <w:tc>
          <w:tcPr/>
          <w:p>
            <w:pPr>
              <w:pStyle w:val="Compact"/>
              <w:jc w:val="left"/>
            </w:pPr>
            <w:r>
              <w:t xml:space="preserve">Predicted probability from diagnostic predictive model, P(Y)</w:t>
            </w:r>
          </w:p>
        </w:tc>
        <w:tc>
          <w:tcPr/>
          <w:p>
            <w:pPr>
              <w:pStyle w:val="Compact"/>
              <w:jc w:val="left"/>
            </w:pPr>
            <w:r>
              <w:t xml:space="preserve">FN =</w:t>
            </w:r>
            <w:r>
              <w:t xml:space="preserve"> </w:t>
            </w:r>
            <m:oMath>
              <m:r>
                <m:t>Σ</m:t>
              </m:r>
            </m:oMath>
            <w:r>
              <w:t xml:space="preserve">[P(Y | Non-case)]</w:t>
            </w:r>
          </w:p>
        </w:tc>
        <w:tc>
          <w:tcPr/>
          <w:p>
            <w:pPr>
              <w:pStyle w:val="Compact"/>
              <w:jc w:val="left"/>
            </w:pPr>
            <w:r>
              <w:t xml:space="preserve">TN =</w:t>
            </w:r>
            <w:r>
              <w:t xml:space="preserve"> </w:t>
            </w:r>
            <m:oMath>
              <m:r>
                <m:t>Σ</m:t>
              </m:r>
            </m:oMath>
            <w:r>
              <w:t xml:space="preserve">[1 - P(Y | Non-case)]</w:t>
            </w:r>
          </w:p>
        </w:tc>
      </w:tr>
    </w:tbl>
    <w:p>
      <w:pPr>
        <w:pStyle w:val="BodyText"/>
      </w:pPr>
      <w:r>
        <w:t xml:space="preserve">The following cohorts are required input for a PheValuator validation study:</w:t>
      </w:r>
    </w:p>
    <w:p>
      <w:pPr>
        <w:numPr>
          <w:ilvl w:val="0"/>
          <w:numId w:val="1002"/>
        </w:numPr>
        <w:pStyle w:val="Compact"/>
      </w:pPr>
      <w:r>
        <w:t xml:space="preserve">Ischemic stroke events during inpatient or emergency room visits</w:t>
      </w:r>
    </w:p>
    <w:p>
      <w:pPr>
        <w:numPr>
          <w:ilvl w:val="1"/>
          <w:numId w:val="1003"/>
        </w:numPr>
        <w:pStyle w:val="Compact"/>
      </w:pPr>
      <w:hyperlink r:id="rId33">
        <w:r>
          <w:rPr>
            <w:rStyle w:val="Hyperlink"/>
          </w:rPr>
          <w:t xml:space="preserve">https://epi.jnj.com/atlas/#/cohortdefinition/4008</w:t>
        </w:r>
      </w:hyperlink>
    </w:p>
    <w:p>
      <w:pPr>
        <w:numPr>
          <w:ilvl w:val="0"/>
          <w:numId w:val="1002"/>
        </w:numPr>
        <w:pStyle w:val="Compact"/>
      </w:pPr>
      <w:r>
        <w:t xml:space="preserve">Extremely specific cohort (xSpec)</w:t>
      </w:r>
    </w:p>
    <w:p>
      <w:pPr>
        <w:numPr>
          <w:ilvl w:val="1"/>
          <w:numId w:val="1004"/>
        </w:numPr>
        <w:pStyle w:val="Compact"/>
      </w:pPr>
      <w:hyperlink r:id="rId34">
        <w:r>
          <w:rPr>
            <w:rStyle w:val="Hyperlink"/>
          </w:rPr>
          <w:t xml:space="preserve">https://epi.jnj.com/atlas/#/cohortdefinition/4034</w:t>
        </w:r>
      </w:hyperlink>
    </w:p>
    <w:p>
      <w:pPr>
        <w:numPr>
          <w:ilvl w:val="0"/>
          <w:numId w:val="1002"/>
        </w:numPr>
        <w:pStyle w:val="Compact"/>
      </w:pPr>
      <w:r>
        <w:t xml:space="preserve">Extremely sensitive cohort (xSens)</w:t>
      </w:r>
    </w:p>
    <w:p>
      <w:pPr>
        <w:numPr>
          <w:ilvl w:val="1"/>
          <w:numId w:val="1005"/>
        </w:numPr>
        <w:pStyle w:val="Compact"/>
      </w:pPr>
      <w:hyperlink r:id="rId35">
        <w:r>
          <w:rPr>
            <w:rStyle w:val="Hyperlink"/>
          </w:rPr>
          <w:t xml:space="preserve">https://epi.jnj.com/atlas/#/cohortdefinition/4036</w:t>
        </w:r>
      </w:hyperlink>
    </w:p>
    <w:p>
      <w:pPr>
        <w:numPr>
          <w:ilvl w:val="0"/>
          <w:numId w:val="1002"/>
        </w:numPr>
        <w:pStyle w:val="Compact"/>
      </w:pPr>
      <w:r>
        <w:t xml:space="preserve">Prevalence cohort</w:t>
      </w:r>
    </w:p>
    <w:p>
      <w:pPr>
        <w:numPr>
          <w:ilvl w:val="1"/>
          <w:numId w:val="1006"/>
        </w:numPr>
        <w:pStyle w:val="Compact"/>
      </w:pPr>
      <w:hyperlink r:id="rId36">
        <w:r>
          <w:rPr>
            <w:rStyle w:val="Hyperlink"/>
          </w:rPr>
          <w:t xml:space="preserve">https://epi.jnj.com/atlas/#/cohortdefinition/4037</w:t>
        </w:r>
      </w:hyperlink>
    </w:p>
    <w:p>
      <w:pPr>
        <w:numPr>
          <w:ilvl w:val="0"/>
          <w:numId w:val="1002"/>
        </w:numPr>
        <w:pStyle w:val="Compact"/>
      </w:pPr>
      <w:r>
        <w:t xml:space="preserve">Database population evaluation cohort</w:t>
      </w:r>
    </w:p>
    <w:p>
      <w:pPr>
        <w:numPr>
          <w:ilvl w:val="1"/>
          <w:numId w:val="1007"/>
        </w:numPr>
        <w:pStyle w:val="Compact"/>
      </w:pPr>
      <w:hyperlink r:id="rId37">
        <w:r>
          <w:rPr>
            <w:rStyle w:val="Hyperlink"/>
          </w:rPr>
          <w:t xml:space="preserve">https://epi.jnj.com/atlas/#/cohortdefinition/4038</w:t>
        </w:r>
      </w:hyperlink>
    </w:p>
    <w:p>
      <w:pPr>
        <w:numPr>
          <w:ilvl w:val="0"/>
          <w:numId w:val="1002"/>
        </w:numPr>
        <w:pStyle w:val="Compact"/>
      </w:pPr>
      <w:r>
        <w:t xml:space="preserve">Exposure population evaluation cohorts</w:t>
      </w:r>
    </w:p>
    <w:p>
      <w:pPr>
        <w:numPr>
          <w:ilvl w:val="1"/>
          <w:numId w:val="1008"/>
        </w:numPr>
        <w:pStyle w:val="Compact"/>
      </w:pPr>
      <w:hyperlink r:id="rId38">
        <w:r>
          <w:rPr>
            <w:rStyle w:val="Hyperlink"/>
          </w:rPr>
          <w:t xml:space="preserve">https://epi.jnj.com/atlas/#/cohortdefinition/4521</w:t>
        </w:r>
      </w:hyperlink>
      <w:r>
        <w:t xml:space="preserve"> </w:t>
      </w:r>
      <w:r>
        <w:t xml:space="preserve">(Note, this is a cohort shell with placeholders where drug exposure and condition occurrence concept sets. These replacements are made to construct the following exposure population evaluation cohorts:</w:t>
      </w:r>
    </w:p>
    <w:p>
      <w:pPr>
        <w:numPr>
          <w:ilvl w:val="2"/>
          <w:numId w:val="1009"/>
        </w:numPr>
        <w:pStyle w:val="Compact"/>
      </w:pPr>
      <w:r>
        <w:t xml:space="preserve">ACE exposed without ischemic stroke OR ACE exposed with subsequent ischemic stroke</w:t>
      </w:r>
    </w:p>
    <w:p>
      <w:pPr>
        <w:numPr>
          <w:ilvl w:val="2"/>
          <w:numId w:val="1009"/>
        </w:numPr>
        <w:pStyle w:val="Compact"/>
      </w:pPr>
      <w:r>
        <w:t xml:space="preserve">ARB exposed without ischemic stroke OR ARB exposed with subsequent ischemic stroke</w:t>
      </w:r>
    </w:p>
    <w:p>
      <w:pPr>
        <w:numPr>
          <w:ilvl w:val="2"/>
          <w:numId w:val="1009"/>
        </w:numPr>
        <w:pStyle w:val="Compact"/>
      </w:pPr>
      <w:r>
        <w:t xml:space="preserve">THZ exposed without ischemic stroke OR THZ exposed with subsequent ischemic stroke</w:t>
      </w:r>
    </w:p>
    <w:p>
      <w:pPr>
        <w:pStyle w:val="FirstParagraph"/>
      </w:pPr>
      <w:r>
        <w:t xml:space="preserve">Detailed cohort definitions for probabilistic reference standard validation are available in</w:t>
      </w:r>
      <w:r>
        <w:t xml:space="preserve"> </w:t>
      </w:r>
      <w:hyperlink w:anchor="X7d4586f8b378d1ceb1392efb5517ca65df521ae">
        <w:r>
          <w:rPr>
            <w:rStyle w:val="Hyperlink"/>
          </w:rPr>
          <w:t xml:space="preserve">Appendix Section A</w:t>
        </w:r>
      </w:hyperlink>
      <w:r>
        <w:t xml:space="preserve">.</w:t>
      </w:r>
    </w:p>
    <w:bookmarkEnd w:id="39"/>
    <w:bookmarkEnd w:id="40"/>
    <w:bookmarkStart w:id="52" w:name="empirical-example"/>
    <w:p>
      <w:pPr>
        <w:pStyle w:val="Heading2"/>
      </w:pPr>
      <w:r>
        <w:rPr>
          <w:rStyle w:val="SectionNumber"/>
        </w:rPr>
        <w:t xml:space="preserve">4.3</w:t>
      </w:r>
      <w:r>
        <w:tab/>
      </w:r>
      <w:r>
        <w:t xml:space="preserve">Empirical example</w:t>
      </w:r>
    </w:p>
    <w:bookmarkStart w:id="41" w:name="design"/>
    <w:p>
      <w:pPr>
        <w:pStyle w:val="Heading3"/>
      </w:pPr>
      <w:r>
        <w:rPr>
          <w:rStyle w:val="SectionNumber"/>
        </w:rPr>
        <w:t xml:space="preserve">4.3.1</w:t>
      </w:r>
      <w:r>
        <w:tab/>
      </w:r>
      <w:r>
        <w:t xml:space="preserve">Design</w:t>
      </w:r>
    </w:p>
    <w:p>
      <w:pPr>
        <w:pStyle w:val="FirstParagraph"/>
      </w:pPr>
      <w:r>
        <w:t xml:space="preserve">Active comparator, new user comparative cohort study to estimate the risk of ischemic stroke among patients with hypertension initiating:</w:t>
      </w:r>
    </w:p>
    <w:p>
      <w:pPr>
        <w:numPr>
          <w:ilvl w:val="0"/>
          <w:numId w:val="1010"/>
        </w:numPr>
        <w:pStyle w:val="Compact"/>
      </w:pPr>
      <w:r>
        <w:t xml:space="preserve">Angiotensin-converting enzyme inhibitors (ACE) vs angiotensin receptor blockers (ARB)</w:t>
      </w:r>
    </w:p>
    <w:p>
      <w:pPr>
        <w:numPr>
          <w:ilvl w:val="0"/>
          <w:numId w:val="1010"/>
        </w:numPr>
        <w:pStyle w:val="Compact"/>
      </w:pPr>
      <w:r>
        <w:t xml:space="preserve">Angiotensin-converting enzyme inhibitors (ACE) vs Thiazide/thiazide-like diuretics (THZ)</w:t>
      </w:r>
    </w:p>
    <w:bookmarkEnd w:id="41"/>
    <w:bookmarkStart w:id="45" w:name="exposure-cohort-definitions"/>
    <w:p>
      <w:pPr>
        <w:pStyle w:val="Heading3"/>
      </w:pPr>
      <w:r>
        <w:rPr>
          <w:rStyle w:val="SectionNumber"/>
        </w:rPr>
        <w:t xml:space="preserve">4.3.2</w:t>
      </w:r>
      <w:r>
        <w:tab/>
      </w:r>
      <w:r>
        <w:t xml:space="preserve">Exposure cohort definitions</w:t>
      </w:r>
    </w:p>
    <w:p>
      <w:pPr>
        <w:pStyle w:val="FirstParagraph"/>
      </w:pPr>
      <w:r>
        <w:t xml:space="preserve">Detailed exposure cohort definitions for 3 class-level hypertension treatments are in</w:t>
      </w:r>
      <w:r>
        <w:t xml:space="preserve"> </w:t>
      </w:r>
      <w:hyperlink w:anchor="exposure-cohort-definitions-1">
        <w:r>
          <w:rPr>
            <w:rStyle w:val="Hyperlink"/>
          </w:rPr>
          <w:t xml:space="preserve">Appendix Section B</w:t>
        </w:r>
      </w:hyperlink>
      <w:r>
        <w:t xml:space="preserve">.</w:t>
      </w:r>
    </w:p>
    <w:bookmarkStart w:id="42" w:name="acei-new-users-with-prior-hypertension"/>
    <w:p>
      <w:pPr>
        <w:pStyle w:val="Heading4"/>
      </w:pPr>
      <w:r>
        <w:rPr>
          <w:rStyle w:val="SectionNumber"/>
        </w:rPr>
        <w:t xml:space="preserve">4.3.2.1</w:t>
      </w:r>
      <w:r>
        <w:tab/>
      </w:r>
      <w:r>
        <w:t xml:space="preserve">ACEI new users with prior hypertension</w:t>
      </w:r>
    </w:p>
    <w:p>
      <w:pPr>
        <w:numPr>
          <w:ilvl w:val="0"/>
          <w:numId w:val="1011"/>
        </w:numPr>
        <w:pStyle w:val="Compact"/>
      </w:pPr>
      <w:r>
        <w:t xml:space="preserve">First use of ACEI on or after January 1, 2010 with ≥365 days of prior continuous database observation</w:t>
      </w:r>
    </w:p>
    <w:p>
      <w:pPr>
        <w:numPr>
          <w:ilvl w:val="1"/>
          <w:numId w:val="1012"/>
        </w:numPr>
        <w:pStyle w:val="Compact"/>
      </w:pPr>
      <w:r>
        <w:t xml:space="preserve">≥1 condition occurrence of hypertension between 365 and 0 days relative to first use</w:t>
      </w:r>
    </w:p>
    <w:p>
      <w:pPr>
        <w:numPr>
          <w:ilvl w:val="1"/>
          <w:numId w:val="1012"/>
        </w:numPr>
        <w:pStyle w:val="Compact"/>
      </w:pPr>
      <w:r>
        <w:t xml:space="preserve">exactly 1 exposure to hypertension medications between 0 and 7 days relative to first use</w:t>
      </w:r>
    </w:p>
    <w:p>
      <w:pPr>
        <w:numPr>
          <w:ilvl w:val="1"/>
          <w:numId w:val="1012"/>
        </w:numPr>
        <w:pStyle w:val="Compact"/>
      </w:pPr>
      <w:r>
        <w:t xml:space="preserve">no prior exposure to hypertension medications</w:t>
      </w:r>
    </w:p>
    <w:bookmarkEnd w:id="42"/>
    <w:bookmarkStart w:id="43" w:name="arb-new-users-with-prior-hypertension"/>
    <w:p>
      <w:pPr>
        <w:pStyle w:val="Heading4"/>
      </w:pPr>
      <w:r>
        <w:rPr>
          <w:rStyle w:val="SectionNumber"/>
        </w:rPr>
        <w:t xml:space="preserve">4.3.2.2</w:t>
      </w:r>
      <w:r>
        <w:tab/>
      </w:r>
      <w:r>
        <w:t xml:space="preserve">ARB new users with prior hypertension</w:t>
      </w:r>
    </w:p>
    <w:p>
      <w:pPr>
        <w:numPr>
          <w:ilvl w:val="0"/>
          <w:numId w:val="1013"/>
        </w:numPr>
        <w:pStyle w:val="Compact"/>
      </w:pPr>
      <w:r>
        <w:t xml:space="preserve">First use of ARB on or after January 1, 2010 with ≥365 days of prior continuous database observation</w:t>
      </w:r>
    </w:p>
    <w:p>
      <w:pPr>
        <w:numPr>
          <w:ilvl w:val="1"/>
          <w:numId w:val="1014"/>
        </w:numPr>
        <w:pStyle w:val="Compact"/>
      </w:pPr>
      <w:r>
        <w:t xml:space="preserve">≥1 condition occurrence of hypertension between 365 and 0 days relative to first use</w:t>
      </w:r>
    </w:p>
    <w:p>
      <w:pPr>
        <w:numPr>
          <w:ilvl w:val="1"/>
          <w:numId w:val="1014"/>
        </w:numPr>
        <w:pStyle w:val="Compact"/>
      </w:pPr>
      <w:r>
        <w:t xml:space="preserve">exactly 1 exposure to hypertension medications between 0 and 7 days relative to first use</w:t>
      </w:r>
    </w:p>
    <w:p>
      <w:pPr>
        <w:numPr>
          <w:ilvl w:val="1"/>
          <w:numId w:val="1014"/>
        </w:numPr>
        <w:pStyle w:val="Compact"/>
      </w:pPr>
      <w:r>
        <w:t xml:space="preserve">no prior exposure to hypertension medications</w:t>
      </w:r>
    </w:p>
    <w:bookmarkEnd w:id="43"/>
    <w:bookmarkStart w:id="44" w:name="thz-new-users-with-prior-hypertension"/>
    <w:p>
      <w:pPr>
        <w:pStyle w:val="Heading4"/>
      </w:pPr>
      <w:r>
        <w:rPr>
          <w:rStyle w:val="SectionNumber"/>
        </w:rPr>
        <w:t xml:space="preserve">4.3.2.3</w:t>
      </w:r>
      <w:r>
        <w:tab/>
      </w:r>
      <w:r>
        <w:t xml:space="preserve">THZ new users with prior hypertension</w:t>
      </w:r>
    </w:p>
    <w:p>
      <w:pPr>
        <w:numPr>
          <w:ilvl w:val="0"/>
          <w:numId w:val="1015"/>
        </w:numPr>
        <w:pStyle w:val="Compact"/>
      </w:pPr>
      <w:r>
        <w:t xml:space="preserve">First use of THZ on or after January 1, 2010 with ≥365 days of prior continuous database observation</w:t>
      </w:r>
    </w:p>
    <w:p>
      <w:pPr>
        <w:numPr>
          <w:ilvl w:val="1"/>
          <w:numId w:val="1016"/>
        </w:numPr>
        <w:pStyle w:val="Compact"/>
      </w:pPr>
      <w:r>
        <w:t xml:space="preserve">≥1 condition occurrence of hypertension between 365 and 0 days relative to first use</w:t>
      </w:r>
    </w:p>
    <w:p>
      <w:pPr>
        <w:numPr>
          <w:ilvl w:val="1"/>
          <w:numId w:val="1016"/>
        </w:numPr>
        <w:pStyle w:val="Compact"/>
      </w:pPr>
      <w:r>
        <w:t xml:space="preserve">exactly 1 exposure to hypertension medications between 0 and 7 days relative to first use</w:t>
      </w:r>
    </w:p>
    <w:p>
      <w:pPr>
        <w:numPr>
          <w:ilvl w:val="1"/>
          <w:numId w:val="1016"/>
        </w:numPr>
        <w:pStyle w:val="Compact"/>
      </w:pPr>
      <w:r>
        <w:t xml:space="preserve">no prior exposure to hypertension medications</w:t>
      </w:r>
    </w:p>
    <w:bookmarkEnd w:id="44"/>
    <w:bookmarkEnd w:id="45"/>
    <w:bookmarkStart w:id="46" w:name="outcome-definition"/>
    <w:p>
      <w:pPr>
        <w:pStyle w:val="Heading3"/>
      </w:pPr>
      <w:r>
        <w:rPr>
          <w:rStyle w:val="SectionNumber"/>
        </w:rPr>
        <w:t xml:space="preserve">4.3.3</w:t>
      </w:r>
      <w:r>
        <w:tab/>
      </w:r>
      <w:r>
        <w:t xml:space="preserve">Outcome definition</w:t>
      </w:r>
    </w:p>
    <w:p>
      <w:pPr>
        <w:numPr>
          <w:ilvl w:val="0"/>
          <w:numId w:val="1017"/>
        </w:numPr>
        <w:pStyle w:val="Compact"/>
      </w:pPr>
      <w:r>
        <w:t xml:space="preserve">Inpatient or emergency room visits on or after January 1, 2010</w:t>
      </w:r>
    </w:p>
    <w:p>
      <w:pPr>
        <w:numPr>
          <w:ilvl w:val="1"/>
          <w:numId w:val="1018"/>
        </w:numPr>
        <w:pStyle w:val="Compact"/>
      </w:pPr>
      <w:r>
        <w:t xml:space="preserve">≥1 condition occurrence of ischemic stroke</w:t>
      </w:r>
    </w:p>
    <w:p>
      <w:pPr>
        <w:numPr>
          <w:ilvl w:val="1"/>
          <w:numId w:val="1018"/>
        </w:numPr>
        <w:pStyle w:val="Compact"/>
      </w:pPr>
      <w:r>
        <w:t xml:space="preserve">exactly 0 condition occurrences of ischemic stroke between -365 and -1 days relative to inpatient or emergency room visit with ischemic stroke</w:t>
      </w:r>
    </w:p>
    <w:p>
      <w:pPr>
        <w:pStyle w:val="FirstParagraph"/>
      </w:pPr>
      <w:r>
        <w:t xml:space="preserve">The detailed outcome definition for inpatient ischemic stroke is in</w:t>
      </w:r>
      <w:r>
        <w:t xml:space="preserve"> </w:t>
      </w:r>
      <w:hyperlink w:anchor="outcome-cohort-definition">
        <w:r>
          <w:rPr>
            <w:rStyle w:val="Hyperlink"/>
          </w:rPr>
          <w:t xml:space="preserve">Appendix Section C</w:t>
        </w:r>
      </w:hyperlink>
      <w:r>
        <w:t xml:space="preserve">.</w:t>
      </w:r>
    </w:p>
    <w:bookmarkEnd w:id="46"/>
    <w:bookmarkStart w:id="47" w:name="data-sources"/>
    <w:p>
      <w:pPr>
        <w:pStyle w:val="Heading3"/>
      </w:pPr>
      <w:r>
        <w:rPr>
          <w:rStyle w:val="SectionNumber"/>
        </w:rPr>
        <w:t xml:space="preserve">4.3.4</w:t>
      </w:r>
      <w:r>
        <w:tab/>
      </w:r>
      <w:r>
        <w:t xml:space="preserve">Data sources</w:t>
      </w:r>
    </w:p>
    <w:p>
      <w:pPr>
        <w:pStyle w:val="FirstParagraph"/>
      </w:pPr>
      <w:r>
        <w:t xml:space="preserve">The study will be executed against 4 US adminstrative healthcare claims and 1 US electronic health record databases.</w:t>
      </w:r>
    </w:p>
    <w:p>
      <w:pPr>
        <w:numPr>
          <w:ilvl w:val="0"/>
          <w:numId w:val="1019"/>
        </w:numPr>
        <w:pStyle w:val="Compact"/>
      </w:pPr>
      <w:r>
        <w:t xml:space="preserve">Optum® de-identified Clinformatics® Datamart - Date of Death (optum_extended_dod)</w:t>
      </w:r>
    </w:p>
    <w:p>
      <w:pPr>
        <w:numPr>
          <w:ilvl w:val="0"/>
          <w:numId w:val="1019"/>
        </w:numPr>
        <w:pStyle w:val="Compact"/>
      </w:pPr>
      <w:r>
        <w:t xml:space="preserve">Optum® Electronic Health Record (optum_ehr)</w:t>
      </w:r>
    </w:p>
    <w:p>
      <w:pPr>
        <w:numPr>
          <w:ilvl w:val="0"/>
          <w:numId w:val="1019"/>
        </w:numPr>
        <w:pStyle w:val="Compact"/>
      </w:pPr>
      <w:r>
        <w:t xml:space="preserve">IBM MarketScan® Commercial Database (truven_ccae)</w:t>
      </w:r>
    </w:p>
    <w:p>
      <w:pPr>
        <w:numPr>
          <w:ilvl w:val="0"/>
          <w:numId w:val="1019"/>
        </w:numPr>
        <w:pStyle w:val="Compact"/>
      </w:pPr>
      <w:r>
        <w:t xml:space="preserve">IBM MarketScan® Multi-State Medicaid (truven_mdcd)</w:t>
      </w:r>
    </w:p>
    <w:p>
      <w:pPr>
        <w:numPr>
          <w:ilvl w:val="0"/>
          <w:numId w:val="1019"/>
        </w:numPr>
        <w:pStyle w:val="Compact"/>
      </w:pPr>
      <w:r>
        <w:t xml:space="preserve">IBM MarketScan® Medicare Supplemental Beneficiaries (truven_mdcr)</w:t>
      </w:r>
    </w:p>
    <w:p>
      <w:pPr>
        <w:pStyle w:val="FirstParagraph"/>
      </w:pPr>
      <w:r>
        <w:t xml:space="preserve">The database descriptions are in</w:t>
      </w:r>
      <w:r>
        <w:t xml:space="preserve"> </w:t>
      </w:r>
      <w:hyperlink w:anchor="data-sources-1">
        <w:r>
          <w:rPr>
            <w:rStyle w:val="Hyperlink"/>
          </w:rPr>
          <w:t xml:space="preserve">Appendix Section D</w:t>
        </w:r>
      </w:hyperlink>
      <w:r>
        <w:t xml:space="preserve">.</w:t>
      </w:r>
    </w:p>
    <w:bookmarkEnd w:id="47"/>
    <w:bookmarkStart w:id="48" w:name="outcome-definition-1"/>
    <w:p>
      <w:pPr>
        <w:pStyle w:val="Heading3"/>
      </w:pPr>
      <w:r>
        <w:rPr>
          <w:rStyle w:val="SectionNumber"/>
        </w:rPr>
        <w:t xml:space="preserve">4.3.5</w:t>
      </w:r>
      <w:r>
        <w:tab/>
      </w:r>
      <w:r>
        <w:t xml:space="preserve">Outcome definition</w:t>
      </w:r>
    </w:p>
    <w:p>
      <w:pPr>
        <w:pStyle w:val="FirstParagraph"/>
      </w:pPr>
      <w:r>
        <w:t xml:space="preserve">See</w:t>
      </w:r>
      <w:r>
        <w:t xml:space="preserve"> </w:t>
      </w:r>
      <w:hyperlink w:anchor="outcome-definition-1">
        <w:r>
          <w:rPr>
            <w:rStyle w:val="Hyperlink"/>
          </w:rPr>
          <w:t xml:space="preserve">Appendix Section B</w:t>
        </w:r>
      </w:hyperlink>
      <w:r>
        <w:t xml:space="preserve"> </w:t>
      </w:r>
      <w:r>
        <w:t xml:space="preserve">for detailed exposure definitions.</w:t>
      </w:r>
    </w:p>
    <w:bookmarkEnd w:id="48"/>
    <w:bookmarkStart w:id="49" w:name="time-at-risk"/>
    <w:p>
      <w:pPr>
        <w:pStyle w:val="Heading3"/>
      </w:pPr>
      <w:r>
        <w:rPr>
          <w:rStyle w:val="SectionNumber"/>
        </w:rPr>
        <w:t xml:space="preserve">4.3.6</w:t>
      </w:r>
      <w:r>
        <w:tab/>
      </w:r>
      <w:r>
        <w:t xml:space="preserve">Time-at-risk</w:t>
      </w:r>
    </w:p>
    <w:p>
      <w:pPr>
        <w:numPr>
          <w:ilvl w:val="0"/>
          <w:numId w:val="1020"/>
        </w:numPr>
        <w:pStyle w:val="Compact"/>
      </w:pPr>
      <w:r>
        <w:t xml:space="preserve">1 day to 365 days relative to exposure start</w:t>
      </w:r>
    </w:p>
    <w:p>
      <w:pPr>
        <w:numPr>
          <w:ilvl w:val="0"/>
          <w:numId w:val="1020"/>
        </w:numPr>
        <w:pStyle w:val="Compact"/>
      </w:pPr>
      <w:r>
        <w:t xml:space="preserve">1 day to 730 days relative to exposure start</w:t>
      </w:r>
    </w:p>
    <w:bookmarkEnd w:id="49"/>
    <w:bookmarkStart w:id="50" w:name="analyses"/>
    <w:p>
      <w:pPr>
        <w:pStyle w:val="Heading3"/>
      </w:pPr>
      <w:r>
        <w:rPr>
          <w:rStyle w:val="SectionNumber"/>
        </w:rPr>
        <w:t xml:space="preserve">4.3.7</w:t>
      </w:r>
      <w:r>
        <w:tab/>
      </w:r>
      <w:r>
        <w:t xml:space="preserve">Analyses</w:t>
      </w:r>
    </w:p>
    <w:p>
      <w:pPr>
        <w:numPr>
          <w:ilvl w:val="0"/>
          <w:numId w:val="1021"/>
        </w:numPr>
        <w:pStyle w:val="Compact"/>
      </w:pPr>
      <w:r>
        <w:t xml:space="preserve">Calculate database-level (i.e., non-differential) and exposure-level (i.e., differential) ischemic stroke phenotype definition sensitivity and specificity using probabilistic reference standard validation studies in each data source</w:t>
      </w:r>
    </w:p>
    <w:p>
      <w:pPr>
        <w:numPr>
          <w:ilvl w:val="0"/>
          <w:numId w:val="1021"/>
        </w:numPr>
        <w:pStyle w:val="Compact"/>
      </w:pPr>
      <w:r>
        <w:t xml:space="preserve">Estimate comparative treatment effect using logistic regression (odds ratio [OR] with 95% confidence intervals [CI]) for ACE vs ARB and ACE vs THZ under the following analysis specifications:</w:t>
      </w:r>
    </w:p>
    <w:p>
      <w:pPr>
        <w:numPr>
          <w:ilvl w:val="1"/>
          <w:numId w:val="1022"/>
        </w:numPr>
        <w:pStyle w:val="Compact"/>
      </w:pPr>
      <w:r>
        <w:t xml:space="preserve">Unadjusted</w:t>
      </w:r>
    </w:p>
    <w:p>
      <w:pPr>
        <w:numPr>
          <w:ilvl w:val="1"/>
          <w:numId w:val="1022"/>
        </w:numPr>
        <w:pStyle w:val="Compact"/>
      </w:pPr>
      <w:r>
        <w:t xml:space="preserve">Non-differential QBA adjustment</w:t>
      </w:r>
    </w:p>
    <w:p>
      <w:pPr>
        <w:numPr>
          <w:ilvl w:val="1"/>
          <w:numId w:val="1022"/>
        </w:numPr>
        <w:pStyle w:val="Compact"/>
      </w:pPr>
      <w:r>
        <w:t xml:space="preserve">Differential QBA adjustment</w:t>
      </w:r>
    </w:p>
    <w:p>
      <w:pPr>
        <w:numPr>
          <w:ilvl w:val="1"/>
          <w:numId w:val="1022"/>
        </w:numPr>
        <w:pStyle w:val="Compact"/>
      </w:pPr>
      <w:r>
        <w:t xml:space="preserve">1:1 propensity score (PS) matched</w:t>
      </w:r>
    </w:p>
    <w:p>
      <w:pPr>
        <w:numPr>
          <w:ilvl w:val="1"/>
          <w:numId w:val="1022"/>
        </w:numPr>
        <w:pStyle w:val="Compact"/>
      </w:pPr>
      <w:r>
        <w:t xml:space="preserve">1:1 PS matched with non-differential QBA</w:t>
      </w:r>
    </w:p>
    <w:p>
      <w:pPr>
        <w:numPr>
          <w:ilvl w:val="1"/>
          <w:numId w:val="1022"/>
        </w:numPr>
        <w:pStyle w:val="Compact"/>
      </w:pPr>
      <w:r>
        <w:t xml:space="preserve">1:1 PS matched with differential QBA</w:t>
      </w:r>
    </w:p>
    <w:p>
      <w:pPr>
        <w:numPr>
          <w:ilvl w:val="0"/>
          <w:numId w:val="1021"/>
        </w:numPr>
        <w:pStyle w:val="Compact"/>
      </w:pPr>
      <w:r>
        <w:t xml:space="preserve">Execute 5 databases x 2 comparisons x 2 TARs x 6 analyses] = 120 analyses</w:t>
      </w:r>
    </w:p>
    <w:bookmarkEnd w:id="50"/>
    <w:bookmarkStart w:id="51" w:name="evaluation-metrics"/>
    <w:p>
      <w:pPr>
        <w:pStyle w:val="Heading3"/>
      </w:pPr>
      <w:r>
        <w:rPr>
          <w:rStyle w:val="SectionNumber"/>
        </w:rPr>
        <w:t xml:space="preserve">4.3.8</w:t>
      </w:r>
      <w:r>
        <w:tab/>
      </w:r>
      <w:r>
        <w:t xml:space="preserve">Evaluation metrics</w:t>
      </w:r>
    </w:p>
    <w:p>
      <w:pPr>
        <w:pStyle w:val="FirstParagraph"/>
      </w:pPr>
      <w:r>
        <w:t xml:space="preserve">QBA performance evaluated by bias difference, relative bias, squared error, and precision difference between analyses that did vs did not include QBA.</w:t>
      </w:r>
    </w:p>
    <w:p>
      <w:pPr>
        <w:numPr>
          <w:ilvl w:val="0"/>
          <w:numId w:val="1023"/>
        </w:numPr>
        <w:pStyle w:val="Compact"/>
      </w:pPr>
      <w:r>
        <w:rPr>
          <w:bCs/>
          <w:b/>
        </w:rPr>
        <w:t xml:space="preserve">Bias difference:</w:t>
      </w:r>
      <w:r>
        <w:t xml:space="preserve"> </w:t>
      </w:r>
      <w:r>
        <w:t xml:space="preserve">log(OR) - log(OR</w:t>
      </w:r>
      <w:r>
        <w:rPr>
          <w:vertAlign w:val="subscript"/>
        </w:rPr>
        <w:t xml:space="preserve">QBA</w:t>
      </w:r>
      <w:r>
        <w:t xml:space="preserve">)</w:t>
      </w:r>
    </w:p>
    <w:p>
      <w:pPr>
        <w:numPr>
          <w:ilvl w:val="0"/>
          <w:numId w:val="1023"/>
        </w:numPr>
        <w:pStyle w:val="Compact"/>
      </w:pPr>
      <w:r>
        <w:rPr>
          <w:bCs/>
          <w:b/>
        </w:rPr>
        <w:t xml:space="preserve">Relative bias:</w:t>
      </w:r>
      <w:r>
        <w:t xml:space="preserve"> </w:t>
      </w:r>
      <w:r>
        <w:t xml:space="preserve">(OR - OR</w:t>
      </w:r>
      <w:r>
        <w:rPr>
          <w:vertAlign w:val="subscript"/>
        </w:rPr>
        <w:t xml:space="preserve">QBA</w:t>
      </w:r>
      <w:r>
        <w:t xml:space="preserve">) / OR * 100</w:t>
      </w:r>
    </w:p>
    <w:p>
      <w:pPr>
        <w:numPr>
          <w:ilvl w:val="0"/>
          <w:numId w:val="1023"/>
        </w:numPr>
        <w:pStyle w:val="Compact"/>
      </w:pPr>
      <w:r>
        <w:rPr>
          <w:bCs/>
          <w:b/>
        </w:rPr>
        <w:t xml:space="preserve">Precision difference:</w:t>
      </w:r>
      <w:r>
        <w:t xml:space="preserve"> </w:t>
      </w:r>
      <w:r>
        <w:t xml:space="preserve">1 / (SE(log(OR))</w:t>
      </w:r>
      <w:r>
        <w:rPr>
          <w:vertAlign w:val="superscript"/>
        </w:rPr>
        <w:t xml:space="preserve">2</w:t>
      </w:r>
      <w:r>
        <w:t xml:space="preserve"> </w:t>
      </w:r>
      <w:r>
        <w:t xml:space="preserve">– 1 / (SE(log(OR</w:t>
      </w:r>
      <w:r>
        <w:rPr>
          <w:vertAlign w:val="subscript"/>
        </w:rPr>
        <w:t xml:space="preserve">QBA</w:t>
      </w:r>
      <w:r>
        <w:t xml:space="preserve">))</w:t>
      </w:r>
      <w:r>
        <w:rPr>
          <w:vertAlign w:val="superscript"/>
        </w:rPr>
        <w:t xml:space="preserve">2</w:t>
      </w:r>
    </w:p>
    <w:p>
      <w:pPr>
        <w:numPr>
          <w:ilvl w:val="0"/>
          <w:numId w:val="1023"/>
        </w:numPr>
        <w:pStyle w:val="Compact"/>
      </w:pPr>
      <w:r>
        <w:rPr>
          <w:bCs/>
          <w:b/>
        </w:rPr>
        <w:t xml:space="preserve">Relative precision:</w:t>
      </w:r>
      <w:r>
        <w:t xml:space="preserve"> </w:t>
      </w:r>
      <w:r>
        <w:t xml:space="preserve">(1 / (SE(log(OR))</w:t>
      </w:r>
      <w:r>
        <w:rPr>
          <w:vertAlign w:val="superscript"/>
        </w:rPr>
        <w:t xml:space="preserve">2</w:t>
      </w:r>
      <w:r>
        <w:t xml:space="preserve">) – (1 / (SE(log(OR</w:t>
      </w:r>
      <w:r>
        <w:rPr>
          <w:vertAlign w:val="subscript"/>
        </w:rPr>
        <w:t xml:space="preserve">QBA</w:t>
      </w:r>
      <w:r>
        <w:t xml:space="preserve">))</w:t>
      </w:r>
      <w:r>
        <w:rPr>
          <w:vertAlign w:val="superscript"/>
        </w:rPr>
        <w:t xml:space="preserve">2</w:t>
      </w:r>
      <w:r>
        <w:t xml:space="preserve">) / (1 / (SE(log(OR))</w:t>
      </w:r>
      <w:r>
        <w:rPr>
          <w:vertAlign w:val="superscript"/>
        </w:rPr>
        <w:t xml:space="preserve">2</w:t>
      </w:r>
      <w:r>
        <w:t xml:space="preserve">) * 100</w:t>
      </w:r>
    </w:p>
    <w:p>
      <w:pPr>
        <w:numPr>
          <w:ilvl w:val="0"/>
          <w:numId w:val="1023"/>
        </w:numPr>
        <w:pStyle w:val="Compact"/>
      </w:pPr>
      <w:r>
        <w:rPr>
          <w:bCs/>
          <w:b/>
        </w:rPr>
        <w:t xml:space="preserve">Squared error:</w:t>
      </w:r>
      <w:r>
        <w:t xml:space="preserve"> </w:t>
      </w:r>
      <w:r>
        <w:t xml:space="preserve">(log(OR) - log(OR</w:t>
      </w:r>
      <w:r>
        <w:rPr>
          <w:vertAlign w:val="subscript"/>
        </w:rPr>
        <w:t xml:space="preserve">QBA</w:t>
      </w:r>
      <w:r>
        <w:t xml:space="preserve">)</w:t>
      </w:r>
      <w:r>
        <w:rPr>
          <w:vertAlign w:val="superscript"/>
        </w:rPr>
        <w:t xml:space="preserve">2</w:t>
      </w:r>
    </w:p>
    <w:bookmarkEnd w:id="51"/>
    <w:bookmarkEnd w:id="52"/>
    <w:bookmarkStart w:id="56" w:name="grid-space-simulation"/>
    <w:p>
      <w:pPr>
        <w:pStyle w:val="Heading2"/>
      </w:pPr>
      <w:r>
        <w:rPr>
          <w:rStyle w:val="SectionNumber"/>
        </w:rPr>
        <w:t xml:space="preserve">4.4</w:t>
      </w:r>
      <w:r>
        <w:tab/>
      </w:r>
      <w:r>
        <w:t xml:space="preserve">Grid space simulation</w:t>
      </w:r>
    </w:p>
    <w:bookmarkStart w:id="53" w:name="inputs"/>
    <w:p>
      <w:pPr>
        <w:pStyle w:val="Heading3"/>
      </w:pPr>
      <w:r>
        <w:rPr>
          <w:rStyle w:val="SectionNumber"/>
        </w:rPr>
        <w:t xml:space="preserve">4.4.1</w:t>
      </w:r>
      <w:r>
        <w:tab/>
      </w:r>
      <w:r>
        <w:t xml:space="preserve">Inputs</w:t>
      </w:r>
    </w:p>
    <w:p>
      <w:pPr>
        <w:pStyle w:val="FirstParagraph"/>
      </w:pPr>
      <w:r>
        <w:t xml:space="preserve">Create grid space of all combinations of 4 input parameters:</w:t>
      </w:r>
    </w:p>
    <w:p>
      <w:pPr>
        <w:numPr>
          <w:ilvl w:val="0"/>
          <w:numId w:val="1024"/>
        </w:numPr>
        <w:pStyle w:val="Compact"/>
      </w:pPr>
      <w:r>
        <w:t xml:space="preserve">5 outcome incidence proportions (IP) [10</w:t>
      </w:r>
      <w:r>
        <w:rPr>
          <w:vertAlign w:val="superscript"/>
        </w:rPr>
        <w:t xml:space="preserve">-1</w:t>
      </w:r>
      <w:r>
        <w:t xml:space="preserve"> </w:t>
      </w:r>
      <w:r>
        <w:t xml:space="preserve">, 10</w:t>
      </w:r>
      <w:r>
        <w:rPr>
          <w:vertAlign w:val="superscript"/>
        </w:rPr>
        <w:t xml:space="preserve">-2</w:t>
      </w:r>
      <w:r>
        <w:t xml:space="preserve"> </w:t>
      </w:r>
      <w:r>
        <w:t xml:space="preserve">, 10</w:t>
      </w:r>
      <w:r>
        <w:rPr>
          <w:vertAlign w:val="superscript"/>
        </w:rPr>
        <w:t xml:space="preserve">-3</w:t>
      </w:r>
      <w:r>
        <w:t xml:space="preserve"> </w:t>
      </w:r>
      <w:r>
        <w:t xml:space="preserve">, 10</w:t>
      </w:r>
      <w:r>
        <w:rPr>
          <w:vertAlign w:val="superscript"/>
        </w:rPr>
        <w:t xml:space="preserve">-4</w:t>
      </w:r>
      <w:r>
        <w:t xml:space="preserve"> </w:t>
      </w:r>
      <w:r>
        <w:t xml:space="preserve">, 10</w:t>
      </w:r>
      <w:r>
        <w:rPr>
          <w:vertAlign w:val="superscript"/>
        </w:rPr>
        <w:t xml:space="preserve">-5</w:t>
      </w:r>
      <w:r>
        <w:t xml:space="preserve">]</w:t>
      </w:r>
    </w:p>
    <w:p>
      <w:pPr>
        <w:numPr>
          <w:ilvl w:val="0"/>
          <w:numId w:val="1024"/>
        </w:numPr>
        <w:pStyle w:val="Compact"/>
      </w:pPr>
      <w:r>
        <w:t xml:space="preserve">6 uncorrected odds ratios (OR) [1, 1.25, 1.50, 2, 4, 10]</w:t>
      </w:r>
    </w:p>
    <w:p>
      <w:pPr>
        <w:numPr>
          <w:ilvl w:val="0"/>
          <w:numId w:val="1024"/>
        </w:numPr>
        <w:pStyle w:val="Compact"/>
      </w:pPr>
      <w:r>
        <w:t xml:space="preserve">20 non-differential sensitivity values [0.05 to 1.00 by 0.05]</w:t>
      </w:r>
    </w:p>
    <w:p>
      <w:pPr>
        <w:numPr>
          <w:ilvl w:val="0"/>
          <w:numId w:val="1024"/>
        </w:numPr>
        <w:pStyle w:val="Compact"/>
      </w:pPr>
      <w:r>
        <w:t xml:space="preserve">20 non-differential specificity values [1 - prevalence to 1.00 by 5%</w:t>
      </w:r>
      <w:r>
        <w:rPr>
          <w:vertAlign w:val="superscript"/>
        </w:rPr>
        <w:t xml:space="preserve">ile</w:t>
      </w:r>
      <w:r>
        <w:t xml:space="preserve">]</w:t>
      </w:r>
    </w:p>
    <w:p>
      <w:pPr>
        <w:pStyle w:val="FirstParagraph"/>
      </w:pPr>
      <w:r>
        <w:t xml:space="preserve">The complete grid space consists of 12,000 2x2 contingency tables, each with 1,000,000 target and 1,000,000 comparator exposures and associated inputs.</w:t>
      </w:r>
    </w:p>
    <w:bookmarkEnd w:id="53"/>
    <w:bookmarkStart w:id="54" w:name="analysis"/>
    <w:p>
      <w:pPr>
        <w:pStyle w:val="Heading3"/>
      </w:pPr>
      <w:r>
        <w:rPr>
          <w:rStyle w:val="SectionNumber"/>
        </w:rPr>
        <w:t xml:space="preserve">4.4.2</w:t>
      </w:r>
      <w:r>
        <w:tab/>
      </w:r>
      <w:r>
        <w:t xml:space="preserve">Analysis</w:t>
      </w:r>
    </w:p>
    <w:p>
      <w:pPr>
        <w:pStyle w:val="FirstParagraph"/>
      </w:pPr>
      <w:r>
        <w:t xml:space="preserve">For each IP-OR combination, compute a distribution of QBA-corrected ORs with 95% CIs across combinations of sensitivity and specificity values and plot contours across the complete IP by OR grid space.</w:t>
      </w:r>
    </w:p>
    <w:bookmarkEnd w:id="54"/>
    <w:bookmarkStart w:id="55" w:name="evaluation-metrics-1"/>
    <w:p>
      <w:pPr>
        <w:pStyle w:val="Heading3"/>
      </w:pPr>
      <w:r>
        <w:rPr>
          <w:rStyle w:val="SectionNumber"/>
        </w:rPr>
        <w:t xml:space="preserve">4.4.3</w:t>
      </w:r>
      <w:r>
        <w:tab/>
      </w:r>
      <w:r>
        <w:t xml:space="preserve">Evaluation metrics</w:t>
      </w:r>
    </w:p>
    <w:p>
      <w:pPr>
        <w:pStyle w:val="FirstParagraph"/>
      </w:pPr>
      <w:r>
        <w:t xml:space="preserve">The grid space simulation analysis will be evaluated by bias difference and relative bias between the unadjusted OR and the 25%</w:t>
      </w:r>
      <w:r>
        <w:rPr>
          <w:vertAlign w:val="superscript"/>
        </w:rPr>
        <w:t xml:space="preserve">ile</w:t>
      </w:r>
      <w:r>
        <w:t xml:space="preserve">, 50%</w:t>
      </w:r>
      <w:r>
        <w:rPr>
          <w:vertAlign w:val="superscript"/>
        </w:rPr>
        <w:t xml:space="preserve">ile</w:t>
      </w:r>
      <w:r>
        <w:t xml:space="preserve">, 75%</w:t>
      </w:r>
      <w:r>
        <w:rPr>
          <w:vertAlign w:val="superscript"/>
        </w:rPr>
        <w:t xml:space="preserve">ile</w:t>
      </w:r>
      <w:r>
        <w:t xml:space="preserve">, and maximum of the QBA-corrected distribution of estimates. Report the overall, IP-stratified, OR-stratified, and IP-OR-stratified proportion of the total grid space that produces valid (i.e., non-zero) QBA-corrected counts.</w:t>
      </w:r>
    </w:p>
    <w:p>
      <w:pPr>
        <w:numPr>
          <w:ilvl w:val="0"/>
          <w:numId w:val="1025"/>
        </w:numPr>
        <w:pStyle w:val="Compact"/>
      </w:pPr>
      <w:r>
        <w:rPr>
          <w:bCs/>
          <w:b/>
        </w:rPr>
        <w:t xml:space="preserve">Bias difference:</w:t>
      </w:r>
      <w:r>
        <w:t xml:space="preserve"> </w:t>
      </w:r>
      <w:r>
        <w:t xml:space="preserve">log(OR) - log(OR</w:t>
      </w:r>
      <w:r>
        <w:rPr>
          <w:vertAlign w:val="subscript"/>
        </w:rPr>
        <w:t xml:space="preserve">QBA</w:t>
      </w:r>
      <w:r>
        <w:t xml:space="preserve">)</w:t>
      </w:r>
    </w:p>
    <w:p>
      <w:pPr>
        <w:numPr>
          <w:ilvl w:val="0"/>
          <w:numId w:val="1025"/>
        </w:numPr>
        <w:pStyle w:val="Compact"/>
      </w:pPr>
      <w:r>
        <w:rPr>
          <w:bCs/>
          <w:b/>
        </w:rPr>
        <w:t xml:space="preserve">Relative bias:</w:t>
      </w:r>
      <w:r>
        <w:t xml:space="preserve"> </w:t>
      </w:r>
      <w:r>
        <w:t xml:space="preserve">(OR - OR</w:t>
      </w:r>
      <w:r>
        <w:rPr>
          <w:vertAlign w:val="subscript"/>
        </w:rPr>
        <w:t xml:space="preserve">QBA</w:t>
      </w:r>
      <w:r>
        <w:t xml:space="preserve">) / OR * 100</w:t>
      </w:r>
    </w:p>
    <w:bookmarkEnd w:id="55"/>
    <w:bookmarkEnd w:id="56"/>
    <w:bookmarkEnd w:id="57"/>
    <w:bookmarkStart w:id="60" w:name="strengths-and-limitations"/>
    <w:p>
      <w:pPr>
        <w:pStyle w:val="Heading1"/>
      </w:pPr>
      <w:r>
        <w:rPr>
          <w:rStyle w:val="SectionNumber"/>
        </w:rPr>
        <w:t xml:space="preserve">5</w:t>
      </w:r>
      <w:r>
        <w:tab/>
      </w:r>
      <w:r>
        <w:t xml:space="preserve">Strengths and limitations</w:t>
      </w:r>
    </w:p>
    <w:bookmarkStart w:id="58" w:name="strengths"/>
    <w:p>
      <w:pPr>
        <w:pStyle w:val="Heading2"/>
      </w:pPr>
      <w:r>
        <w:rPr>
          <w:rStyle w:val="SectionNumber"/>
        </w:rPr>
        <w:t xml:space="preserve">5.1</w:t>
      </w:r>
      <w:r>
        <w:tab/>
      </w:r>
      <w:r>
        <w:t xml:space="preserve">Strengths</w:t>
      </w:r>
    </w:p>
    <w:p>
      <w:pPr>
        <w:numPr>
          <w:ilvl w:val="0"/>
          <w:numId w:val="1026"/>
        </w:numPr>
        <w:pStyle w:val="Compact"/>
      </w:pPr>
      <w:r>
        <w:t xml:space="preserve">1</w:t>
      </w:r>
    </w:p>
    <w:p>
      <w:pPr>
        <w:numPr>
          <w:ilvl w:val="0"/>
          <w:numId w:val="1026"/>
        </w:numPr>
        <w:pStyle w:val="Compact"/>
      </w:pPr>
      <w:r>
        <w:t xml:space="preserve">2</w:t>
      </w:r>
    </w:p>
    <w:p>
      <w:pPr>
        <w:numPr>
          <w:ilvl w:val="0"/>
          <w:numId w:val="1026"/>
        </w:numPr>
        <w:pStyle w:val="Compact"/>
      </w:pPr>
      <w:r>
        <w:t xml:space="preserve">3</w:t>
      </w:r>
    </w:p>
    <w:bookmarkEnd w:id="58"/>
    <w:bookmarkStart w:id="59" w:name="limitations"/>
    <w:p>
      <w:pPr>
        <w:pStyle w:val="Heading2"/>
      </w:pPr>
      <w:r>
        <w:rPr>
          <w:rStyle w:val="SectionNumber"/>
        </w:rPr>
        <w:t xml:space="preserve">5.2</w:t>
      </w:r>
      <w:r>
        <w:tab/>
      </w:r>
      <w:r>
        <w:t xml:space="preserve">Limitations</w:t>
      </w:r>
    </w:p>
    <w:p>
      <w:pPr>
        <w:numPr>
          <w:ilvl w:val="0"/>
          <w:numId w:val="1027"/>
        </w:numPr>
        <w:pStyle w:val="Compact"/>
      </w:pPr>
      <w:r>
        <w:t xml:space="preserve">Empirical example uses simple and multidimensional QBA only, no probabilistic QBA or multiple bias modeling</w:t>
      </w:r>
    </w:p>
    <w:p>
      <w:pPr>
        <w:numPr>
          <w:ilvl w:val="0"/>
          <w:numId w:val="1027"/>
        </w:numPr>
        <w:pStyle w:val="Compact"/>
      </w:pPr>
      <w:r>
        <w:t xml:space="preserve">Only uses sensitivity and specificity approach, no use of PPV and NPV</w:t>
      </w:r>
    </w:p>
    <w:p>
      <w:pPr>
        <w:numPr>
          <w:ilvl w:val="0"/>
          <w:numId w:val="1027"/>
        </w:numPr>
        <w:pStyle w:val="Compact"/>
      </w:pPr>
      <w:r>
        <w:t xml:space="preserve">Logistic regression outcome model assumes constant risk, discards survival information</w:t>
      </w:r>
    </w:p>
    <w:p>
      <w:pPr>
        <w:numPr>
          <w:ilvl w:val="0"/>
          <w:numId w:val="1027"/>
        </w:numPr>
        <w:pStyle w:val="Compact"/>
      </w:pPr>
      <w:r>
        <w:t xml:space="preserve">Assumes probabilistic reference validation metrics are accurate</w:t>
      </w:r>
    </w:p>
    <w:p>
      <w:pPr>
        <w:numPr>
          <w:ilvl w:val="0"/>
          <w:numId w:val="1027"/>
        </w:numPr>
        <w:pStyle w:val="Compact"/>
      </w:pPr>
      <w:r>
        <w:t xml:space="preserve">Validation study within exposure-indication populations will have incomplete overlap with restricted study populations</w:t>
      </w:r>
    </w:p>
    <w:bookmarkEnd w:id="59"/>
    <w:bookmarkEnd w:id="60"/>
    <w:bookmarkStart w:id="61" w:name="protection-of-human-subjects"/>
    <w:p>
      <w:pPr>
        <w:pStyle w:val="Heading1"/>
      </w:pPr>
      <w:r>
        <w:rPr>
          <w:rStyle w:val="SectionNumber"/>
        </w:rPr>
        <w:t xml:space="preserve">6</w:t>
      </w:r>
      <w:r>
        <w:tab/>
      </w:r>
      <w:r>
        <w:t xml:space="preserve">Protection of human subjects</w:t>
      </w:r>
    </w:p>
    <w:p>
      <w:pPr>
        <w:pStyle w:val="FirstParagraph"/>
      </w:pPr>
      <w:r>
        <w:t xml:space="preserve">This work does not involve human patient research. It uses de-identified patient-level data collected during routine healthcare provision. Confidentiality of patient records will be maintained. Study reports will contain aggregate data only and will not identify individual patients of care providers.</w:t>
      </w:r>
    </w:p>
    <w:bookmarkEnd w:id="61"/>
    <w:bookmarkStart w:id="67" w:name="references"/>
    <w:p>
      <w:pPr>
        <w:pStyle w:val="Heading1"/>
      </w:pPr>
      <w:r>
        <w:t xml:space="preserve">References</w:t>
      </w:r>
    </w:p>
    <w:bookmarkStart w:id="66" w:name="refs"/>
    <w:bookmarkStart w:id="62" w:name="ref-Lash2009-ch"/>
    <w:p>
      <w:pPr>
        <w:pStyle w:val="Bibliography"/>
      </w:pPr>
      <w:r>
        <w:t xml:space="preserve">1</w:t>
      </w:r>
      <w:r>
        <w:t xml:space="preserve"> </w:t>
      </w:r>
      <w:r>
        <w:t xml:space="preserve">	</w:t>
      </w:r>
      <w:r>
        <w:t xml:space="preserve">Lash TL, Fox MP, Fink AK.</w:t>
      </w:r>
      <w:r>
        <w:t xml:space="preserve"> </w:t>
      </w:r>
      <w:r>
        <w:rPr>
          <w:iCs/>
          <w:i/>
        </w:rPr>
        <w:t xml:space="preserve">Applying quantitative bias analysis to epidemiologic data</w:t>
      </w:r>
      <w:r>
        <w:t xml:space="preserve">. Springer New York 2009.</w:t>
      </w:r>
      <w:r>
        <w:t xml:space="preserve"> </w:t>
      </w:r>
    </w:p>
    <w:bookmarkEnd w:id="62"/>
    <w:bookmarkStart w:id="63" w:name="ref-Lash2014-jd"/>
    <w:p>
      <w:pPr>
        <w:pStyle w:val="Bibliography"/>
      </w:pPr>
      <w:r>
        <w:t xml:space="preserve">2</w:t>
      </w:r>
      <w:r>
        <w:t xml:space="preserve"> </w:t>
      </w:r>
      <w:r>
        <w:t xml:space="preserve">	</w:t>
      </w:r>
      <w:r>
        <w:t xml:space="preserve">Lash TL, Fox MP, MacLehose RF,</w:t>
      </w:r>
      <w:r>
        <w:t xml:space="preserve"> </w:t>
      </w:r>
      <w:r>
        <w:rPr>
          <w:iCs/>
          <w:i/>
        </w:rPr>
        <w:t xml:space="preserve">et al.</w:t>
      </w:r>
      <w:r>
        <w:t xml:space="preserve"> Good practices for quantitative bias analysis.</w:t>
      </w:r>
      <w:r>
        <w:t xml:space="preserve"> </w:t>
      </w:r>
      <w:r>
        <w:rPr>
          <w:iCs/>
          <w:i/>
        </w:rPr>
        <w:t xml:space="preserve">Int J Epidemiol</w:t>
      </w:r>
      <w:r>
        <w:t xml:space="preserve"> </w:t>
      </w:r>
      <w:r>
        <w:t xml:space="preserve">2014;</w:t>
      </w:r>
      <w:r>
        <w:rPr>
          <w:bCs/>
          <w:b/>
        </w:rPr>
        <w:t xml:space="preserve">43</w:t>
      </w:r>
      <w:r>
        <w:t xml:space="preserve">:1969–85.</w:t>
      </w:r>
    </w:p>
    <w:bookmarkEnd w:id="63"/>
    <w:bookmarkStart w:id="64" w:name="ref-Swerdel2019-fl"/>
    <w:p>
      <w:pPr>
        <w:pStyle w:val="Bibliography"/>
      </w:pPr>
      <w:r>
        <w:t xml:space="preserve">3</w:t>
      </w:r>
      <w:r>
        <w:t xml:space="preserve"> </w:t>
      </w:r>
      <w:r>
        <w:t xml:space="preserve">	</w:t>
      </w:r>
      <w:r>
        <w:t xml:space="preserve">Swerdel JN, Hripcsak G, Ryan PB.</w:t>
      </w:r>
      <w:r>
        <w:t xml:space="preserve"> </w:t>
      </w:r>
      <w:r>
        <w:t xml:space="preserve">PheValuator</w:t>
      </w:r>
      <w:r>
        <w:t xml:space="preserve">: Development and evaluation of a phenotype algorithm evaluator.</w:t>
      </w:r>
      <w:r>
        <w:t xml:space="preserve"> </w:t>
      </w:r>
      <w:r>
        <w:rPr>
          <w:iCs/>
          <w:i/>
        </w:rPr>
        <w:t xml:space="preserve">J Biomed Inform</w:t>
      </w:r>
      <w:r>
        <w:t xml:space="preserve"> </w:t>
      </w:r>
      <w:r>
        <w:t xml:space="preserve">2019;</w:t>
      </w:r>
      <w:r>
        <w:rPr>
          <w:bCs/>
          <w:b/>
        </w:rPr>
        <w:t xml:space="preserve">97</w:t>
      </w:r>
      <w:r>
        <w:t xml:space="preserve">:103258.</w:t>
      </w:r>
    </w:p>
    <w:bookmarkEnd w:id="64"/>
    <w:bookmarkStart w:id="65" w:name="ref-Swerdel2022-pi"/>
    <w:p>
      <w:pPr>
        <w:pStyle w:val="Bibliography"/>
      </w:pPr>
      <w:r>
        <w:t xml:space="preserve">4</w:t>
      </w:r>
      <w:r>
        <w:t xml:space="preserve"> </w:t>
      </w:r>
      <w:r>
        <w:t xml:space="preserve">	</w:t>
      </w:r>
      <w:r>
        <w:t xml:space="preserve">Swerdel JN, Schuemie M, Murray G,</w:t>
      </w:r>
      <w:r>
        <w:t xml:space="preserve"> </w:t>
      </w:r>
      <w:r>
        <w:rPr>
          <w:iCs/>
          <w:i/>
        </w:rPr>
        <w:t xml:space="preserve">et al.</w:t>
      </w:r>
      <w:r>
        <w:t xml:space="preserve"> </w:t>
      </w:r>
      <w:r>
        <w:t xml:space="preserve">PheValuator</w:t>
      </w:r>
      <w:r>
        <w:t xml:space="preserve"> </w:t>
      </w:r>
      <w:r>
        <w:t xml:space="preserve">2.0: Methodological improvements for the</w:t>
      </w:r>
      <w:r>
        <w:t xml:space="preserve"> </w:t>
      </w:r>
      <w:r>
        <w:t xml:space="preserve">PheValuator</w:t>
      </w:r>
      <w:r>
        <w:t xml:space="preserve"> </w:t>
      </w:r>
      <w:r>
        <w:t xml:space="preserve">approach to semi-automated phenotype algorithm evaluation.</w:t>
      </w:r>
      <w:r>
        <w:t xml:space="preserve"> </w:t>
      </w:r>
      <w:r>
        <w:rPr>
          <w:iCs/>
          <w:i/>
        </w:rPr>
        <w:t xml:space="preserve">J Biomed Inform</w:t>
      </w:r>
      <w:r>
        <w:t xml:space="preserve"> </w:t>
      </w:r>
      <w:r>
        <w:t xml:space="preserve">2022;</w:t>
      </w:r>
      <w:r>
        <w:rPr>
          <w:bCs/>
          <w:b/>
        </w:rPr>
        <w:t xml:space="preserve">135</w:t>
      </w:r>
      <w:r>
        <w:t xml:space="preserve">:104177.</w:t>
      </w:r>
    </w:p>
    <w:bookmarkEnd w:id="65"/>
    <w:bookmarkEnd w:id="66"/>
    <w:bookmarkEnd w:id="67"/>
    <w:bookmarkStart w:id="68" w:name="appendix"/>
    <w:p>
      <w:pPr>
        <w:pStyle w:val="Heading1"/>
      </w:pPr>
      <w:r>
        <w:t xml:space="preserve">Appendix</w:t>
      </w:r>
    </w:p>
    <w:bookmarkEnd w:id="68"/>
    <w:bookmarkStart w:id="97" w:name="X7d4586f8b378d1ceb1392efb5517ca65df521ae"/>
    <w:p>
      <w:pPr>
        <w:pStyle w:val="Heading1"/>
      </w:pPr>
      <w:r>
        <w:rPr>
          <w:rStyle w:val="SectionNumber"/>
        </w:rPr>
        <w:t xml:space="preserve">7</w:t>
      </w:r>
      <w:r>
        <w:tab/>
      </w:r>
      <w:r>
        <w:t xml:space="preserve">Probabilistic reference standard validation cohort definitions</w:t>
      </w:r>
    </w:p>
    <w:bookmarkStart w:id="72" w:name="xspec-validation-cohort"/>
    <w:p>
      <w:pPr>
        <w:pStyle w:val="Heading2"/>
      </w:pPr>
      <w:r>
        <w:rPr>
          <w:rStyle w:val="SectionNumber"/>
        </w:rPr>
        <w:t xml:space="preserve">7.1</w:t>
      </w:r>
      <w:r>
        <w:tab/>
      </w:r>
      <w:r>
        <w:t xml:space="preserve">xSpec validation cohort</w:t>
      </w:r>
    </w:p>
    <w:bookmarkStart w:id="69" w:name="cohort-entry-events"/>
    <w:p>
      <w:pPr>
        <w:pStyle w:val="Heading3"/>
      </w:pPr>
      <w:r>
        <w:rPr>
          <w:rStyle w:val="SectionNumber"/>
        </w:rPr>
        <w:t xml:space="preserve">7.1.1</w:t>
      </w:r>
      <w:r>
        <w:tab/>
      </w:r>
      <w:r>
        <w:t xml:space="preserve">Cohort Entry Events</w:t>
      </w:r>
    </w:p>
    <w:p>
      <w:pPr>
        <w:pStyle w:val="FirstParagraph"/>
      </w:pPr>
      <w:r>
        <w:t xml:space="preserve">People may enter the cohort when observing any of the following:</w:t>
      </w:r>
    </w:p>
    <w:p>
      <w:pPr>
        <w:numPr>
          <w:ilvl w:val="0"/>
          <w:numId w:val="1028"/>
        </w:numPr>
        <w:pStyle w:val="Compact"/>
      </w:pPr>
      <w:r>
        <w:t xml:space="preserve">visit occurrences of any visit, starting on or after January 1, 2010.</w:t>
      </w:r>
    </w:p>
    <w:p>
      <w:pPr>
        <w:pStyle w:val="FirstParagraph"/>
      </w:pPr>
      <w:r>
        <w:t xml:space="preserve">Restrict entry events to having at least 2 condition occurrences of</w:t>
      </w:r>
      <w:r>
        <w:t xml:space="preserve"> </w:t>
      </w:r>
      <w:r>
        <w:t xml:space="preserve">‘</w:t>
      </w:r>
      <w:r>
        <w:t xml:space="preserve">[QBA eval] Cerebral infarction NC</w:t>
      </w:r>
      <w:r>
        <w:t xml:space="preserve">’</w:t>
      </w:r>
      <w:r>
        <w:t xml:space="preserve">, starting in the 1 days prior to cohort entry start date.</w:t>
      </w:r>
    </w:p>
    <w:bookmarkEnd w:id="69"/>
    <w:bookmarkStart w:id="70" w:name="cohort-exit"/>
    <w:p>
      <w:pPr>
        <w:pStyle w:val="Heading3"/>
      </w:pPr>
      <w:r>
        <w:rPr>
          <w:rStyle w:val="SectionNumber"/>
        </w:rPr>
        <w:t xml:space="preserve">7.1.2</w:t>
      </w:r>
      <w:r>
        <w:tab/>
      </w:r>
      <w:r>
        <w:t xml:space="preserve">Cohort Exit</w:t>
      </w:r>
    </w:p>
    <w:p>
      <w:pPr>
        <w:pStyle w:val="FirstParagraph"/>
      </w:pPr>
      <w:r>
        <w:t xml:space="preserve">The cohort end date will be offset from index event’s start date plus 365 days.</w:t>
      </w:r>
    </w:p>
    <w:bookmarkEnd w:id="70"/>
    <w:bookmarkStart w:id="71" w:name="cohort-eras"/>
    <w:p>
      <w:pPr>
        <w:pStyle w:val="Heading3"/>
      </w:pPr>
      <w:r>
        <w:rPr>
          <w:rStyle w:val="SectionNumber"/>
        </w:rPr>
        <w:t xml:space="preserve">7.1.3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71"/>
    <w:bookmarkEnd w:id="72"/>
    <w:bookmarkStart w:id="76" w:name="xsens-validation-cohort"/>
    <w:p>
      <w:pPr>
        <w:pStyle w:val="Heading2"/>
      </w:pPr>
      <w:r>
        <w:rPr>
          <w:rStyle w:val="SectionNumber"/>
        </w:rPr>
        <w:t xml:space="preserve">7.2</w:t>
      </w:r>
      <w:r>
        <w:tab/>
      </w:r>
      <w:r>
        <w:t xml:space="preserve">xSens validation cohort</w:t>
      </w:r>
    </w:p>
    <w:bookmarkStart w:id="73" w:name="cohort-entry-events-1"/>
    <w:p>
      <w:pPr>
        <w:pStyle w:val="Heading3"/>
      </w:pPr>
      <w:r>
        <w:rPr>
          <w:rStyle w:val="SectionNumber"/>
        </w:rPr>
        <w:t xml:space="preserve">7.2.1</w:t>
      </w:r>
      <w:r>
        <w:tab/>
      </w:r>
      <w:r>
        <w:t xml:space="preserve">Cohort Entry Events</w:t>
      </w:r>
    </w:p>
    <w:p>
      <w:pPr>
        <w:pStyle w:val="FirstParagraph"/>
      </w:pPr>
      <w:r>
        <w:t xml:space="preserve">People may enter the cohort when observing any of the following:</w:t>
      </w:r>
    </w:p>
    <w:p>
      <w:pPr>
        <w:numPr>
          <w:ilvl w:val="0"/>
          <w:numId w:val="1029"/>
        </w:numPr>
        <w:pStyle w:val="Compact"/>
      </w:pPr>
      <w:r>
        <w:t xml:space="preserve">visit occurrences of any visit, starting on or after January 1, 2010.</w:t>
      </w:r>
    </w:p>
    <w:p>
      <w:pPr>
        <w:pStyle w:val="FirstParagraph"/>
      </w:pPr>
      <w:r>
        <w:t xml:space="preserve">Restrict entry events to having at least 1 condition occurrence of</w:t>
      </w:r>
      <w:r>
        <w:t xml:space="preserve"> </w:t>
      </w:r>
      <w:r>
        <w:t xml:space="preserve">‘</w:t>
      </w:r>
      <w:r>
        <w:t xml:space="preserve">[QBA eval] Cerebral infarction NC</w:t>
      </w:r>
      <w:r>
        <w:t xml:space="preserve">’</w:t>
      </w:r>
      <w:r>
        <w:t xml:space="preserve">, starting in the 91 days prior to cohort entry start date.</w:t>
      </w:r>
    </w:p>
    <w:bookmarkEnd w:id="73"/>
    <w:bookmarkStart w:id="74" w:name="cohort-exit-1"/>
    <w:p>
      <w:pPr>
        <w:pStyle w:val="Heading3"/>
      </w:pPr>
      <w:r>
        <w:rPr>
          <w:rStyle w:val="SectionNumber"/>
        </w:rPr>
        <w:t xml:space="preserve">7.2.2</w:t>
      </w:r>
      <w:r>
        <w:tab/>
      </w:r>
      <w:r>
        <w:t xml:space="preserve">Cohort Exit</w:t>
      </w:r>
    </w:p>
    <w:p>
      <w:pPr>
        <w:pStyle w:val="FirstParagraph"/>
      </w:pPr>
      <w:r>
        <w:t xml:space="preserve">The cohort end date will be offset from index event’s start date plus 365 days.</w:t>
      </w:r>
    </w:p>
    <w:bookmarkEnd w:id="74"/>
    <w:bookmarkStart w:id="75" w:name="cohort-eras-1"/>
    <w:p>
      <w:pPr>
        <w:pStyle w:val="Heading3"/>
      </w:pPr>
      <w:r>
        <w:rPr>
          <w:rStyle w:val="SectionNumber"/>
        </w:rPr>
        <w:t xml:space="preserve">7.2.3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75"/>
    <w:bookmarkEnd w:id="76"/>
    <w:bookmarkStart w:id="80" w:name="prevalence-validation-cohort"/>
    <w:p>
      <w:pPr>
        <w:pStyle w:val="Heading2"/>
      </w:pPr>
      <w:r>
        <w:rPr>
          <w:rStyle w:val="SectionNumber"/>
        </w:rPr>
        <w:t xml:space="preserve">7.3</w:t>
      </w:r>
      <w:r>
        <w:tab/>
      </w:r>
      <w:r>
        <w:t xml:space="preserve">Prevalence validation cohort</w:t>
      </w:r>
    </w:p>
    <w:bookmarkStart w:id="77" w:name="cohort-entry-events-2"/>
    <w:p>
      <w:pPr>
        <w:pStyle w:val="Heading3"/>
      </w:pPr>
      <w:r>
        <w:rPr>
          <w:rStyle w:val="SectionNumber"/>
        </w:rPr>
        <w:t xml:space="preserve">7.3.1</w:t>
      </w:r>
      <w:r>
        <w:tab/>
      </w:r>
      <w:r>
        <w:t xml:space="preserve">Cohort Entry Events</w:t>
      </w:r>
    </w:p>
    <w:p>
      <w:pPr>
        <w:pStyle w:val="FirstParagraph"/>
      </w:pPr>
      <w:r>
        <w:t xml:space="preserve">People enter the cohort when observing any of the following:</w:t>
      </w:r>
    </w:p>
    <w:p>
      <w:pPr>
        <w:numPr>
          <w:ilvl w:val="0"/>
          <w:numId w:val="1030"/>
        </w:numPr>
        <w:pStyle w:val="Compact"/>
      </w:pPr>
      <w:r>
        <w:t xml:space="preserve">condition occurrences of</w:t>
      </w:r>
      <w:r>
        <w:t xml:space="preserve"> </w:t>
      </w:r>
      <w:r>
        <w:t xml:space="preserve">‘</w:t>
      </w:r>
      <w:r>
        <w:t xml:space="preserve">[QBA eval] Cerebral infarction NC</w:t>
      </w:r>
      <w:r>
        <w:t xml:space="preserve">’</w:t>
      </w:r>
      <w:r>
        <w:t xml:space="preserve">, starting on or after January 1, 2010.</w:t>
      </w:r>
    </w:p>
    <w:p>
      <w:pPr>
        <w:pStyle w:val="FirstParagraph"/>
      </w:pPr>
      <w:r>
        <w:t xml:space="preserve">Limit cohort entry events to the earliest event per person.</w:t>
      </w:r>
    </w:p>
    <w:bookmarkEnd w:id="77"/>
    <w:bookmarkStart w:id="78" w:name="cohort-exit-2"/>
    <w:p>
      <w:pPr>
        <w:pStyle w:val="Heading3"/>
      </w:pPr>
      <w:r>
        <w:rPr>
          <w:rStyle w:val="SectionNumber"/>
        </w:rPr>
        <w:t xml:space="preserve">7.3.2</w:t>
      </w:r>
      <w:r>
        <w:tab/>
      </w:r>
      <w:r>
        <w:t xml:space="preserve">Cohort Exit</w:t>
      </w:r>
    </w:p>
    <w:p>
      <w:pPr>
        <w:pStyle w:val="FirstParagraph"/>
      </w:pPr>
      <w:r>
        <w:t xml:space="preserve">The person also exists the cohort at the end of continuous observation.</w:t>
      </w:r>
    </w:p>
    <w:bookmarkEnd w:id="78"/>
    <w:bookmarkStart w:id="79" w:name="cohort-eras-2"/>
    <w:p>
      <w:pPr>
        <w:pStyle w:val="Heading3"/>
      </w:pPr>
      <w:r>
        <w:rPr>
          <w:rStyle w:val="SectionNumber"/>
        </w:rPr>
        <w:t xml:space="preserve">7.3.3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79"/>
    <w:bookmarkEnd w:id="80"/>
    <w:bookmarkStart w:id="84" w:name="database-population-evaluation-cohort"/>
    <w:p>
      <w:pPr>
        <w:pStyle w:val="Heading2"/>
      </w:pPr>
      <w:r>
        <w:rPr>
          <w:rStyle w:val="SectionNumber"/>
        </w:rPr>
        <w:t xml:space="preserve">7.4</w:t>
      </w:r>
      <w:r>
        <w:tab/>
      </w:r>
      <w:r>
        <w:t xml:space="preserve">Database population evaluation cohort</w:t>
      </w:r>
    </w:p>
    <w:bookmarkStart w:id="81" w:name="cohort-entry-events-3"/>
    <w:p>
      <w:pPr>
        <w:pStyle w:val="Heading3"/>
      </w:pPr>
      <w:r>
        <w:rPr>
          <w:rStyle w:val="SectionNumber"/>
        </w:rPr>
        <w:t xml:space="preserve">7.4.1</w:t>
      </w:r>
      <w:r>
        <w:tab/>
      </w:r>
      <w:r>
        <w:t xml:space="preserve">Cohort Entry Events</w:t>
      </w:r>
    </w:p>
    <w:p>
      <w:pPr>
        <w:pStyle w:val="FirstParagraph"/>
      </w:pPr>
      <w:r>
        <w:t xml:space="preserve">People enter the cohort when observing any of the following:</w:t>
      </w:r>
    </w:p>
    <w:p>
      <w:pPr>
        <w:numPr>
          <w:ilvl w:val="0"/>
          <w:numId w:val="1031"/>
        </w:numPr>
      </w:pPr>
      <w:r>
        <w:t xml:space="preserve">visit occurrences of</w:t>
      </w:r>
      <w:r>
        <w:t xml:space="preserve"> </w:t>
      </w:r>
      <w:r>
        <w:t xml:space="preserve">‘</w:t>
      </w:r>
      <w:r>
        <w:t xml:space="preserve">Inpatient or Inpatient/ER visit</w:t>
      </w:r>
      <w:r>
        <w:t xml:space="preserve">’</w:t>
      </w:r>
      <w:r>
        <w:t xml:space="preserve">, starting on or after January 1, 2010; having no condition occurrences of</w:t>
      </w:r>
      <w:r>
        <w:t xml:space="preserve"> </w:t>
      </w:r>
      <w:r>
        <w:t xml:space="preserve">‘</w:t>
      </w:r>
      <w:r>
        <w:t xml:space="preserve">[QBA eval] Cerebral infarction NC</w:t>
      </w:r>
      <w:r>
        <w:t xml:space="preserve">’</w:t>
      </w:r>
      <w:r>
        <w:t xml:space="preserve">.</w:t>
      </w:r>
    </w:p>
    <w:p>
      <w:pPr>
        <w:numPr>
          <w:ilvl w:val="0"/>
          <w:numId w:val="1031"/>
        </w:numPr>
      </w:pPr>
      <w:r>
        <w:t xml:space="preserve">visit occurrences of</w:t>
      </w:r>
      <w:r>
        <w:t xml:space="preserve"> </w:t>
      </w:r>
      <w:r>
        <w:t xml:space="preserve">‘</w:t>
      </w:r>
      <w:r>
        <w:t xml:space="preserve">Inpatient or Inpatient/ER visit</w:t>
      </w:r>
      <w:r>
        <w:t xml:space="preserve">’</w:t>
      </w:r>
      <w:r>
        <w:t xml:space="preserve">, starting on or after January 1, 2010; having at least 1 condition occurrence of</w:t>
      </w:r>
      <w:r>
        <w:t xml:space="preserve"> </w:t>
      </w:r>
      <w:r>
        <w:t xml:space="preserve">‘</w:t>
      </w:r>
      <w:r>
        <w:t xml:space="preserve">[QBA eval] Cerebral infarction NC</w:t>
      </w:r>
      <w:r>
        <w:t xml:space="preserve">’</w:t>
      </w:r>
      <w:r>
        <w:t xml:space="preserve">, starting between 0 days before and all days after</w:t>
      </w:r>
      <w:r>
        <w:t xml:space="preserve"> </w:t>
      </w:r>
      <w:r>
        <w:t xml:space="preserve">‘</w:t>
      </w:r>
      <w:r>
        <w:t xml:space="preserve">Inpatient or Inpatient/ER visit</w:t>
      </w:r>
      <w:r>
        <w:t xml:space="preserve">’</w:t>
      </w:r>
      <w:r>
        <w:t xml:space="preserve"> </w:t>
      </w:r>
      <w:r>
        <w:t xml:space="preserve">start date and starting anytime on or before</w:t>
      </w:r>
      <w:r>
        <w:t xml:space="preserve"> </w:t>
      </w:r>
      <w:r>
        <w:t xml:space="preserve">‘</w:t>
      </w:r>
      <w:r>
        <w:t xml:space="preserve">Inpatient or Inpatient/ER visit</w:t>
      </w:r>
      <w:r>
        <w:t xml:space="preserve">’</w:t>
      </w:r>
      <w:r>
        <w:t xml:space="preserve"> </w:t>
      </w:r>
      <w:r>
        <w:t xml:space="preserve">end date.</w:t>
      </w:r>
    </w:p>
    <w:bookmarkEnd w:id="81"/>
    <w:bookmarkStart w:id="82" w:name="cohort-exit-3"/>
    <w:p>
      <w:pPr>
        <w:pStyle w:val="Heading3"/>
      </w:pPr>
      <w:r>
        <w:rPr>
          <w:rStyle w:val="SectionNumber"/>
        </w:rPr>
        <w:t xml:space="preserve">7.4.2</w:t>
      </w:r>
      <w:r>
        <w:tab/>
      </w:r>
      <w:r>
        <w:t xml:space="preserve">Cohort Exit</w:t>
      </w:r>
    </w:p>
    <w:p>
      <w:pPr>
        <w:pStyle w:val="FirstParagraph"/>
      </w:pPr>
      <w:r>
        <w:t xml:space="preserve">The cohort end date will be offset from index event’s start date plus 365 days.</w:t>
      </w:r>
    </w:p>
    <w:bookmarkEnd w:id="82"/>
    <w:bookmarkStart w:id="83" w:name="cohort-eras-3"/>
    <w:p>
      <w:pPr>
        <w:pStyle w:val="Heading3"/>
      </w:pPr>
      <w:r>
        <w:rPr>
          <w:rStyle w:val="SectionNumber"/>
        </w:rPr>
        <w:t xml:space="preserve">7.4.3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83"/>
    <w:bookmarkEnd w:id="84"/>
    <w:bookmarkStart w:id="88" w:name="acei-new-users-evaluation-cohort"/>
    <w:p>
      <w:pPr>
        <w:pStyle w:val="Heading2"/>
      </w:pPr>
      <w:r>
        <w:rPr>
          <w:rStyle w:val="SectionNumber"/>
        </w:rPr>
        <w:t xml:space="preserve">7.5</w:t>
      </w:r>
      <w:r>
        <w:tab/>
      </w:r>
      <w:r>
        <w:t xml:space="preserve">ACEI new users evaluation cohort</w:t>
      </w:r>
    </w:p>
    <w:bookmarkStart w:id="85" w:name="cohort-entry-events-4"/>
    <w:p>
      <w:pPr>
        <w:pStyle w:val="Heading3"/>
      </w:pPr>
      <w:r>
        <w:rPr>
          <w:rStyle w:val="SectionNumber"/>
        </w:rPr>
        <w:t xml:space="preserve">7.5.1</w:t>
      </w:r>
      <w:r>
        <w:tab/>
      </w:r>
      <w:r>
        <w:t xml:space="preserve">Cohort Entry Events</w:t>
      </w:r>
    </w:p>
    <w:p>
      <w:pPr>
        <w:pStyle w:val="FirstParagraph"/>
      </w:pPr>
      <w:r>
        <w:t xml:space="preserve">People enter the cohort when observing any of the following:</w:t>
      </w:r>
    </w:p>
    <w:p>
      <w:pPr>
        <w:numPr>
          <w:ilvl w:val="0"/>
          <w:numId w:val="1032"/>
        </w:numPr>
      </w:pPr>
      <w:r>
        <w:t xml:space="preserve">visit occurrences of</w:t>
      </w:r>
      <w:r>
        <w:t xml:space="preserve"> </w:t>
      </w:r>
      <w:r>
        <w:t xml:space="preserve">‘</w:t>
      </w:r>
      <w:r>
        <w:t xml:space="preserve">Inpatient or Inpatient/ER visit</w:t>
      </w:r>
      <w:r>
        <w:t xml:space="preserve">’</w:t>
      </w:r>
      <w:r>
        <w:t xml:space="preserve">, starting on or after January 1, 2010; with all of the following criteria:</w:t>
      </w:r>
    </w:p>
    <w:p>
      <w:pPr>
        <w:numPr>
          <w:ilvl w:val="0"/>
          <w:numId w:val="1032"/>
        </w:numPr>
      </w:pPr>
      <w:r>
        <w:t xml:space="preserve">having no condition occurrences of</w:t>
      </w:r>
      <w:r>
        <w:t xml:space="preserve"> </w:t>
      </w:r>
      <w:r>
        <w:t xml:space="preserve">‘</w:t>
      </w:r>
      <w:r>
        <w:t xml:space="preserve">[QBA eval] Cerebral infarction NC</w:t>
      </w:r>
      <w:r>
        <w:t xml:space="preserve">’</w:t>
      </w:r>
      <w:r>
        <w:t xml:space="preserve">.</w:t>
      </w:r>
    </w:p>
    <w:p>
      <w:pPr>
        <w:numPr>
          <w:ilvl w:val="0"/>
          <w:numId w:val="1032"/>
        </w:numPr>
      </w:pPr>
      <w:r>
        <w:t xml:space="preserve">having at least 1 drug exposure of</w:t>
      </w:r>
      <w:r>
        <w:t xml:space="preserve"> </w:t>
      </w:r>
      <w:r>
        <w:t xml:space="preserve">‘</w:t>
      </w:r>
      <w:r>
        <w:t xml:space="preserve">[QBA eval] ACEIs</w:t>
      </w:r>
      <w:r>
        <w:t xml:space="preserve">’</w:t>
      </w:r>
      <w:r>
        <w:t xml:space="preserve">, starting anytime on or before</w:t>
      </w:r>
      <w:r>
        <w:t xml:space="preserve"> </w:t>
      </w:r>
      <w:r>
        <w:t xml:space="preserve">‘</w:t>
      </w:r>
      <w:r>
        <w:t xml:space="preserve">Inpatient or Inpatient/ER visit</w:t>
      </w:r>
      <w:r>
        <w:t xml:space="preserve">’</w:t>
      </w:r>
      <w:r>
        <w:t xml:space="preserve"> </w:t>
      </w:r>
      <w:r>
        <w:t xml:space="preserve">start date; having at least 1 condition occurrence of</w:t>
      </w:r>
      <w:r>
        <w:t xml:space="preserve"> </w:t>
      </w:r>
      <w:r>
        <w:t xml:space="preserve">‘</w:t>
      </w:r>
      <w:r>
        <w:t xml:space="preserve">[QBA eval] hypertension</w:t>
      </w:r>
      <w:r>
        <w:t xml:space="preserve">’</w:t>
      </w:r>
      <w:r>
        <w:t xml:space="preserve">, starting anytime on or before</w:t>
      </w:r>
      <w:r>
        <w:t xml:space="preserve"> </w:t>
      </w:r>
      <w:r>
        <w:t xml:space="preserve">‘</w:t>
      </w:r>
      <w:r>
        <w:t xml:space="preserve">[QBA eval] ACEIs</w:t>
      </w:r>
      <w:r>
        <w:t xml:space="preserve">’</w:t>
      </w:r>
      <w:r>
        <w:t xml:space="preserve"> </w:t>
      </w:r>
      <w:r>
        <w:t xml:space="preserve">start date.</w:t>
      </w:r>
    </w:p>
    <w:p>
      <w:pPr>
        <w:numPr>
          <w:ilvl w:val="0"/>
          <w:numId w:val="1032"/>
        </w:numPr>
      </w:pPr>
      <w:r>
        <w:t xml:space="preserve">visit occurrences of</w:t>
      </w:r>
      <w:r>
        <w:t xml:space="preserve"> </w:t>
      </w:r>
      <w:r>
        <w:t xml:space="preserve">‘</w:t>
      </w:r>
      <w:r>
        <w:t xml:space="preserve">Inpatient or Inpatient/ER visit</w:t>
      </w:r>
      <w:r>
        <w:t xml:space="preserve">’</w:t>
      </w:r>
      <w:r>
        <w:t xml:space="preserve">, starting on or after January 1, 2010; with all of the following criteria:</w:t>
      </w:r>
    </w:p>
    <w:p>
      <w:pPr>
        <w:numPr>
          <w:ilvl w:val="0"/>
          <w:numId w:val="1032"/>
        </w:numPr>
      </w:pPr>
      <w:r>
        <w:t xml:space="preserve">having at least 1 condition occurrence of</w:t>
      </w:r>
      <w:r>
        <w:t xml:space="preserve"> </w:t>
      </w:r>
      <w:r>
        <w:t xml:space="preserve">‘</w:t>
      </w:r>
      <w:r>
        <w:t xml:space="preserve">[QBA eval] Cerebral infarction NC</w:t>
      </w:r>
      <w:r>
        <w:t xml:space="preserve">’</w:t>
      </w:r>
      <w:r>
        <w:t xml:space="preserve">, starting between 0 days before and all days after</w:t>
      </w:r>
      <w:r>
        <w:t xml:space="preserve"> </w:t>
      </w:r>
      <w:r>
        <w:t xml:space="preserve">‘</w:t>
      </w:r>
      <w:r>
        <w:t xml:space="preserve">Inpatient or Inpatient/ER visit</w:t>
      </w:r>
      <w:r>
        <w:t xml:space="preserve">’</w:t>
      </w:r>
      <w:r>
        <w:t xml:space="preserve"> </w:t>
      </w:r>
      <w:r>
        <w:t xml:space="preserve">start date and starting anytime on or before</w:t>
      </w:r>
      <w:r>
        <w:t xml:space="preserve"> </w:t>
      </w:r>
      <w:r>
        <w:t xml:space="preserve">‘</w:t>
      </w:r>
      <w:r>
        <w:t xml:space="preserve">Inpatient or Inpatient/ER visit</w:t>
      </w:r>
      <w:r>
        <w:t xml:space="preserve">’</w:t>
      </w:r>
      <w:r>
        <w:t xml:space="preserve"> </w:t>
      </w:r>
      <w:r>
        <w:t xml:space="preserve">end date.</w:t>
      </w:r>
    </w:p>
    <w:p>
      <w:pPr>
        <w:numPr>
          <w:ilvl w:val="0"/>
          <w:numId w:val="1032"/>
        </w:numPr>
      </w:pPr>
      <w:r>
        <w:t xml:space="preserve">having at least 1 drug exposure of</w:t>
      </w:r>
      <w:r>
        <w:t xml:space="preserve"> </w:t>
      </w:r>
      <w:r>
        <w:t xml:space="preserve">‘</w:t>
      </w:r>
      <w:r>
        <w:t xml:space="preserve">[QBA eval] ACEIs</w:t>
      </w:r>
      <w:r>
        <w:t xml:space="preserve">’</w:t>
      </w:r>
      <w:r>
        <w:t xml:space="preserve">, starting anytime on or before</w:t>
      </w:r>
      <w:r>
        <w:t xml:space="preserve"> </w:t>
      </w:r>
      <w:r>
        <w:t xml:space="preserve">‘</w:t>
      </w:r>
      <w:r>
        <w:t xml:space="preserve">Inpatient or Inpatient/ER visit</w:t>
      </w:r>
      <w:r>
        <w:t xml:space="preserve">’</w:t>
      </w:r>
      <w:r>
        <w:t xml:space="preserve"> </w:t>
      </w:r>
      <w:r>
        <w:t xml:space="preserve">start date; having at least 1 condition occurrence of</w:t>
      </w:r>
      <w:r>
        <w:t xml:space="preserve"> </w:t>
      </w:r>
      <w:r>
        <w:t xml:space="preserve">‘</w:t>
      </w:r>
      <w:r>
        <w:t xml:space="preserve">[QBA eval] hypertension</w:t>
      </w:r>
      <w:r>
        <w:t xml:space="preserve">’</w:t>
      </w:r>
      <w:r>
        <w:t xml:space="preserve">.</w:t>
      </w:r>
    </w:p>
    <w:bookmarkEnd w:id="85"/>
    <w:bookmarkStart w:id="86" w:name="cohort-exit-4"/>
    <w:p>
      <w:pPr>
        <w:pStyle w:val="Heading3"/>
      </w:pPr>
      <w:r>
        <w:rPr>
          <w:rStyle w:val="SectionNumber"/>
        </w:rPr>
        <w:t xml:space="preserve">7.5.2</w:t>
      </w:r>
      <w:r>
        <w:tab/>
      </w:r>
      <w:r>
        <w:t xml:space="preserve">Cohort Exit</w:t>
      </w:r>
    </w:p>
    <w:p>
      <w:pPr>
        <w:pStyle w:val="FirstParagraph"/>
      </w:pPr>
      <w:r>
        <w:t xml:space="preserve">The cohort end date will be offset from index event’s start date plus 365 days.</w:t>
      </w:r>
    </w:p>
    <w:bookmarkEnd w:id="86"/>
    <w:bookmarkStart w:id="87" w:name="cohort-eras-4"/>
    <w:p>
      <w:pPr>
        <w:pStyle w:val="Heading3"/>
      </w:pPr>
      <w:r>
        <w:rPr>
          <w:rStyle w:val="SectionNumber"/>
        </w:rPr>
        <w:t xml:space="preserve">7.5.3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87"/>
    <w:bookmarkEnd w:id="88"/>
    <w:bookmarkStart w:id="92" w:name="arb-new-users-evaluation-cohort"/>
    <w:p>
      <w:pPr>
        <w:pStyle w:val="Heading2"/>
      </w:pPr>
      <w:r>
        <w:rPr>
          <w:rStyle w:val="SectionNumber"/>
        </w:rPr>
        <w:t xml:space="preserve">7.6</w:t>
      </w:r>
      <w:r>
        <w:tab/>
      </w:r>
      <w:r>
        <w:t xml:space="preserve">ARB new users evaluation cohort</w:t>
      </w:r>
    </w:p>
    <w:bookmarkStart w:id="89" w:name="cohort-entry-events-5"/>
    <w:p>
      <w:pPr>
        <w:pStyle w:val="Heading3"/>
      </w:pPr>
      <w:r>
        <w:rPr>
          <w:rStyle w:val="SectionNumber"/>
        </w:rPr>
        <w:t xml:space="preserve">7.6.1</w:t>
      </w:r>
      <w:r>
        <w:tab/>
      </w:r>
      <w:r>
        <w:t xml:space="preserve">Cohort Entry Events</w:t>
      </w:r>
    </w:p>
    <w:p>
      <w:pPr>
        <w:pStyle w:val="FirstParagraph"/>
      </w:pPr>
      <w:r>
        <w:t xml:space="preserve">People enter the cohort when observing any of the following:</w:t>
      </w:r>
    </w:p>
    <w:p>
      <w:pPr>
        <w:numPr>
          <w:ilvl w:val="0"/>
          <w:numId w:val="1033"/>
        </w:numPr>
      </w:pPr>
      <w:r>
        <w:t xml:space="preserve">visit occurrences of</w:t>
      </w:r>
      <w:r>
        <w:t xml:space="preserve"> </w:t>
      </w:r>
      <w:r>
        <w:t xml:space="preserve">‘</w:t>
      </w:r>
      <w:r>
        <w:t xml:space="preserve">Inpatient or Inpatient/ER visit</w:t>
      </w:r>
      <w:r>
        <w:t xml:space="preserve">’</w:t>
      </w:r>
      <w:r>
        <w:t xml:space="preserve">, starting on or after January 1, 2010; with all of the following criteria:</w:t>
      </w:r>
    </w:p>
    <w:p>
      <w:pPr>
        <w:numPr>
          <w:ilvl w:val="0"/>
          <w:numId w:val="1033"/>
        </w:numPr>
      </w:pPr>
      <w:r>
        <w:t xml:space="preserve">having no condition occurrences of</w:t>
      </w:r>
      <w:r>
        <w:t xml:space="preserve"> </w:t>
      </w:r>
      <w:r>
        <w:t xml:space="preserve">‘</w:t>
      </w:r>
      <w:r>
        <w:t xml:space="preserve">[QBA eval] Cerebral infarction NC</w:t>
      </w:r>
      <w:r>
        <w:t xml:space="preserve">’</w:t>
      </w:r>
      <w:r>
        <w:t xml:space="preserve">.</w:t>
      </w:r>
    </w:p>
    <w:p>
      <w:pPr>
        <w:numPr>
          <w:ilvl w:val="0"/>
          <w:numId w:val="1033"/>
        </w:numPr>
      </w:pPr>
      <w:r>
        <w:t xml:space="preserve">having at least 1 drug exposure of</w:t>
      </w:r>
      <w:r>
        <w:t xml:space="preserve"> </w:t>
      </w:r>
      <w:r>
        <w:t xml:space="preserve">‘</w:t>
      </w:r>
      <w:r>
        <w:t xml:space="preserve">[QBA eval] ARBs</w:t>
      </w:r>
      <w:r>
        <w:t xml:space="preserve">’</w:t>
      </w:r>
      <w:r>
        <w:t xml:space="preserve">, starting anytime on or before</w:t>
      </w:r>
      <w:r>
        <w:t xml:space="preserve"> </w:t>
      </w:r>
      <w:r>
        <w:t xml:space="preserve">‘</w:t>
      </w:r>
      <w:r>
        <w:t xml:space="preserve">Inpatient or Inpatient/ER visit</w:t>
      </w:r>
      <w:r>
        <w:t xml:space="preserve">’</w:t>
      </w:r>
      <w:r>
        <w:t xml:space="preserve"> </w:t>
      </w:r>
      <w:r>
        <w:t xml:space="preserve">start date; having at least 1 condition occurrence of</w:t>
      </w:r>
      <w:r>
        <w:t xml:space="preserve"> </w:t>
      </w:r>
      <w:r>
        <w:t xml:space="preserve">‘</w:t>
      </w:r>
      <w:r>
        <w:t xml:space="preserve">[QBA eval] hypertension</w:t>
      </w:r>
      <w:r>
        <w:t xml:space="preserve">’</w:t>
      </w:r>
      <w:r>
        <w:t xml:space="preserve">, starting anytime on or before</w:t>
      </w:r>
      <w:r>
        <w:t xml:space="preserve"> </w:t>
      </w:r>
      <w:r>
        <w:t xml:space="preserve">‘</w:t>
      </w:r>
      <w:r>
        <w:t xml:space="preserve">[QBA eval] ARBs</w:t>
      </w:r>
      <w:r>
        <w:t xml:space="preserve">’</w:t>
      </w:r>
      <w:r>
        <w:t xml:space="preserve"> </w:t>
      </w:r>
      <w:r>
        <w:t xml:space="preserve">start date.</w:t>
      </w:r>
    </w:p>
    <w:p>
      <w:pPr>
        <w:numPr>
          <w:ilvl w:val="0"/>
          <w:numId w:val="1033"/>
        </w:numPr>
      </w:pPr>
      <w:r>
        <w:t xml:space="preserve">visit occurrences of</w:t>
      </w:r>
      <w:r>
        <w:t xml:space="preserve"> </w:t>
      </w:r>
      <w:r>
        <w:t xml:space="preserve">‘</w:t>
      </w:r>
      <w:r>
        <w:t xml:space="preserve">Inpatient or Inpatient/ER visit</w:t>
      </w:r>
      <w:r>
        <w:t xml:space="preserve">’</w:t>
      </w:r>
      <w:r>
        <w:t xml:space="preserve">, starting on or after January 1, 2010; with all of the following criteria:</w:t>
      </w:r>
    </w:p>
    <w:p>
      <w:pPr>
        <w:numPr>
          <w:ilvl w:val="0"/>
          <w:numId w:val="1033"/>
        </w:numPr>
      </w:pPr>
      <w:r>
        <w:t xml:space="preserve">having at least 1 condition occurrence of</w:t>
      </w:r>
      <w:r>
        <w:t xml:space="preserve"> </w:t>
      </w:r>
      <w:r>
        <w:t xml:space="preserve">‘</w:t>
      </w:r>
      <w:r>
        <w:t xml:space="preserve">[QBA eval] Cerebral infarction NC</w:t>
      </w:r>
      <w:r>
        <w:t xml:space="preserve">’</w:t>
      </w:r>
      <w:r>
        <w:t xml:space="preserve">, starting between 0 days before and all days after</w:t>
      </w:r>
      <w:r>
        <w:t xml:space="preserve"> </w:t>
      </w:r>
      <w:r>
        <w:t xml:space="preserve">‘</w:t>
      </w:r>
      <w:r>
        <w:t xml:space="preserve">Inpatient or Inpatient/ER visit</w:t>
      </w:r>
      <w:r>
        <w:t xml:space="preserve">’</w:t>
      </w:r>
      <w:r>
        <w:t xml:space="preserve"> </w:t>
      </w:r>
      <w:r>
        <w:t xml:space="preserve">start date and starting anytime on or before</w:t>
      </w:r>
      <w:r>
        <w:t xml:space="preserve"> </w:t>
      </w:r>
      <w:r>
        <w:t xml:space="preserve">‘</w:t>
      </w:r>
      <w:r>
        <w:t xml:space="preserve">Inpatient or Inpatient/ER visit</w:t>
      </w:r>
      <w:r>
        <w:t xml:space="preserve">’</w:t>
      </w:r>
      <w:r>
        <w:t xml:space="preserve"> </w:t>
      </w:r>
      <w:r>
        <w:t xml:space="preserve">end date.</w:t>
      </w:r>
    </w:p>
    <w:p>
      <w:pPr>
        <w:numPr>
          <w:ilvl w:val="0"/>
          <w:numId w:val="1033"/>
        </w:numPr>
      </w:pPr>
      <w:r>
        <w:t xml:space="preserve">having at least 1 drug exposure of</w:t>
      </w:r>
      <w:r>
        <w:t xml:space="preserve"> </w:t>
      </w:r>
      <w:r>
        <w:t xml:space="preserve">‘</w:t>
      </w:r>
      <w:r>
        <w:t xml:space="preserve">[QBA eval] ARBs</w:t>
      </w:r>
      <w:r>
        <w:t xml:space="preserve">’</w:t>
      </w:r>
      <w:r>
        <w:t xml:space="preserve">, starting anytime on or before</w:t>
      </w:r>
      <w:r>
        <w:t xml:space="preserve"> </w:t>
      </w:r>
      <w:r>
        <w:t xml:space="preserve">‘</w:t>
      </w:r>
      <w:r>
        <w:t xml:space="preserve">Inpatient or Inpatient/ER visit</w:t>
      </w:r>
      <w:r>
        <w:t xml:space="preserve">’</w:t>
      </w:r>
      <w:r>
        <w:t xml:space="preserve"> </w:t>
      </w:r>
      <w:r>
        <w:t xml:space="preserve">start date; having at least 1 condition occurrence of</w:t>
      </w:r>
      <w:r>
        <w:t xml:space="preserve"> </w:t>
      </w:r>
      <w:r>
        <w:t xml:space="preserve">‘</w:t>
      </w:r>
      <w:r>
        <w:t xml:space="preserve">[QBA eval] hypertension</w:t>
      </w:r>
      <w:r>
        <w:t xml:space="preserve">’</w:t>
      </w:r>
      <w:r>
        <w:t xml:space="preserve">.</w:t>
      </w:r>
    </w:p>
    <w:bookmarkEnd w:id="89"/>
    <w:bookmarkStart w:id="90" w:name="cohort-exit-5"/>
    <w:p>
      <w:pPr>
        <w:pStyle w:val="Heading3"/>
      </w:pPr>
      <w:r>
        <w:rPr>
          <w:rStyle w:val="SectionNumber"/>
        </w:rPr>
        <w:t xml:space="preserve">7.6.2</w:t>
      </w:r>
      <w:r>
        <w:tab/>
      </w:r>
      <w:r>
        <w:t xml:space="preserve">Cohort Exit</w:t>
      </w:r>
    </w:p>
    <w:p>
      <w:pPr>
        <w:pStyle w:val="FirstParagraph"/>
      </w:pPr>
      <w:r>
        <w:t xml:space="preserve">The cohort end date will be offset from index event’s start date plus 365 days.</w:t>
      </w:r>
    </w:p>
    <w:bookmarkEnd w:id="90"/>
    <w:bookmarkStart w:id="91" w:name="cohort-eras-5"/>
    <w:p>
      <w:pPr>
        <w:pStyle w:val="Heading3"/>
      </w:pPr>
      <w:r>
        <w:rPr>
          <w:rStyle w:val="SectionNumber"/>
        </w:rPr>
        <w:t xml:space="preserve">7.6.3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91"/>
    <w:bookmarkEnd w:id="92"/>
    <w:bookmarkStart w:id="96" w:name="ths-new-users-evaluation-cohort"/>
    <w:p>
      <w:pPr>
        <w:pStyle w:val="Heading2"/>
      </w:pPr>
      <w:r>
        <w:rPr>
          <w:rStyle w:val="SectionNumber"/>
        </w:rPr>
        <w:t xml:space="preserve">7.7</w:t>
      </w:r>
      <w:r>
        <w:tab/>
      </w:r>
      <w:r>
        <w:t xml:space="preserve">THS new users evaluation cohort</w:t>
      </w:r>
    </w:p>
    <w:bookmarkStart w:id="93" w:name="cohort-entry-events-6"/>
    <w:p>
      <w:pPr>
        <w:pStyle w:val="Heading3"/>
      </w:pPr>
      <w:r>
        <w:rPr>
          <w:rStyle w:val="SectionNumber"/>
        </w:rPr>
        <w:t xml:space="preserve">7.7.1</w:t>
      </w:r>
      <w:r>
        <w:tab/>
      </w:r>
      <w:r>
        <w:t xml:space="preserve">Cohort Entry Events</w:t>
      </w:r>
    </w:p>
    <w:p>
      <w:pPr>
        <w:pStyle w:val="FirstParagraph"/>
      </w:pPr>
      <w:r>
        <w:t xml:space="preserve">People enter the cohort when observing any of the following:</w:t>
      </w:r>
    </w:p>
    <w:p>
      <w:pPr>
        <w:numPr>
          <w:ilvl w:val="0"/>
          <w:numId w:val="1034"/>
        </w:numPr>
      </w:pPr>
      <w:r>
        <w:t xml:space="preserve">visit occurrences of</w:t>
      </w:r>
      <w:r>
        <w:t xml:space="preserve"> </w:t>
      </w:r>
      <w:r>
        <w:t xml:space="preserve">‘</w:t>
      </w:r>
      <w:r>
        <w:t xml:space="preserve">Inpatient or Inpatient/ER visit</w:t>
      </w:r>
      <w:r>
        <w:t xml:space="preserve">’</w:t>
      </w:r>
      <w:r>
        <w:t xml:space="preserve">, starting on or after January 1, 2010; with all of the following criteria:</w:t>
      </w:r>
    </w:p>
    <w:p>
      <w:pPr>
        <w:numPr>
          <w:ilvl w:val="0"/>
          <w:numId w:val="1034"/>
        </w:numPr>
      </w:pPr>
      <w:r>
        <w:t xml:space="preserve">having no condition occurrences of</w:t>
      </w:r>
      <w:r>
        <w:t xml:space="preserve"> </w:t>
      </w:r>
      <w:r>
        <w:t xml:space="preserve">‘</w:t>
      </w:r>
      <w:r>
        <w:t xml:space="preserve">[QBA eval] Cerebral infarction NC</w:t>
      </w:r>
      <w:r>
        <w:t xml:space="preserve">’</w:t>
      </w:r>
      <w:r>
        <w:t xml:space="preserve">.</w:t>
      </w:r>
    </w:p>
    <w:p>
      <w:pPr>
        <w:numPr>
          <w:ilvl w:val="0"/>
          <w:numId w:val="1034"/>
        </w:numPr>
      </w:pPr>
      <w:r>
        <w:t xml:space="preserve">having at least 1 drug exposure of</w:t>
      </w:r>
      <w:r>
        <w:t xml:space="preserve"> </w:t>
      </w:r>
      <w:r>
        <w:t xml:space="preserve">‘</w:t>
      </w:r>
      <w:r>
        <w:t xml:space="preserve">[QBA eval] THZs</w:t>
      </w:r>
      <w:r>
        <w:t xml:space="preserve">’</w:t>
      </w:r>
      <w:r>
        <w:t xml:space="preserve">, starting anytime on or before</w:t>
      </w:r>
      <w:r>
        <w:t xml:space="preserve"> </w:t>
      </w:r>
      <w:r>
        <w:t xml:space="preserve">‘</w:t>
      </w:r>
      <w:r>
        <w:t xml:space="preserve">Inpatient or Inpatient/ER visit</w:t>
      </w:r>
      <w:r>
        <w:t xml:space="preserve">’</w:t>
      </w:r>
      <w:r>
        <w:t xml:space="preserve"> </w:t>
      </w:r>
      <w:r>
        <w:t xml:space="preserve">start date; having at least 1 condition occurrence of</w:t>
      </w:r>
      <w:r>
        <w:t xml:space="preserve"> </w:t>
      </w:r>
      <w:r>
        <w:t xml:space="preserve">‘</w:t>
      </w:r>
      <w:r>
        <w:t xml:space="preserve">[QBA eval] hypertension</w:t>
      </w:r>
      <w:r>
        <w:t xml:space="preserve">’</w:t>
      </w:r>
      <w:r>
        <w:t xml:space="preserve">, starting anytime on or before</w:t>
      </w:r>
      <w:r>
        <w:t xml:space="preserve"> </w:t>
      </w:r>
      <w:r>
        <w:t xml:space="preserve">‘</w:t>
      </w:r>
      <w:r>
        <w:t xml:space="preserve">[QBA eval] THZs</w:t>
      </w:r>
      <w:r>
        <w:t xml:space="preserve">’</w:t>
      </w:r>
      <w:r>
        <w:t xml:space="preserve"> </w:t>
      </w:r>
      <w:r>
        <w:t xml:space="preserve">start date.</w:t>
      </w:r>
    </w:p>
    <w:p>
      <w:pPr>
        <w:numPr>
          <w:ilvl w:val="0"/>
          <w:numId w:val="1034"/>
        </w:numPr>
      </w:pPr>
      <w:r>
        <w:t xml:space="preserve">visit occurrences of</w:t>
      </w:r>
      <w:r>
        <w:t xml:space="preserve"> </w:t>
      </w:r>
      <w:r>
        <w:t xml:space="preserve">‘</w:t>
      </w:r>
      <w:r>
        <w:t xml:space="preserve">Inpatient or Inpatient/ER visit</w:t>
      </w:r>
      <w:r>
        <w:t xml:space="preserve">’</w:t>
      </w:r>
      <w:r>
        <w:t xml:space="preserve">, starting on or after January 1, 2010; with all of the following criteria:</w:t>
      </w:r>
    </w:p>
    <w:p>
      <w:pPr>
        <w:numPr>
          <w:ilvl w:val="0"/>
          <w:numId w:val="1034"/>
        </w:numPr>
      </w:pPr>
      <w:r>
        <w:t xml:space="preserve">having at least 1 condition occurrence of</w:t>
      </w:r>
      <w:r>
        <w:t xml:space="preserve"> </w:t>
      </w:r>
      <w:r>
        <w:t xml:space="preserve">‘</w:t>
      </w:r>
      <w:r>
        <w:t xml:space="preserve">[QBA eval] Cerebral infarction NC</w:t>
      </w:r>
      <w:r>
        <w:t xml:space="preserve">’</w:t>
      </w:r>
      <w:r>
        <w:t xml:space="preserve">, starting between 0 days before and all days after</w:t>
      </w:r>
      <w:r>
        <w:t xml:space="preserve"> </w:t>
      </w:r>
      <w:r>
        <w:t xml:space="preserve">‘</w:t>
      </w:r>
      <w:r>
        <w:t xml:space="preserve">Inpatient or Inpatient/ER visit</w:t>
      </w:r>
      <w:r>
        <w:t xml:space="preserve">’</w:t>
      </w:r>
      <w:r>
        <w:t xml:space="preserve"> </w:t>
      </w:r>
      <w:r>
        <w:t xml:space="preserve">start date and starting anytime on or before</w:t>
      </w:r>
      <w:r>
        <w:t xml:space="preserve"> </w:t>
      </w:r>
      <w:r>
        <w:t xml:space="preserve">‘</w:t>
      </w:r>
      <w:r>
        <w:t xml:space="preserve">Inpatient or Inpatient/ER visit</w:t>
      </w:r>
      <w:r>
        <w:t xml:space="preserve">’</w:t>
      </w:r>
      <w:r>
        <w:t xml:space="preserve"> </w:t>
      </w:r>
      <w:r>
        <w:t xml:space="preserve">end date.</w:t>
      </w:r>
    </w:p>
    <w:p>
      <w:pPr>
        <w:numPr>
          <w:ilvl w:val="0"/>
          <w:numId w:val="1034"/>
        </w:numPr>
      </w:pPr>
      <w:r>
        <w:t xml:space="preserve">having at least 1 drug exposure of</w:t>
      </w:r>
      <w:r>
        <w:t xml:space="preserve"> </w:t>
      </w:r>
      <w:r>
        <w:t xml:space="preserve">‘</w:t>
      </w:r>
      <w:r>
        <w:t xml:space="preserve">[QBA eval] THZs</w:t>
      </w:r>
      <w:r>
        <w:t xml:space="preserve">’</w:t>
      </w:r>
      <w:r>
        <w:t xml:space="preserve">, starting anytime on or before</w:t>
      </w:r>
      <w:r>
        <w:t xml:space="preserve"> </w:t>
      </w:r>
      <w:r>
        <w:t xml:space="preserve">‘</w:t>
      </w:r>
      <w:r>
        <w:t xml:space="preserve">Inpatient or Inpatient/ER visit</w:t>
      </w:r>
      <w:r>
        <w:t xml:space="preserve">’</w:t>
      </w:r>
      <w:r>
        <w:t xml:space="preserve"> </w:t>
      </w:r>
      <w:r>
        <w:t xml:space="preserve">start date; having at least 1 condition occurrence of</w:t>
      </w:r>
      <w:r>
        <w:t xml:space="preserve"> </w:t>
      </w:r>
      <w:r>
        <w:t xml:space="preserve">‘</w:t>
      </w:r>
      <w:r>
        <w:t xml:space="preserve">[QBA eval] hypertension</w:t>
      </w:r>
      <w:r>
        <w:t xml:space="preserve">’</w:t>
      </w:r>
      <w:r>
        <w:t xml:space="preserve">.</w:t>
      </w:r>
    </w:p>
    <w:bookmarkEnd w:id="93"/>
    <w:bookmarkStart w:id="94" w:name="cohort-exit-6"/>
    <w:p>
      <w:pPr>
        <w:pStyle w:val="Heading3"/>
      </w:pPr>
      <w:r>
        <w:rPr>
          <w:rStyle w:val="SectionNumber"/>
        </w:rPr>
        <w:t xml:space="preserve">7.7.2</w:t>
      </w:r>
      <w:r>
        <w:tab/>
      </w:r>
      <w:r>
        <w:t xml:space="preserve">Cohort Exit</w:t>
      </w:r>
    </w:p>
    <w:p>
      <w:pPr>
        <w:pStyle w:val="FirstParagraph"/>
      </w:pPr>
      <w:r>
        <w:t xml:space="preserve">The cohort end date will be offset from index event’s start date plus 365 days.</w:t>
      </w:r>
    </w:p>
    <w:bookmarkEnd w:id="94"/>
    <w:bookmarkStart w:id="95" w:name="cohort-eras-6"/>
    <w:p>
      <w:pPr>
        <w:pStyle w:val="Heading3"/>
      </w:pPr>
      <w:r>
        <w:rPr>
          <w:rStyle w:val="SectionNumber"/>
        </w:rPr>
        <w:t xml:space="preserve">7.7.3</w:t>
      </w:r>
      <w:r>
        <w:tab/>
      </w:r>
      <w:r>
        <w:t xml:space="preserve">Cohort Eras</w:t>
      </w:r>
    </w:p>
    <w:p>
      <w:pPr>
        <w:pStyle w:val="FirstParagraph"/>
      </w:pPr>
      <w:r>
        <w:t xml:space="preserve">Entry events will be combined into cohort eras if they are within 0 days of each other.</w:t>
      </w:r>
    </w:p>
    <w:p>
      <w:r>
        <w:pict>
          <v:rect style="width:0;height:1.5pt" o:hralign="center" o:hrstd="t" o:hr="t"/>
        </w:pict>
      </w:r>
    </w:p>
    <w:bookmarkEnd w:id="95"/>
    <w:bookmarkEnd w:id="96"/>
    <w:bookmarkEnd w:id="97"/>
    <w:bookmarkStart w:id="119" w:name="exposure-cohort-definitions-1"/>
    <w:p>
      <w:pPr>
        <w:pStyle w:val="Heading1"/>
      </w:pPr>
      <w:r>
        <w:rPr>
          <w:rStyle w:val="SectionNumber"/>
        </w:rPr>
        <w:t xml:space="preserve">8</w:t>
      </w:r>
      <w:r>
        <w:tab/>
      </w:r>
      <w:r>
        <w:t xml:space="preserve">Exposure cohort definitions</w:t>
      </w:r>
    </w:p>
    <w:bookmarkStart w:id="104" w:name="acei-new-users-with-prior-hypertension-1"/>
    <w:p>
      <w:pPr>
        <w:pStyle w:val="Heading2"/>
      </w:pPr>
      <w:r>
        <w:rPr>
          <w:rStyle w:val="SectionNumber"/>
        </w:rPr>
        <w:t xml:space="preserve">8.1</w:t>
      </w:r>
      <w:r>
        <w:tab/>
      </w:r>
      <w:r>
        <w:t xml:space="preserve">ACEI new users with prior hypertension</w:t>
      </w:r>
    </w:p>
    <w:bookmarkStart w:id="98" w:name="cohort-entry-events-7"/>
    <w:p>
      <w:pPr>
        <w:pStyle w:val="Heading3"/>
      </w:pPr>
      <w:r>
        <w:rPr>
          <w:rStyle w:val="SectionNumber"/>
        </w:rPr>
        <w:t xml:space="preserve">8.1.1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35"/>
        </w:numPr>
        <w:pStyle w:val="Compact"/>
      </w:pPr>
      <w:r>
        <w:t xml:space="preserve">drug exposure of</w:t>
      </w:r>
      <w:r>
        <w:t xml:space="preserve"> </w:t>
      </w:r>
      <w:r>
        <w:t xml:space="preserve">‘</w:t>
      </w:r>
      <w:r>
        <w:t xml:space="preserve">[QBA eval] ACEIs</w:t>
      </w:r>
      <w:r>
        <w:t xml:space="preserve">’</w:t>
      </w:r>
      <w:r>
        <w:t xml:space="preserve"> </w:t>
      </w:r>
      <w:r>
        <w:t xml:space="preserve">for the first time in the person’s history, starting on or after January 1, 2010.</w:t>
      </w:r>
    </w:p>
    <w:p>
      <w:pPr>
        <w:pStyle w:val="FirstParagraph"/>
      </w:pPr>
      <w:r>
        <w:t xml:space="preserve">Limit cohort entry events to the earliest event per person.</w:t>
      </w:r>
    </w:p>
    <w:p>
      <w:pPr>
        <w:pStyle w:val="BodyText"/>
      </w:pPr>
      <w:r>
        <w:t xml:space="preserve">Restrict entry events to with all of the following criteria:</w:t>
      </w:r>
    </w:p>
    <w:p>
      <w:pPr>
        <w:numPr>
          <w:ilvl w:val="0"/>
          <w:numId w:val="1036"/>
        </w:numPr>
        <w:pStyle w:val="Compact"/>
      </w:pPr>
      <w:r>
        <w:t xml:space="preserve">having no drug exposures of</w:t>
      </w:r>
      <w:r>
        <w:t xml:space="preserve"> </w:t>
      </w:r>
      <w:r>
        <w:t xml:space="preserve">‘</w:t>
      </w:r>
      <w:r>
        <w:t xml:space="preserve">[QBA eval] hypertension drugs</w:t>
      </w:r>
      <w:r>
        <w:t xml:space="preserve">’</w:t>
      </w:r>
      <w:r>
        <w:t xml:space="preserve">, starting anytime prior to cohort entry start date.</w:t>
      </w:r>
    </w:p>
    <w:p>
      <w:pPr>
        <w:numPr>
          <w:ilvl w:val="0"/>
          <w:numId w:val="1036"/>
        </w:numPr>
        <w:pStyle w:val="Compact"/>
      </w:pPr>
      <w:r>
        <w:t xml:space="preserve">having at least 1 condition occurrence of</w:t>
      </w:r>
      <w:r>
        <w:t xml:space="preserve"> </w:t>
      </w:r>
      <w:r>
        <w:t xml:space="preserve">‘</w:t>
      </w:r>
      <w:r>
        <w:t xml:space="preserve">[QBA eval] hypertension</w:t>
      </w:r>
      <w:r>
        <w:t xml:space="preserve">’</w:t>
      </w:r>
      <w:r>
        <w:t xml:space="preserve">, starting between 365 days before and 0 days after cohort entry start date.</w:t>
      </w:r>
    </w:p>
    <w:p>
      <w:pPr>
        <w:numPr>
          <w:ilvl w:val="0"/>
          <w:numId w:val="1036"/>
        </w:numPr>
        <w:pStyle w:val="Compact"/>
      </w:pPr>
      <w:r>
        <w:t xml:space="preserve">having exactly 1 distinct standard concepts from drug era of</w:t>
      </w:r>
      <w:r>
        <w:t xml:space="preserve"> </w:t>
      </w:r>
      <w:r>
        <w:t xml:space="preserve">‘</w:t>
      </w:r>
      <w:r>
        <w:t xml:space="preserve">[QBA eval] hypertension drugs</w:t>
      </w:r>
      <w:r>
        <w:t xml:space="preserve">’</w:t>
      </w:r>
      <w:r>
        <w:t xml:space="preserve">, starting between 0 days before and 7 days after cohort entry start date.</w:t>
      </w:r>
    </w:p>
    <w:bookmarkEnd w:id="98"/>
    <w:bookmarkStart w:id="99" w:name="cohort-exit-7"/>
    <w:p>
      <w:pPr>
        <w:pStyle w:val="Heading3"/>
      </w:pPr>
      <w:r>
        <w:rPr>
          <w:rStyle w:val="SectionNumber"/>
        </w:rPr>
        <w:t xml:space="preserve">8.1.2</w:t>
      </w:r>
      <w:r>
        <w:tab/>
      </w:r>
      <w:r>
        <w:t xml:space="preserve">Cohort Exit</w:t>
      </w:r>
    </w:p>
    <w:p>
      <w:pPr>
        <w:pStyle w:val="FirstParagraph"/>
      </w:pPr>
      <w:r>
        <w:t xml:space="preserve">The cohort end date will be based on a continuous exposure to</w:t>
      </w:r>
      <w:r>
        <w:t xml:space="preserve"> </w:t>
      </w:r>
      <w:r>
        <w:t xml:space="preserve">‘</w:t>
      </w:r>
      <w:r>
        <w:t xml:space="preserve">[QBA eval] ACEIs</w:t>
      </w:r>
      <w:r>
        <w:t xml:space="preserve">’</w:t>
      </w:r>
      <w:r>
        <w:t xml:space="preserve">:</w:t>
      </w:r>
      <w:r>
        <w:t xml:space="preserve"> </w:t>
      </w:r>
      <w:r>
        <w:t xml:space="preserve">allowing 30 days between exposures, adding 0 days after exposure ends, and using days supply and exposure end date for exposure duration.</w:t>
      </w:r>
    </w:p>
    <w:bookmarkEnd w:id="99"/>
    <w:bookmarkStart w:id="100" w:name="cohort-eras-7"/>
    <w:p>
      <w:pPr>
        <w:pStyle w:val="Heading3"/>
      </w:pPr>
      <w:r>
        <w:rPr>
          <w:rStyle w:val="SectionNumber"/>
        </w:rPr>
        <w:t xml:space="preserve">8.1.3</w:t>
      </w:r>
      <w:r>
        <w:tab/>
      </w:r>
      <w:r>
        <w:t xml:space="preserve">Cohort Eras</w:t>
      </w:r>
    </w:p>
    <w:p>
      <w:pPr>
        <w:pStyle w:val="FirstParagraph"/>
      </w:pPr>
      <w:r>
        <w:t xml:space="preserve">Entry events will be combined into cohort eras if they are within 0 days of each other.</w:t>
      </w:r>
    </w:p>
    <w:bookmarkEnd w:id="100"/>
    <w:bookmarkStart w:id="101" w:name="qba-eval-hypertension"/>
    <w:p>
      <w:pPr>
        <w:pStyle w:val="Heading3"/>
      </w:pPr>
      <w:r>
        <w:rPr>
          <w:rStyle w:val="SectionNumber"/>
        </w:rPr>
        <w:t xml:space="preserve">8.1.4</w:t>
      </w:r>
      <w:r>
        <w:tab/>
      </w:r>
      <w:r>
        <w:t xml:space="preserve">[QBA eval] hypertension</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316866</w:t>
            </w:r>
          </w:p>
        </w:tc>
        <w:tc>
          <w:tcPr/>
          <w:p>
            <w:pPr>
              <w:pStyle w:val="Compact"/>
              <w:jc w:val="left"/>
            </w:pPr>
            <w:r>
              <w:t xml:space="preserve">Hypertensive disorder</w:t>
            </w:r>
          </w:p>
        </w:tc>
        <w:tc>
          <w:tcPr/>
          <w:p>
            <w:pPr>
              <w:pStyle w:val="Compact"/>
              <w:jc w:val="left"/>
            </w:pPr>
            <w:r>
              <w:t xml:space="preserve">38341003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01"/>
    <w:bookmarkStart w:id="102" w:name="qba-eval-hypertension-drugs"/>
    <w:p>
      <w:pPr>
        <w:pStyle w:val="Heading3"/>
      </w:pPr>
      <w:r>
        <w:rPr>
          <w:rStyle w:val="SectionNumber"/>
        </w:rPr>
        <w:t xml:space="preserve">8.1.5</w:t>
      </w:r>
      <w:r>
        <w:tab/>
      </w:r>
      <w:r>
        <w:t xml:space="preserve">[QBA eval] hypertension drugs</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1319998</w:t>
            </w:r>
          </w:p>
        </w:tc>
        <w:tc>
          <w:tcPr/>
          <w:p>
            <w:pPr>
              <w:pStyle w:val="Compact"/>
              <w:jc w:val="left"/>
            </w:pPr>
            <w:r>
              <w:t xml:space="preserve">acebutolol</w:t>
            </w:r>
          </w:p>
        </w:tc>
        <w:tc>
          <w:tcPr/>
          <w:p>
            <w:pPr>
              <w:pStyle w:val="Compact"/>
              <w:jc w:val="left"/>
            </w:pPr>
            <w:r>
              <w:t xml:space="preserve">149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1317967</w:t>
            </w:r>
          </w:p>
        </w:tc>
        <w:tc>
          <w:tcPr/>
          <w:p>
            <w:pPr>
              <w:pStyle w:val="Compact"/>
              <w:jc w:val="left"/>
            </w:pPr>
            <w:r>
              <w:t xml:space="preserve">aliskiren</w:t>
            </w:r>
          </w:p>
        </w:tc>
        <w:tc>
          <w:tcPr/>
          <w:p>
            <w:pPr>
              <w:pStyle w:val="Compact"/>
              <w:jc w:val="left"/>
            </w:pPr>
            <w:r>
              <w:t xml:space="preserve">325646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991382</w:t>
            </w:r>
          </w:p>
        </w:tc>
        <w:tc>
          <w:tcPr/>
          <w:p>
            <w:pPr>
              <w:pStyle w:val="Compact"/>
              <w:jc w:val="left"/>
            </w:pPr>
            <w:r>
              <w:t xml:space="preserve">amiloride</w:t>
            </w:r>
          </w:p>
        </w:tc>
        <w:tc>
          <w:tcPr/>
          <w:p>
            <w:pPr>
              <w:pStyle w:val="Compact"/>
              <w:jc w:val="left"/>
            </w:pPr>
            <w:r>
              <w:t xml:space="preserve">644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1332418</w:t>
            </w:r>
          </w:p>
        </w:tc>
        <w:tc>
          <w:tcPr/>
          <w:p>
            <w:pPr>
              <w:pStyle w:val="Compact"/>
              <w:jc w:val="left"/>
            </w:pPr>
            <w:r>
              <w:t xml:space="preserve">amlodipine</w:t>
            </w:r>
          </w:p>
        </w:tc>
        <w:tc>
          <w:tcPr/>
          <w:p>
            <w:pPr>
              <w:pStyle w:val="Compact"/>
              <w:jc w:val="left"/>
            </w:pPr>
            <w:r>
              <w:t xml:space="preserve">17767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1314002</w:t>
            </w:r>
          </w:p>
        </w:tc>
        <w:tc>
          <w:tcPr/>
          <w:p>
            <w:pPr>
              <w:pStyle w:val="Compact"/>
              <w:jc w:val="left"/>
            </w:pPr>
            <w:r>
              <w:t xml:space="preserve">atenolol</w:t>
            </w:r>
          </w:p>
        </w:tc>
        <w:tc>
          <w:tcPr/>
          <w:p>
            <w:pPr>
              <w:pStyle w:val="Compact"/>
              <w:jc w:val="left"/>
            </w:pPr>
            <w:r>
              <w:t xml:space="preserve">1202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40235485</w:t>
            </w:r>
          </w:p>
        </w:tc>
        <w:tc>
          <w:tcPr/>
          <w:p>
            <w:pPr>
              <w:pStyle w:val="Compact"/>
              <w:jc w:val="left"/>
            </w:pPr>
            <w:r>
              <w:t xml:space="preserve">azilsartan</w:t>
            </w:r>
          </w:p>
        </w:tc>
        <w:tc>
          <w:tcPr/>
          <w:p>
            <w:pPr>
              <w:pStyle w:val="Compact"/>
              <w:jc w:val="left"/>
            </w:pPr>
            <w:r>
              <w:t xml:space="preserve">1091643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1335471</w:t>
            </w:r>
          </w:p>
        </w:tc>
        <w:tc>
          <w:tcPr/>
          <w:p>
            <w:pPr>
              <w:pStyle w:val="Compact"/>
              <w:jc w:val="left"/>
            </w:pPr>
            <w:r>
              <w:t xml:space="preserve">benazepril</w:t>
            </w:r>
          </w:p>
        </w:tc>
        <w:tc>
          <w:tcPr/>
          <w:p>
            <w:pPr>
              <w:pStyle w:val="Compact"/>
              <w:jc w:val="left"/>
            </w:pPr>
            <w:r>
              <w:t xml:space="preserve">18867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1322081</w:t>
            </w:r>
          </w:p>
        </w:tc>
        <w:tc>
          <w:tcPr/>
          <w:p>
            <w:pPr>
              <w:pStyle w:val="Compact"/>
              <w:jc w:val="left"/>
            </w:pPr>
            <w:r>
              <w:t xml:space="preserve">betaxolol</w:t>
            </w:r>
          </w:p>
        </w:tc>
        <w:tc>
          <w:tcPr/>
          <w:p>
            <w:pPr>
              <w:pStyle w:val="Compact"/>
              <w:jc w:val="left"/>
            </w:pPr>
            <w:r>
              <w:t xml:space="preserve">1520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1338005</w:t>
            </w:r>
          </w:p>
        </w:tc>
        <w:tc>
          <w:tcPr/>
          <w:p>
            <w:pPr>
              <w:pStyle w:val="Compact"/>
              <w:jc w:val="left"/>
            </w:pPr>
            <w:r>
              <w:t xml:space="preserve">bisoprolol</w:t>
            </w:r>
          </w:p>
        </w:tc>
        <w:tc>
          <w:tcPr/>
          <w:p>
            <w:pPr>
              <w:pStyle w:val="Compact"/>
              <w:jc w:val="left"/>
            </w:pPr>
            <w:r>
              <w:t xml:space="preserve">19484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932745</w:t>
            </w:r>
          </w:p>
        </w:tc>
        <w:tc>
          <w:tcPr/>
          <w:p>
            <w:pPr>
              <w:pStyle w:val="Compact"/>
              <w:jc w:val="left"/>
            </w:pPr>
            <w:r>
              <w:t xml:space="preserve">bumetanide</w:t>
            </w:r>
          </w:p>
        </w:tc>
        <w:tc>
          <w:tcPr/>
          <w:p>
            <w:pPr>
              <w:pStyle w:val="Compact"/>
              <w:jc w:val="left"/>
            </w:pPr>
            <w:r>
              <w:t xml:space="preserve">1808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1351557</w:t>
            </w:r>
          </w:p>
        </w:tc>
        <w:tc>
          <w:tcPr/>
          <w:p>
            <w:pPr>
              <w:pStyle w:val="Compact"/>
              <w:jc w:val="left"/>
            </w:pPr>
            <w:r>
              <w:t xml:space="preserve">candesartan</w:t>
            </w:r>
          </w:p>
        </w:tc>
        <w:tc>
          <w:tcPr/>
          <w:p>
            <w:pPr>
              <w:pStyle w:val="Compact"/>
              <w:jc w:val="left"/>
            </w:pPr>
            <w:r>
              <w:t xml:space="preserve">214354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1340128</w:t>
            </w:r>
          </w:p>
        </w:tc>
        <w:tc>
          <w:tcPr/>
          <w:p>
            <w:pPr>
              <w:pStyle w:val="Compact"/>
              <w:jc w:val="left"/>
            </w:pPr>
            <w:r>
              <w:t xml:space="preserve">captopril</w:t>
            </w:r>
          </w:p>
        </w:tc>
        <w:tc>
          <w:tcPr/>
          <w:p>
            <w:pPr>
              <w:pStyle w:val="Compact"/>
              <w:jc w:val="left"/>
            </w:pPr>
            <w:r>
              <w:t xml:space="preserve">1998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1346823</w:t>
            </w:r>
          </w:p>
        </w:tc>
        <w:tc>
          <w:tcPr/>
          <w:p>
            <w:pPr>
              <w:pStyle w:val="Compact"/>
              <w:jc w:val="left"/>
            </w:pPr>
            <w:r>
              <w:t xml:space="preserve">carvedilol</w:t>
            </w:r>
          </w:p>
        </w:tc>
        <w:tc>
          <w:tcPr/>
          <w:p>
            <w:pPr>
              <w:pStyle w:val="Compact"/>
              <w:jc w:val="left"/>
            </w:pPr>
            <w:r>
              <w:t xml:space="preserve">20352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1395058</w:t>
            </w:r>
          </w:p>
        </w:tc>
        <w:tc>
          <w:tcPr/>
          <w:p>
            <w:pPr>
              <w:pStyle w:val="Compact"/>
              <w:jc w:val="left"/>
            </w:pPr>
            <w:r>
              <w:t xml:space="preserve">chlorthalidone</w:t>
            </w:r>
          </w:p>
        </w:tc>
        <w:tc>
          <w:tcPr/>
          <w:p>
            <w:pPr>
              <w:pStyle w:val="Compact"/>
              <w:jc w:val="left"/>
            </w:pPr>
            <w:r>
              <w:t xml:space="preserve">2409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1398937</w:t>
            </w:r>
          </w:p>
        </w:tc>
        <w:tc>
          <w:tcPr/>
          <w:p>
            <w:pPr>
              <w:pStyle w:val="Compact"/>
              <w:jc w:val="left"/>
            </w:pPr>
            <w:r>
              <w:t xml:space="preserve">clonidine</w:t>
            </w:r>
          </w:p>
        </w:tc>
        <w:tc>
          <w:tcPr/>
          <w:p>
            <w:pPr>
              <w:pStyle w:val="Compact"/>
              <w:jc w:val="left"/>
            </w:pPr>
            <w:r>
              <w:t xml:space="preserve">2599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1328165</w:t>
            </w:r>
          </w:p>
        </w:tc>
        <w:tc>
          <w:tcPr/>
          <w:p>
            <w:pPr>
              <w:pStyle w:val="Compact"/>
              <w:jc w:val="left"/>
            </w:pPr>
            <w:r>
              <w:t xml:space="preserve">diltiazem</w:t>
            </w:r>
          </w:p>
        </w:tc>
        <w:tc>
          <w:tcPr/>
          <w:p>
            <w:pPr>
              <w:pStyle w:val="Compact"/>
              <w:jc w:val="left"/>
            </w:pPr>
            <w:r>
              <w:t xml:space="preserve">3443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1363053</w:t>
            </w:r>
          </w:p>
        </w:tc>
        <w:tc>
          <w:tcPr/>
          <w:p>
            <w:pPr>
              <w:pStyle w:val="Compact"/>
              <w:jc w:val="left"/>
            </w:pPr>
            <w:r>
              <w:t xml:space="preserve">doxazosin</w:t>
            </w:r>
          </w:p>
        </w:tc>
        <w:tc>
          <w:tcPr/>
          <w:p>
            <w:pPr>
              <w:pStyle w:val="Compact"/>
              <w:jc w:val="left"/>
            </w:pPr>
            <w:r>
              <w:t xml:space="preserve">49276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1341927</w:t>
            </w:r>
          </w:p>
        </w:tc>
        <w:tc>
          <w:tcPr/>
          <w:p>
            <w:pPr>
              <w:pStyle w:val="Compact"/>
              <w:jc w:val="left"/>
            </w:pPr>
            <w:r>
              <w:t xml:space="preserve">enalapril</w:t>
            </w:r>
          </w:p>
        </w:tc>
        <w:tc>
          <w:tcPr/>
          <w:p>
            <w:pPr>
              <w:pStyle w:val="Compact"/>
              <w:jc w:val="left"/>
            </w:pPr>
            <w:r>
              <w:t xml:space="preserve">3827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1309799</w:t>
            </w:r>
          </w:p>
        </w:tc>
        <w:tc>
          <w:tcPr/>
          <w:p>
            <w:pPr>
              <w:pStyle w:val="Compact"/>
              <w:jc w:val="left"/>
            </w:pPr>
            <w:r>
              <w:t xml:space="preserve">eplerenone</w:t>
            </w:r>
          </w:p>
        </w:tc>
        <w:tc>
          <w:tcPr/>
          <w:p>
            <w:pPr>
              <w:pStyle w:val="Compact"/>
              <w:jc w:val="left"/>
            </w:pPr>
            <w:r>
              <w:t xml:space="preserve">298869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1346686</w:t>
            </w:r>
          </w:p>
        </w:tc>
        <w:tc>
          <w:tcPr/>
          <w:p>
            <w:pPr>
              <w:pStyle w:val="Compact"/>
              <w:jc w:val="left"/>
            </w:pPr>
            <w:r>
              <w:t xml:space="preserve">eprosartan</w:t>
            </w:r>
          </w:p>
        </w:tc>
        <w:tc>
          <w:tcPr/>
          <w:p>
            <w:pPr>
              <w:pStyle w:val="Compact"/>
              <w:jc w:val="left"/>
            </w:pPr>
            <w:r>
              <w:t xml:space="preserve">83515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1353776</w:t>
            </w:r>
          </w:p>
        </w:tc>
        <w:tc>
          <w:tcPr/>
          <w:p>
            <w:pPr>
              <w:pStyle w:val="Compact"/>
              <w:jc w:val="left"/>
            </w:pPr>
            <w:r>
              <w:t xml:space="preserve">felodipine</w:t>
            </w:r>
          </w:p>
        </w:tc>
        <w:tc>
          <w:tcPr/>
          <w:p>
            <w:pPr>
              <w:pStyle w:val="Compact"/>
              <w:jc w:val="left"/>
            </w:pPr>
            <w:r>
              <w:t xml:space="preserve">4316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1363749</w:t>
            </w:r>
          </w:p>
        </w:tc>
        <w:tc>
          <w:tcPr/>
          <w:p>
            <w:pPr>
              <w:pStyle w:val="Compact"/>
              <w:jc w:val="left"/>
            </w:pPr>
            <w:r>
              <w:t xml:space="preserve">fosinopril</w:t>
            </w:r>
          </w:p>
        </w:tc>
        <w:tc>
          <w:tcPr/>
          <w:p>
            <w:pPr>
              <w:pStyle w:val="Compact"/>
              <w:jc w:val="left"/>
            </w:pPr>
            <w:r>
              <w:t xml:space="preserve">50166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956874</w:t>
            </w:r>
          </w:p>
        </w:tc>
        <w:tc>
          <w:tcPr/>
          <w:p>
            <w:pPr>
              <w:pStyle w:val="Compact"/>
              <w:jc w:val="left"/>
            </w:pPr>
            <w:r>
              <w:t xml:space="preserve">furosemide</w:t>
            </w:r>
          </w:p>
        </w:tc>
        <w:tc>
          <w:tcPr/>
          <w:p>
            <w:pPr>
              <w:pStyle w:val="Compact"/>
              <w:jc w:val="left"/>
            </w:pPr>
            <w:r>
              <w:t xml:space="preserve">4603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1344965</w:t>
            </w:r>
          </w:p>
        </w:tc>
        <w:tc>
          <w:tcPr/>
          <w:p>
            <w:pPr>
              <w:pStyle w:val="Compact"/>
              <w:jc w:val="left"/>
            </w:pPr>
            <w:r>
              <w:t xml:space="preserve">guanfacine</w:t>
            </w:r>
          </w:p>
        </w:tc>
        <w:tc>
          <w:tcPr/>
          <w:p>
            <w:pPr>
              <w:pStyle w:val="Compact"/>
              <w:jc w:val="left"/>
            </w:pPr>
            <w:r>
              <w:t xml:space="preserve">40114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1373928</w:t>
            </w:r>
          </w:p>
        </w:tc>
        <w:tc>
          <w:tcPr/>
          <w:p>
            <w:pPr>
              <w:pStyle w:val="Compact"/>
              <w:jc w:val="left"/>
            </w:pPr>
            <w:r>
              <w:t xml:space="preserve">hydralazine</w:t>
            </w:r>
          </w:p>
        </w:tc>
        <w:tc>
          <w:tcPr/>
          <w:p>
            <w:pPr>
              <w:pStyle w:val="Compact"/>
              <w:jc w:val="left"/>
            </w:pPr>
            <w:r>
              <w:t xml:space="preserve">5470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974166</w:t>
            </w:r>
          </w:p>
        </w:tc>
        <w:tc>
          <w:tcPr/>
          <w:p>
            <w:pPr>
              <w:pStyle w:val="Compact"/>
              <w:jc w:val="left"/>
            </w:pPr>
            <w:r>
              <w:t xml:space="preserve">hydrochlorothiazide</w:t>
            </w:r>
          </w:p>
        </w:tc>
        <w:tc>
          <w:tcPr/>
          <w:p>
            <w:pPr>
              <w:pStyle w:val="Compact"/>
              <w:jc w:val="left"/>
            </w:pPr>
            <w:r>
              <w:t xml:space="preserve">5487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978555</w:t>
            </w:r>
          </w:p>
        </w:tc>
        <w:tc>
          <w:tcPr/>
          <w:p>
            <w:pPr>
              <w:pStyle w:val="Compact"/>
              <w:jc w:val="left"/>
            </w:pPr>
            <w:r>
              <w:t xml:space="preserve">indapamide</w:t>
            </w:r>
          </w:p>
        </w:tc>
        <w:tc>
          <w:tcPr/>
          <w:p>
            <w:pPr>
              <w:pStyle w:val="Compact"/>
              <w:jc w:val="left"/>
            </w:pPr>
            <w:r>
              <w:t xml:space="preserve">5764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1347384</w:t>
            </w:r>
          </w:p>
        </w:tc>
        <w:tc>
          <w:tcPr/>
          <w:p>
            <w:pPr>
              <w:pStyle w:val="Compact"/>
              <w:jc w:val="left"/>
            </w:pPr>
            <w:r>
              <w:t xml:space="preserve">irbesartan</w:t>
            </w:r>
          </w:p>
        </w:tc>
        <w:tc>
          <w:tcPr/>
          <w:p>
            <w:pPr>
              <w:pStyle w:val="Compact"/>
              <w:jc w:val="left"/>
            </w:pPr>
            <w:r>
              <w:t xml:space="preserve">83818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1326012</w:t>
            </w:r>
          </w:p>
        </w:tc>
        <w:tc>
          <w:tcPr/>
          <w:p>
            <w:pPr>
              <w:pStyle w:val="Compact"/>
              <w:jc w:val="left"/>
            </w:pPr>
            <w:r>
              <w:t xml:space="preserve">isradipine</w:t>
            </w:r>
          </w:p>
        </w:tc>
        <w:tc>
          <w:tcPr/>
          <w:p>
            <w:pPr>
              <w:pStyle w:val="Compact"/>
              <w:jc w:val="left"/>
            </w:pPr>
            <w:r>
              <w:t xml:space="preserve">33910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1386957</w:t>
            </w:r>
          </w:p>
        </w:tc>
        <w:tc>
          <w:tcPr/>
          <w:p>
            <w:pPr>
              <w:pStyle w:val="Compact"/>
              <w:jc w:val="left"/>
            </w:pPr>
            <w:r>
              <w:t xml:space="preserve">labetalol</w:t>
            </w:r>
          </w:p>
        </w:tc>
        <w:tc>
          <w:tcPr/>
          <w:p>
            <w:pPr>
              <w:pStyle w:val="Compact"/>
              <w:jc w:val="left"/>
            </w:pPr>
            <w:r>
              <w:t xml:space="preserve">6185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1308216</w:t>
            </w:r>
          </w:p>
        </w:tc>
        <w:tc>
          <w:tcPr/>
          <w:p>
            <w:pPr>
              <w:pStyle w:val="Compact"/>
              <w:jc w:val="left"/>
            </w:pPr>
            <w:r>
              <w:t xml:space="preserve">lisinopril</w:t>
            </w:r>
          </w:p>
        </w:tc>
        <w:tc>
          <w:tcPr/>
          <w:p>
            <w:pPr>
              <w:pStyle w:val="Compact"/>
              <w:jc w:val="left"/>
            </w:pPr>
            <w:r>
              <w:t xml:space="preserve">29046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1367500</w:t>
            </w:r>
          </w:p>
        </w:tc>
        <w:tc>
          <w:tcPr/>
          <w:p>
            <w:pPr>
              <w:pStyle w:val="Compact"/>
              <w:jc w:val="left"/>
            </w:pPr>
            <w:r>
              <w:t xml:space="preserve">losartan</w:t>
            </w:r>
          </w:p>
        </w:tc>
        <w:tc>
          <w:tcPr/>
          <w:p>
            <w:pPr>
              <w:pStyle w:val="Compact"/>
              <w:jc w:val="left"/>
            </w:pPr>
            <w:r>
              <w:t xml:space="preserve">52175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1305447</w:t>
            </w:r>
          </w:p>
        </w:tc>
        <w:tc>
          <w:tcPr/>
          <w:p>
            <w:pPr>
              <w:pStyle w:val="Compact"/>
              <w:jc w:val="left"/>
            </w:pPr>
            <w:r>
              <w:t xml:space="preserve">methyldopa</w:t>
            </w:r>
          </w:p>
        </w:tc>
        <w:tc>
          <w:tcPr/>
          <w:p>
            <w:pPr>
              <w:pStyle w:val="Compact"/>
              <w:jc w:val="left"/>
            </w:pPr>
            <w:r>
              <w:t xml:space="preserve">6876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907013</w:t>
            </w:r>
          </w:p>
        </w:tc>
        <w:tc>
          <w:tcPr/>
          <w:p>
            <w:pPr>
              <w:pStyle w:val="Compact"/>
              <w:jc w:val="left"/>
            </w:pPr>
            <w:r>
              <w:t xml:space="preserve">metolazone</w:t>
            </w:r>
          </w:p>
        </w:tc>
        <w:tc>
          <w:tcPr/>
          <w:p>
            <w:pPr>
              <w:pStyle w:val="Compact"/>
              <w:jc w:val="left"/>
            </w:pPr>
            <w:r>
              <w:t xml:space="preserve">6916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1307046</w:t>
            </w:r>
          </w:p>
        </w:tc>
        <w:tc>
          <w:tcPr/>
          <w:p>
            <w:pPr>
              <w:pStyle w:val="Compact"/>
              <w:jc w:val="left"/>
            </w:pPr>
            <w:r>
              <w:t xml:space="preserve">metoprolol</w:t>
            </w:r>
          </w:p>
        </w:tc>
        <w:tc>
          <w:tcPr/>
          <w:p>
            <w:pPr>
              <w:pStyle w:val="Compact"/>
              <w:jc w:val="left"/>
            </w:pPr>
            <w:r>
              <w:t xml:space="preserve">6918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1309068</w:t>
            </w:r>
          </w:p>
        </w:tc>
        <w:tc>
          <w:tcPr/>
          <w:p>
            <w:pPr>
              <w:pStyle w:val="Compact"/>
              <w:jc w:val="left"/>
            </w:pPr>
            <w:r>
              <w:t xml:space="preserve">minoxidil</w:t>
            </w:r>
          </w:p>
        </w:tc>
        <w:tc>
          <w:tcPr/>
          <w:p>
            <w:pPr>
              <w:pStyle w:val="Compact"/>
              <w:jc w:val="left"/>
            </w:pPr>
            <w:r>
              <w:t xml:space="preserve">6984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1310756</w:t>
            </w:r>
          </w:p>
        </w:tc>
        <w:tc>
          <w:tcPr/>
          <w:p>
            <w:pPr>
              <w:pStyle w:val="Compact"/>
              <w:jc w:val="left"/>
            </w:pPr>
            <w:r>
              <w:t xml:space="preserve">moexipril</w:t>
            </w:r>
          </w:p>
        </w:tc>
        <w:tc>
          <w:tcPr/>
          <w:p>
            <w:pPr>
              <w:pStyle w:val="Compact"/>
              <w:jc w:val="left"/>
            </w:pPr>
            <w:r>
              <w:t xml:space="preserve">30131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1313200</w:t>
            </w:r>
          </w:p>
        </w:tc>
        <w:tc>
          <w:tcPr/>
          <w:p>
            <w:pPr>
              <w:pStyle w:val="Compact"/>
              <w:jc w:val="left"/>
            </w:pPr>
            <w:r>
              <w:t xml:space="preserve">nadolol</w:t>
            </w:r>
          </w:p>
        </w:tc>
        <w:tc>
          <w:tcPr/>
          <w:p>
            <w:pPr>
              <w:pStyle w:val="Compact"/>
              <w:jc w:val="left"/>
            </w:pPr>
            <w:r>
              <w:t xml:space="preserve">7226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1314577</w:t>
            </w:r>
          </w:p>
        </w:tc>
        <w:tc>
          <w:tcPr/>
          <w:p>
            <w:pPr>
              <w:pStyle w:val="Compact"/>
              <w:jc w:val="left"/>
            </w:pPr>
            <w:r>
              <w:t xml:space="preserve">nebivolol</w:t>
            </w:r>
          </w:p>
        </w:tc>
        <w:tc>
          <w:tcPr/>
          <w:p>
            <w:pPr>
              <w:pStyle w:val="Compact"/>
              <w:jc w:val="left"/>
            </w:pPr>
            <w:r>
              <w:t xml:space="preserve">31555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1318137</w:t>
            </w:r>
          </w:p>
        </w:tc>
        <w:tc>
          <w:tcPr/>
          <w:p>
            <w:pPr>
              <w:pStyle w:val="Compact"/>
              <w:jc w:val="left"/>
            </w:pPr>
            <w:r>
              <w:t xml:space="preserve">nicardipine</w:t>
            </w:r>
          </w:p>
        </w:tc>
        <w:tc>
          <w:tcPr/>
          <w:p>
            <w:pPr>
              <w:pStyle w:val="Compact"/>
              <w:jc w:val="left"/>
            </w:pPr>
            <w:r>
              <w:t xml:space="preserve">7396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1318853</w:t>
            </w:r>
          </w:p>
        </w:tc>
        <w:tc>
          <w:tcPr/>
          <w:p>
            <w:pPr>
              <w:pStyle w:val="Compact"/>
              <w:jc w:val="left"/>
            </w:pPr>
            <w:r>
              <w:t xml:space="preserve">nifedipine</w:t>
            </w:r>
          </w:p>
        </w:tc>
        <w:tc>
          <w:tcPr/>
          <w:p>
            <w:pPr>
              <w:pStyle w:val="Compact"/>
              <w:jc w:val="left"/>
            </w:pPr>
            <w:r>
              <w:t xml:space="preserve">7417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1319880</w:t>
            </w:r>
          </w:p>
        </w:tc>
        <w:tc>
          <w:tcPr/>
          <w:p>
            <w:pPr>
              <w:pStyle w:val="Compact"/>
              <w:jc w:val="left"/>
            </w:pPr>
            <w:r>
              <w:t xml:space="preserve">nisoldipine</w:t>
            </w:r>
          </w:p>
        </w:tc>
        <w:tc>
          <w:tcPr/>
          <w:p>
            <w:pPr>
              <w:pStyle w:val="Compact"/>
              <w:jc w:val="left"/>
            </w:pPr>
            <w:r>
              <w:t xml:space="preserve">7435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40226742</w:t>
            </w:r>
          </w:p>
        </w:tc>
        <w:tc>
          <w:tcPr/>
          <w:p>
            <w:pPr>
              <w:pStyle w:val="Compact"/>
              <w:jc w:val="left"/>
            </w:pPr>
            <w:r>
              <w:t xml:space="preserve">olmesartan</w:t>
            </w:r>
          </w:p>
        </w:tc>
        <w:tc>
          <w:tcPr/>
          <w:p>
            <w:pPr>
              <w:pStyle w:val="Compact"/>
              <w:jc w:val="left"/>
            </w:pPr>
            <w:r>
              <w:t xml:space="preserve">321064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1327978</w:t>
            </w:r>
          </w:p>
        </w:tc>
        <w:tc>
          <w:tcPr/>
          <w:p>
            <w:pPr>
              <w:pStyle w:val="Compact"/>
              <w:jc w:val="left"/>
            </w:pPr>
            <w:r>
              <w:t xml:space="preserve">penbutolol</w:t>
            </w:r>
          </w:p>
        </w:tc>
        <w:tc>
          <w:tcPr/>
          <w:p>
            <w:pPr>
              <w:pStyle w:val="Compact"/>
              <w:jc w:val="left"/>
            </w:pPr>
            <w:r>
              <w:t xml:space="preserve">7973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1373225</w:t>
            </w:r>
          </w:p>
        </w:tc>
        <w:tc>
          <w:tcPr/>
          <w:p>
            <w:pPr>
              <w:pStyle w:val="Compact"/>
              <w:jc w:val="left"/>
            </w:pPr>
            <w:r>
              <w:t xml:space="preserve">perindopril</w:t>
            </w:r>
          </w:p>
        </w:tc>
        <w:tc>
          <w:tcPr/>
          <w:p>
            <w:pPr>
              <w:pStyle w:val="Compact"/>
              <w:jc w:val="left"/>
            </w:pPr>
            <w:r>
              <w:t xml:space="preserve">54552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1345858</w:t>
            </w:r>
          </w:p>
        </w:tc>
        <w:tc>
          <w:tcPr/>
          <w:p>
            <w:pPr>
              <w:pStyle w:val="Compact"/>
              <w:jc w:val="left"/>
            </w:pPr>
            <w:r>
              <w:t xml:space="preserve">pindolol</w:t>
            </w:r>
          </w:p>
        </w:tc>
        <w:tc>
          <w:tcPr/>
          <w:p>
            <w:pPr>
              <w:pStyle w:val="Compact"/>
              <w:jc w:val="left"/>
            </w:pPr>
            <w:r>
              <w:t xml:space="preserve">8332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1350489</w:t>
            </w:r>
          </w:p>
        </w:tc>
        <w:tc>
          <w:tcPr/>
          <w:p>
            <w:pPr>
              <w:pStyle w:val="Compact"/>
              <w:jc w:val="left"/>
            </w:pPr>
            <w:r>
              <w:t xml:space="preserve">prazosin</w:t>
            </w:r>
          </w:p>
        </w:tc>
        <w:tc>
          <w:tcPr/>
          <w:p>
            <w:pPr>
              <w:pStyle w:val="Compact"/>
              <w:jc w:val="left"/>
            </w:pPr>
            <w:r>
              <w:t xml:space="preserve">8629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1353766</w:t>
            </w:r>
          </w:p>
        </w:tc>
        <w:tc>
          <w:tcPr/>
          <w:p>
            <w:pPr>
              <w:pStyle w:val="Compact"/>
              <w:jc w:val="left"/>
            </w:pPr>
            <w:r>
              <w:t xml:space="preserve">propranolol</w:t>
            </w:r>
          </w:p>
        </w:tc>
        <w:tc>
          <w:tcPr/>
          <w:p>
            <w:pPr>
              <w:pStyle w:val="Compact"/>
              <w:jc w:val="left"/>
            </w:pPr>
            <w:r>
              <w:t xml:space="preserve">8787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1331235</w:t>
            </w:r>
          </w:p>
        </w:tc>
        <w:tc>
          <w:tcPr/>
          <w:p>
            <w:pPr>
              <w:pStyle w:val="Compact"/>
              <w:jc w:val="left"/>
            </w:pPr>
            <w:r>
              <w:t xml:space="preserve">quinapril</w:t>
            </w:r>
          </w:p>
        </w:tc>
        <w:tc>
          <w:tcPr/>
          <w:p>
            <w:pPr>
              <w:pStyle w:val="Compact"/>
              <w:jc w:val="left"/>
            </w:pPr>
            <w:r>
              <w:t xml:space="preserve">35208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1334456</w:t>
            </w:r>
          </w:p>
        </w:tc>
        <w:tc>
          <w:tcPr/>
          <w:p>
            <w:pPr>
              <w:pStyle w:val="Compact"/>
              <w:jc w:val="left"/>
            </w:pPr>
            <w:r>
              <w:t xml:space="preserve">ramipril</w:t>
            </w:r>
          </w:p>
        </w:tc>
        <w:tc>
          <w:tcPr/>
          <w:p>
            <w:pPr>
              <w:pStyle w:val="Compact"/>
              <w:jc w:val="left"/>
            </w:pPr>
            <w:r>
              <w:t xml:space="preserve">35296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970250</w:t>
            </w:r>
          </w:p>
        </w:tc>
        <w:tc>
          <w:tcPr/>
          <w:p>
            <w:pPr>
              <w:pStyle w:val="Compact"/>
              <w:jc w:val="left"/>
            </w:pPr>
            <w:r>
              <w:t xml:space="preserve">spironolactone</w:t>
            </w:r>
          </w:p>
        </w:tc>
        <w:tc>
          <w:tcPr/>
          <w:p>
            <w:pPr>
              <w:pStyle w:val="Compact"/>
              <w:jc w:val="left"/>
            </w:pPr>
            <w:r>
              <w:t xml:space="preserve">9997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1317640</w:t>
            </w:r>
          </w:p>
        </w:tc>
        <w:tc>
          <w:tcPr/>
          <w:p>
            <w:pPr>
              <w:pStyle w:val="Compact"/>
              <w:jc w:val="left"/>
            </w:pPr>
            <w:r>
              <w:t xml:space="preserve">telmisartan</w:t>
            </w:r>
          </w:p>
        </w:tc>
        <w:tc>
          <w:tcPr/>
          <w:p>
            <w:pPr>
              <w:pStyle w:val="Compact"/>
              <w:jc w:val="left"/>
            </w:pPr>
            <w:r>
              <w:t xml:space="preserve">73494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1341238</w:t>
            </w:r>
          </w:p>
        </w:tc>
        <w:tc>
          <w:tcPr/>
          <w:p>
            <w:pPr>
              <w:pStyle w:val="Compact"/>
              <w:jc w:val="left"/>
            </w:pPr>
            <w:r>
              <w:t xml:space="preserve">terazosin</w:t>
            </w:r>
          </w:p>
        </w:tc>
        <w:tc>
          <w:tcPr/>
          <w:p>
            <w:pPr>
              <w:pStyle w:val="Compact"/>
              <w:jc w:val="left"/>
            </w:pPr>
            <w:r>
              <w:t xml:space="preserve">37798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942350</w:t>
            </w:r>
          </w:p>
        </w:tc>
        <w:tc>
          <w:tcPr/>
          <w:p>
            <w:pPr>
              <w:pStyle w:val="Compact"/>
              <w:jc w:val="left"/>
            </w:pPr>
            <w:r>
              <w:t xml:space="preserve">torsemide</w:t>
            </w:r>
          </w:p>
        </w:tc>
        <w:tc>
          <w:tcPr/>
          <w:p>
            <w:pPr>
              <w:pStyle w:val="Compact"/>
              <w:jc w:val="left"/>
            </w:pPr>
            <w:r>
              <w:t xml:space="preserve">38413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1342439</w:t>
            </w:r>
          </w:p>
        </w:tc>
        <w:tc>
          <w:tcPr/>
          <w:p>
            <w:pPr>
              <w:pStyle w:val="Compact"/>
              <w:jc w:val="left"/>
            </w:pPr>
            <w:r>
              <w:t xml:space="preserve">trandolapril</w:t>
            </w:r>
          </w:p>
        </w:tc>
        <w:tc>
          <w:tcPr/>
          <w:p>
            <w:pPr>
              <w:pStyle w:val="Compact"/>
              <w:jc w:val="left"/>
            </w:pPr>
            <w:r>
              <w:t xml:space="preserve">38454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904542</w:t>
            </w:r>
          </w:p>
        </w:tc>
        <w:tc>
          <w:tcPr/>
          <w:p>
            <w:pPr>
              <w:pStyle w:val="Compact"/>
              <w:jc w:val="left"/>
            </w:pPr>
            <w:r>
              <w:t xml:space="preserve">triamterene</w:t>
            </w:r>
          </w:p>
        </w:tc>
        <w:tc>
          <w:tcPr/>
          <w:p>
            <w:pPr>
              <w:pStyle w:val="Compact"/>
              <w:jc w:val="left"/>
            </w:pPr>
            <w:r>
              <w:t xml:space="preserve">10763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1308842</w:t>
            </w:r>
          </w:p>
        </w:tc>
        <w:tc>
          <w:tcPr/>
          <w:p>
            <w:pPr>
              <w:pStyle w:val="Compact"/>
              <w:jc w:val="left"/>
            </w:pPr>
            <w:r>
              <w:t xml:space="preserve">valsartan</w:t>
            </w:r>
          </w:p>
        </w:tc>
        <w:tc>
          <w:tcPr/>
          <w:p>
            <w:pPr>
              <w:pStyle w:val="Compact"/>
              <w:jc w:val="left"/>
            </w:pPr>
            <w:r>
              <w:t xml:space="preserve">69749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1307863</w:t>
            </w:r>
          </w:p>
        </w:tc>
        <w:tc>
          <w:tcPr/>
          <w:p>
            <w:pPr>
              <w:pStyle w:val="Compact"/>
              <w:jc w:val="left"/>
            </w:pPr>
            <w:r>
              <w:t xml:space="preserve">verapamil</w:t>
            </w:r>
          </w:p>
        </w:tc>
        <w:tc>
          <w:tcPr/>
          <w:p>
            <w:pPr>
              <w:pStyle w:val="Compact"/>
              <w:jc w:val="left"/>
            </w:pPr>
            <w:r>
              <w:t xml:space="preserve">11170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02"/>
    <w:bookmarkStart w:id="103" w:name="qba-eval-aceis"/>
    <w:p>
      <w:pPr>
        <w:pStyle w:val="Heading3"/>
      </w:pPr>
      <w:r>
        <w:rPr>
          <w:rStyle w:val="SectionNumber"/>
        </w:rPr>
        <w:t xml:space="preserve">8.1.6</w:t>
      </w:r>
      <w:r>
        <w:tab/>
      </w:r>
      <w:r>
        <w:t xml:space="preserve">[QBA eval] ACEIs</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1335471</w:t>
            </w:r>
          </w:p>
        </w:tc>
        <w:tc>
          <w:tcPr/>
          <w:p>
            <w:pPr>
              <w:pStyle w:val="Compact"/>
              <w:jc w:val="left"/>
            </w:pPr>
            <w:r>
              <w:t xml:space="preserve">benazepril</w:t>
            </w:r>
          </w:p>
        </w:tc>
        <w:tc>
          <w:tcPr/>
          <w:p>
            <w:pPr>
              <w:pStyle w:val="Compact"/>
              <w:jc w:val="left"/>
            </w:pPr>
            <w:r>
              <w:t xml:space="preserve">18867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1340128</w:t>
            </w:r>
          </w:p>
        </w:tc>
        <w:tc>
          <w:tcPr/>
          <w:p>
            <w:pPr>
              <w:pStyle w:val="Compact"/>
              <w:jc w:val="left"/>
            </w:pPr>
            <w:r>
              <w:t xml:space="preserve">captopril</w:t>
            </w:r>
          </w:p>
        </w:tc>
        <w:tc>
          <w:tcPr/>
          <w:p>
            <w:pPr>
              <w:pStyle w:val="Compact"/>
              <w:jc w:val="left"/>
            </w:pPr>
            <w:r>
              <w:t xml:space="preserve">1998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1341927</w:t>
            </w:r>
          </w:p>
        </w:tc>
        <w:tc>
          <w:tcPr/>
          <w:p>
            <w:pPr>
              <w:pStyle w:val="Compact"/>
              <w:jc w:val="left"/>
            </w:pPr>
            <w:r>
              <w:t xml:space="preserve">enalapril</w:t>
            </w:r>
          </w:p>
        </w:tc>
        <w:tc>
          <w:tcPr/>
          <w:p>
            <w:pPr>
              <w:pStyle w:val="Compact"/>
              <w:jc w:val="left"/>
            </w:pPr>
            <w:r>
              <w:t xml:space="preserve">3827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1363749</w:t>
            </w:r>
          </w:p>
        </w:tc>
        <w:tc>
          <w:tcPr/>
          <w:p>
            <w:pPr>
              <w:pStyle w:val="Compact"/>
              <w:jc w:val="left"/>
            </w:pPr>
            <w:r>
              <w:t xml:space="preserve">fosinopril</w:t>
            </w:r>
          </w:p>
        </w:tc>
        <w:tc>
          <w:tcPr/>
          <w:p>
            <w:pPr>
              <w:pStyle w:val="Compact"/>
              <w:jc w:val="left"/>
            </w:pPr>
            <w:r>
              <w:t xml:space="preserve">50166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1308216</w:t>
            </w:r>
          </w:p>
        </w:tc>
        <w:tc>
          <w:tcPr/>
          <w:p>
            <w:pPr>
              <w:pStyle w:val="Compact"/>
              <w:jc w:val="left"/>
            </w:pPr>
            <w:r>
              <w:t xml:space="preserve">lisinopril</w:t>
            </w:r>
          </w:p>
        </w:tc>
        <w:tc>
          <w:tcPr/>
          <w:p>
            <w:pPr>
              <w:pStyle w:val="Compact"/>
              <w:jc w:val="left"/>
            </w:pPr>
            <w:r>
              <w:t xml:space="preserve">29046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1310756</w:t>
            </w:r>
          </w:p>
        </w:tc>
        <w:tc>
          <w:tcPr/>
          <w:p>
            <w:pPr>
              <w:pStyle w:val="Compact"/>
              <w:jc w:val="left"/>
            </w:pPr>
            <w:r>
              <w:t xml:space="preserve">moexipril</w:t>
            </w:r>
          </w:p>
        </w:tc>
        <w:tc>
          <w:tcPr/>
          <w:p>
            <w:pPr>
              <w:pStyle w:val="Compact"/>
              <w:jc w:val="left"/>
            </w:pPr>
            <w:r>
              <w:t xml:space="preserve">30131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1373225</w:t>
            </w:r>
          </w:p>
        </w:tc>
        <w:tc>
          <w:tcPr/>
          <w:p>
            <w:pPr>
              <w:pStyle w:val="Compact"/>
              <w:jc w:val="left"/>
            </w:pPr>
            <w:r>
              <w:t xml:space="preserve">perindopril</w:t>
            </w:r>
          </w:p>
        </w:tc>
        <w:tc>
          <w:tcPr/>
          <w:p>
            <w:pPr>
              <w:pStyle w:val="Compact"/>
              <w:jc w:val="left"/>
            </w:pPr>
            <w:r>
              <w:t xml:space="preserve">54552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1331235</w:t>
            </w:r>
          </w:p>
        </w:tc>
        <w:tc>
          <w:tcPr/>
          <w:p>
            <w:pPr>
              <w:pStyle w:val="Compact"/>
              <w:jc w:val="left"/>
            </w:pPr>
            <w:r>
              <w:t xml:space="preserve">quinapril</w:t>
            </w:r>
          </w:p>
        </w:tc>
        <w:tc>
          <w:tcPr/>
          <w:p>
            <w:pPr>
              <w:pStyle w:val="Compact"/>
              <w:jc w:val="left"/>
            </w:pPr>
            <w:r>
              <w:t xml:space="preserve">35208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1334456</w:t>
            </w:r>
          </w:p>
        </w:tc>
        <w:tc>
          <w:tcPr/>
          <w:p>
            <w:pPr>
              <w:pStyle w:val="Compact"/>
              <w:jc w:val="left"/>
            </w:pPr>
            <w:r>
              <w:t xml:space="preserve">ramipril</w:t>
            </w:r>
          </w:p>
        </w:tc>
        <w:tc>
          <w:tcPr/>
          <w:p>
            <w:pPr>
              <w:pStyle w:val="Compact"/>
              <w:jc w:val="left"/>
            </w:pPr>
            <w:r>
              <w:t xml:space="preserve">35296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1342439</w:t>
            </w:r>
          </w:p>
        </w:tc>
        <w:tc>
          <w:tcPr/>
          <w:p>
            <w:pPr>
              <w:pStyle w:val="Compact"/>
              <w:jc w:val="left"/>
            </w:pPr>
            <w:r>
              <w:t xml:space="preserve">trandolapril</w:t>
            </w:r>
          </w:p>
        </w:tc>
        <w:tc>
          <w:tcPr/>
          <w:p>
            <w:pPr>
              <w:pStyle w:val="Compact"/>
              <w:jc w:val="left"/>
            </w:pPr>
            <w:r>
              <w:t xml:space="preserve">38454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03"/>
    <w:bookmarkEnd w:id="104"/>
    <w:bookmarkStart w:id="111" w:name="arb-new-users-with-prior-hypertension-1"/>
    <w:p>
      <w:pPr>
        <w:pStyle w:val="Heading2"/>
      </w:pPr>
      <w:r>
        <w:rPr>
          <w:rStyle w:val="SectionNumber"/>
        </w:rPr>
        <w:t xml:space="preserve">8.2</w:t>
      </w:r>
      <w:r>
        <w:tab/>
      </w:r>
      <w:r>
        <w:t xml:space="preserve">ARB new users with prior hypertension</w:t>
      </w:r>
    </w:p>
    <w:bookmarkStart w:id="105" w:name="cohort-entry-events-8"/>
    <w:p>
      <w:pPr>
        <w:pStyle w:val="Heading3"/>
      </w:pPr>
      <w:r>
        <w:rPr>
          <w:rStyle w:val="SectionNumber"/>
        </w:rPr>
        <w:t xml:space="preserve">8.2.1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37"/>
        </w:numPr>
        <w:pStyle w:val="Compact"/>
      </w:pPr>
      <w:r>
        <w:t xml:space="preserve">drug exposure of</w:t>
      </w:r>
      <w:r>
        <w:t xml:space="preserve"> </w:t>
      </w:r>
      <w:r>
        <w:t xml:space="preserve">‘</w:t>
      </w:r>
      <w:r>
        <w:t xml:space="preserve">[QBA eval] ARBs</w:t>
      </w:r>
      <w:r>
        <w:t xml:space="preserve">’</w:t>
      </w:r>
      <w:r>
        <w:t xml:space="preserve"> </w:t>
      </w:r>
      <w:r>
        <w:t xml:space="preserve">for the first time in the person’s history, starting on or after January 1, 2010.</w:t>
      </w:r>
    </w:p>
    <w:p>
      <w:pPr>
        <w:pStyle w:val="FirstParagraph"/>
      </w:pPr>
      <w:r>
        <w:t xml:space="preserve">Limit cohort entry events to the earliest event per person.</w:t>
      </w:r>
    </w:p>
    <w:p>
      <w:pPr>
        <w:pStyle w:val="BodyText"/>
      </w:pPr>
      <w:r>
        <w:t xml:space="preserve">Restrict entry events to with all of the following criteria:</w:t>
      </w:r>
    </w:p>
    <w:p>
      <w:pPr>
        <w:numPr>
          <w:ilvl w:val="0"/>
          <w:numId w:val="1038"/>
        </w:numPr>
        <w:pStyle w:val="Compact"/>
      </w:pPr>
      <w:r>
        <w:t xml:space="preserve">having no drug exposures of</w:t>
      </w:r>
      <w:r>
        <w:t xml:space="preserve"> </w:t>
      </w:r>
      <w:r>
        <w:t xml:space="preserve">‘</w:t>
      </w:r>
      <w:r>
        <w:t xml:space="preserve">[QBA eval] hypertension drugs</w:t>
      </w:r>
      <w:r>
        <w:t xml:space="preserve">’</w:t>
      </w:r>
      <w:r>
        <w:t xml:space="preserve">, starting anytime prior to cohort entry start date.</w:t>
      </w:r>
    </w:p>
    <w:p>
      <w:pPr>
        <w:numPr>
          <w:ilvl w:val="0"/>
          <w:numId w:val="1038"/>
        </w:numPr>
        <w:pStyle w:val="Compact"/>
      </w:pPr>
      <w:r>
        <w:t xml:space="preserve">having at least 1 condition occurrence of</w:t>
      </w:r>
      <w:r>
        <w:t xml:space="preserve"> </w:t>
      </w:r>
      <w:r>
        <w:t xml:space="preserve">‘</w:t>
      </w:r>
      <w:r>
        <w:t xml:space="preserve">[QBA eval] hypertension</w:t>
      </w:r>
      <w:r>
        <w:t xml:space="preserve">’</w:t>
      </w:r>
      <w:r>
        <w:t xml:space="preserve">, starting between 365 days before and 0 days after cohort entry start date.</w:t>
      </w:r>
    </w:p>
    <w:p>
      <w:pPr>
        <w:numPr>
          <w:ilvl w:val="0"/>
          <w:numId w:val="1038"/>
        </w:numPr>
        <w:pStyle w:val="Compact"/>
      </w:pPr>
      <w:r>
        <w:t xml:space="preserve">having exactly 1 distinct standard concepts from drug era of</w:t>
      </w:r>
      <w:r>
        <w:t xml:space="preserve"> </w:t>
      </w:r>
      <w:r>
        <w:t xml:space="preserve">‘</w:t>
      </w:r>
      <w:r>
        <w:t xml:space="preserve">[QBA eval] hypertension drugs</w:t>
      </w:r>
      <w:r>
        <w:t xml:space="preserve">’</w:t>
      </w:r>
      <w:r>
        <w:t xml:space="preserve">, starting between 0 days before and 7 days after cohort entry start date.</w:t>
      </w:r>
    </w:p>
    <w:bookmarkEnd w:id="105"/>
    <w:bookmarkStart w:id="106" w:name="cohort-exit-8"/>
    <w:p>
      <w:pPr>
        <w:pStyle w:val="Heading3"/>
      </w:pPr>
      <w:r>
        <w:rPr>
          <w:rStyle w:val="SectionNumber"/>
        </w:rPr>
        <w:t xml:space="preserve">8.2.2</w:t>
      </w:r>
      <w:r>
        <w:tab/>
      </w:r>
      <w:r>
        <w:t xml:space="preserve">Cohort Exit</w:t>
      </w:r>
    </w:p>
    <w:p>
      <w:pPr>
        <w:pStyle w:val="FirstParagraph"/>
      </w:pPr>
      <w:r>
        <w:t xml:space="preserve">The cohort end date will be based on a continuous exposure to</w:t>
      </w:r>
      <w:r>
        <w:t xml:space="preserve"> </w:t>
      </w:r>
      <w:r>
        <w:t xml:space="preserve">‘</w:t>
      </w:r>
      <w:r>
        <w:t xml:space="preserve">[QBA eval] ARBs</w:t>
      </w:r>
      <w:r>
        <w:t xml:space="preserve">’</w:t>
      </w:r>
      <w:r>
        <w:t xml:space="preserve">:</w:t>
      </w:r>
      <w:r>
        <w:t xml:space="preserve"> </w:t>
      </w:r>
      <w:r>
        <w:t xml:space="preserve">allowing 30 days between exposures, adding 0 days after exposure ends, and using days supply and exposure end date for exposure duration.</w:t>
      </w:r>
    </w:p>
    <w:bookmarkEnd w:id="106"/>
    <w:bookmarkStart w:id="107" w:name="cohort-eras-8"/>
    <w:p>
      <w:pPr>
        <w:pStyle w:val="Heading3"/>
      </w:pPr>
      <w:r>
        <w:rPr>
          <w:rStyle w:val="SectionNumber"/>
        </w:rPr>
        <w:t xml:space="preserve">8.2.3</w:t>
      </w:r>
      <w:r>
        <w:tab/>
      </w:r>
      <w:r>
        <w:t xml:space="preserve">Cohort Eras</w:t>
      </w:r>
    </w:p>
    <w:p>
      <w:pPr>
        <w:pStyle w:val="FirstParagraph"/>
      </w:pPr>
      <w:r>
        <w:t xml:space="preserve">Entry events will be combined into cohort eras if they are within 0 days of each other.</w:t>
      </w:r>
    </w:p>
    <w:bookmarkEnd w:id="107"/>
    <w:bookmarkStart w:id="108" w:name="qba-eval-hypertension-1"/>
    <w:p>
      <w:pPr>
        <w:pStyle w:val="Heading3"/>
      </w:pPr>
      <w:r>
        <w:rPr>
          <w:rStyle w:val="SectionNumber"/>
        </w:rPr>
        <w:t xml:space="preserve">8.2.4</w:t>
      </w:r>
      <w:r>
        <w:tab/>
      </w:r>
      <w:r>
        <w:t xml:space="preserve">[QBA eval] hypertension</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316866</w:t>
            </w:r>
          </w:p>
        </w:tc>
        <w:tc>
          <w:tcPr/>
          <w:p>
            <w:pPr>
              <w:pStyle w:val="Compact"/>
              <w:jc w:val="left"/>
            </w:pPr>
            <w:r>
              <w:t xml:space="preserve">Hypertensive disorder</w:t>
            </w:r>
          </w:p>
        </w:tc>
        <w:tc>
          <w:tcPr/>
          <w:p>
            <w:pPr>
              <w:pStyle w:val="Compact"/>
              <w:jc w:val="left"/>
            </w:pPr>
            <w:r>
              <w:t xml:space="preserve">38341003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08"/>
    <w:bookmarkStart w:id="109" w:name="qba-eval-hypertension-drugs-1"/>
    <w:p>
      <w:pPr>
        <w:pStyle w:val="Heading3"/>
      </w:pPr>
      <w:r>
        <w:rPr>
          <w:rStyle w:val="SectionNumber"/>
        </w:rPr>
        <w:t xml:space="preserve">8.2.5</w:t>
      </w:r>
      <w:r>
        <w:tab/>
      </w:r>
      <w:r>
        <w:t xml:space="preserve">[QBA eval] hypertension drugs</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1319998</w:t>
            </w:r>
          </w:p>
        </w:tc>
        <w:tc>
          <w:tcPr/>
          <w:p>
            <w:pPr>
              <w:pStyle w:val="Compact"/>
              <w:jc w:val="left"/>
            </w:pPr>
            <w:r>
              <w:t xml:space="preserve">acebutolol</w:t>
            </w:r>
          </w:p>
        </w:tc>
        <w:tc>
          <w:tcPr/>
          <w:p>
            <w:pPr>
              <w:pStyle w:val="Compact"/>
              <w:jc w:val="left"/>
            </w:pPr>
            <w:r>
              <w:t xml:space="preserve">149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1317967</w:t>
            </w:r>
          </w:p>
        </w:tc>
        <w:tc>
          <w:tcPr/>
          <w:p>
            <w:pPr>
              <w:pStyle w:val="Compact"/>
              <w:jc w:val="left"/>
            </w:pPr>
            <w:r>
              <w:t xml:space="preserve">aliskiren</w:t>
            </w:r>
          </w:p>
        </w:tc>
        <w:tc>
          <w:tcPr/>
          <w:p>
            <w:pPr>
              <w:pStyle w:val="Compact"/>
              <w:jc w:val="left"/>
            </w:pPr>
            <w:r>
              <w:t xml:space="preserve">325646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991382</w:t>
            </w:r>
          </w:p>
        </w:tc>
        <w:tc>
          <w:tcPr/>
          <w:p>
            <w:pPr>
              <w:pStyle w:val="Compact"/>
              <w:jc w:val="left"/>
            </w:pPr>
            <w:r>
              <w:t xml:space="preserve">amiloride</w:t>
            </w:r>
          </w:p>
        </w:tc>
        <w:tc>
          <w:tcPr/>
          <w:p>
            <w:pPr>
              <w:pStyle w:val="Compact"/>
              <w:jc w:val="left"/>
            </w:pPr>
            <w:r>
              <w:t xml:space="preserve">644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1332418</w:t>
            </w:r>
          </w:p>
        </w:tc>
        <w:tc>
          <w:tcPr/>
          <w:p>
            <w:pPr>
              <w:pStyle w:val="Compact"/>
              <w:jc w:val="left"/>
            </w:pPr>
            <w:r>
              <w:t xml:space="preserve">amlodipine</w:t>
            </w:r>
          </w:p>
        </w:tc>
        <w:tc>
          <w:tcPr/>
          <w:p>
            <w:pPr>
              <w:pStyle w:val="Compact"/>
              <w:jc w:val="left"/>
            </w:pPr>
            <w:r>
              <w:t xml:space="preserve">17767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1314002</w:t>
            </w:r>
          </w:p>
        </w:tc>
        <w:tc>
          <w:tcPr/>
          <w:p>
            <w:pPr>
              <w:pStyle w:val="Compact"/>
              <w:jc w:val="left"/>
            </w:pPr>
            <w:r>
              <w:t xml:space="preserve">atenolol</w:t>
            </w:r>
          </w:p>
        </w:tc>
        <w:tc>
          <w:tcPr/>
          <w:p>
            <w:pPr>
              <w:pStyle w:val="Compact"/>
              <w:jc w:val="left"/>
            </w:pPr>
            <w:r>
              <w:t xml:space="preserve">1202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40235485</w:t>
            </w:r>
          </w:p>
        </w:tc>
        <w:tc>
          <w:tcPr/>
          <w:p>
            <w:pPr>
              <w:pStyle w:val="Compact"/>
              <w:jc w:val="left"/>
            </w:pPr>
            <w:r>
              <w:t xml:space="preserve">azilsartan</w:t>
            </w:r>
          </w:p>
        </w:tc>
        <w:tc>
          <w:tcPr/>
          <w:p>
            <w:pPr>
              <w:pStyle w:val="Compact"/>
              <w:jc w:val="left"/>
            </w:pPr>
            <w:r>
              <w:t xml:space="preserve">1091643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1335471</w:t>
            </w:r>
          </w:p>
        </w:tc>
        <w:tc>
          <w:tcPr/>
          <w:p>
            <w:pPr>
              <w:pStyle w:val="Compact"/>
              <w:jc w:val="left"/>
            </w:pPr>
            <w:r>
              <w:t xml:space="preserve">benazepril</w:t>
            </w:r>
          </w:p>
        </w:tc>
        <w:tc>
          <w:tcPr/>
          <w:p>
            <w:pPr>
              <w:pStyle w:val="Compact"/>
              <w:jc w:val="left"/>
            </w:pPr>
            <w:r>
              <w:t xml:space="preserve">18867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1322081</w:t>
            </w:r>
          </w:p>
        </w:tc>
        <w:tc>
          <w:tcPr/>
          <w:p>
            <w:pPr>
              <w:pStyle w:val="Compact"/>
              <w:jc w:val="left"/>
            </w:pPr>
            <w:r>
              <w:t xml:space="preserve">betaxolol</w:t>
            </w:r>
          </w:p>
        </w:tc>
        <w:tc>
          <w:tcPr/>
          <w:p>
            <w:pPr>
              <w:pStyle w:val="Compact"/>
              <w:jc w:val="left"/>
            </w:pPr>
            <w:r>
              <w:t xml:space="preserve">1520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1338005</w:t>
            </w:r>
          </w:p>
        </w:tc>
        <w:tc>
          <w:tcPr/>
          <w:p>
            <w:pPr>
              <w:pStyle w:val="Compact"/>
              <w:jc w:val="left"/>
            </w:pPr>
            <w:r>
              <w:t xml:space="preserve">bisoprolol</w:t>
            </w:r>
          </w:p>
        </w:tc>
        <w:tc>
          <w:tcPr/>
          <w:p>
            <w:pPr>
              <w:pStyle w:val="Compact"/>
              <w:jc w:val="left"/>
            </w:pPr>
            <w:r>
              <w:t xml:space="preserve">19484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932745</w:t>
            </w:r>
          </w:p>
        </w:tc>
        <w:tc>
          <w:tcPr/>
          <w:p>
            <w:pPr>
              <w:pStyle w:val="Compact"/>
              <w:jc w:val="left"/>
            </w:pPr>
            <w:r>
              <w:t xml:space="preserve">bumetanide</w:t>
            </w:r>
          </w:p>
        </w:tc>
        <w:tc>
          <w:tcPr/>
          <w:p>
            <w:pPr>
              <w:pStyle w:val="Compact"/>
              <w:jc w:val="left"/>
            </w:pPr>
            <w:r>
              <w:t xml:space="preserve">1808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1351557</w:t>
            </w:r>
          </w:p>
        </w:tc>
        <w:tc>
          <w:tcPr/>
          <w:p>
            <w:pPr>
              <w:pStyle w:val="Compact"/>
              <w:jc w:val="left"/>
            </w:pPr>
            <w:r>
              <w:t xml:space="preserve">candesartan</w:t>
            </w:r>
          </w:p>
        </w:tc>
        <w:tc>
          <w:tcPr/>
          <w:p>
            <w:pPr>
              <w:pStyle w:val="Compact"/>
              <w:jc w:val="left"/>
            </w:pPr>
            <w:r>
              <w:t xml:space="preserve">214354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1340128</w:t>
            </w:r>
          </w:p>
        </w:tc>
        <w:tc>
          <w:tcPr/>
          <w:p>
            <w:pPr>
              <w:pStyle w:val="Compact"/>
              <w:jc w:val="left"/>
            </w:pPr>
            <w:r>
              <w:t xml:space="preserve">captopril</w:t>
            </w:r>
          </w:p>
        </w:tc>
        <w:tc>
          <w:tcPr/>
          <w:p>
            <w:pPr>
              <w:pStyle w:val="Compact"/>
              <w:jc w:val="left"/>
            </w:pPr>
            <w:r>
              <w:t xml:space="preserve">1998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1346823</w:t>
            </w:r>
          </w:p>
        </w:tc>
        <w:tc>
          <w:tcPr/>
          <w:p>
            <w:pPr>
              <w:pStyle w:val="Compact"/>
              <w:jc w:val="left"/>
            </w:pPr>
            <w:r>
              <w:t xml:space="preserve">carvedilol</w:t>
            </w:r>
          </w:p>
        </w:tc>
        <w:tc>
          <w:tcPr/>
          <w:p>
            <w:pPr>
              <w:pStyle w:val="Compact"/>
              <w:jc w:val="left"/>
            </w:pPr>
            <w:r>
              <w:t xml:space="preserve">20352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1395058</w:t>
            </w:r>
          </w:p>
        </w:tc>
        <w:tc>
          <w:tcPr/>
          <w:p>
            <w:pPr>
              <w:pStyle w:val="Compact"/>
              <w:jc w:val="left"/>
            </w:pPr>
            <w:r>
              <w:t xml:space="preserve">chlorthalidone</w:t>
            </w:r>
          </w:p>
        </w:tc>
        <w:tc>
          <w:tcPr/>
          <w:p>
            <w:pPr>
              <w:pStyle w:val="Compact"/>
              <w:jc w:val="left"/>
            </w:pPr>
            <w:r>
              <w:t xml:space="preserve">2409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1398937</w:t>
            </w:r>
          </w:p>
        </w:tc>
        <w:tc>
          <w:tcPr/>
          <w:p>
            <w:pPr>
              <w:pStyle w:val="Compact"/>
              <w:jc w:val="left"/>
            </w:pPr>
            <w:r>
              <w:t xml:space="preserve">clonidine</w:t>
            </w:r>
          </w:p>
        </w:tc>
        <w:tc>
          <w:tcPr/>
          <w:p>
            <w:pPr>
              <w:pStyle w:val="Compact"/>
              <w:jc w:val="left"/>
            </w:pPr>
            <w:r>
              <w:t xml:space="preserve">2599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1328165</w:t>
            </w:r>
          </w:p>
        </w:tc>
        <w:tc>
          <w:tcPr/>
          <w:p>
            <w:pPr>
              <w:pStyle w:val="Compact"/>
              <w:jc w:val="left"/>
            </w:pPr>
            <w:r>
              <w:t xml:space="preserve">diltiazem</w:t>
            </w:r>
          </w:p>
        </w:tc>
        <w:tc>
          <w:tcPr/>
          <w:p>
            <w:pPr>
              <w:pStyle w:val="Compact"/>
              <w:jc w:val="left"/>
            </w:pPr>
            <w:r>
              <w:t xml:space="preserve">3443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1363053</w:t>
            </w:r>
          </w:p>
        </w:tc>
        <w:tc>
          <w:tcPr/>
          <w:p>
            <w:pPr>
              <w:pStyle w:val="Compact"/>
              <w:jc w:val="left"/>
            </w:pPr>
            <w:r>
              <w:t xml:space="preserve">doxazosin</w:t>
            </w:r>
          </w:p>
        </w:tc>
        <w:tc>
          <w:tcPr/>
          <w:p>
            <w:pPr>
              <w:pStyle w:val="Compact"/>
              <w:jc w:val="left"/>
            </w:pPr>
            <w:r>
              <w:t xml:space="preserve">49276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1341927</w:t>
            </w:r>
          </w:p>
        </w:tc>
        <w:tc>
          <w:tcPr/>
          <w:p>
            <w:pPr>
              <w:pStyle w:val="Compact"/>
              <w:jc w:val="left"/>
            </w:pPr>
            <w:r>
              <w:t xml:space="preserve">enalapril</w:t>
            </w:r>
          </w:p>
        </w:tc>
        <w:tc>
          <w:tcPr/>
          <w:p>
            <w:pPr>
              <w:pStyle w:val="Compact"/>
              <w:jc w:val="left"/>
            </w:pPr>
            <w:r>
              <w:t xml:space="preserve">3827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1309799</w:t>
            </w:r>
          </w:p>
        </w:tc>
        <w:tc>
          <w:tcPr/>
          <w:p>
            <w:pPr>
              <w:pStyle w:val="Compact"/>
              <w:jc w:val="left"/>
            </w:pPr>
            <w:r>
              <w:t xml:space="preserve">eplerenone</w:t>
            </w:r>
          </w:p>
        </w:tc>
        <w:tc>
          <w:tcPr/>
          <w:p>
            <w:pPr>
              <w:pStyle w:val="Compact"/>
              <w:jc w:val="left"/>
            </w:pPr>
            <w:r>
              <w:t xml:space="preserve">298869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1346686</w:t>
            </w:r>
          </w:p>
        </w:tc>
        <w:tc>
          <w:tcPr/>
          <w:p>
            <w:pPr>
              <w:pStyle w:val="Compact"/>
              <w:jc w:val="left"/>
            </w:pPr>
            <w:r>
              <w:t xml:space="preserve">eprosartan</w:t>
            </w:r>
          </w:p>
        </w:tc>
        <w:tc>
          <w:tcPr/>
          <w:p>
            <w:pPr>
              <w:pStyle w:val="Compact"/>
              <w:jc w:val="left"/>
            </w:pPr>
            <w:r>
              <w:t xml:space="preserve">83515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1353776</w:t>
            </w:r>
          </w:p>
        </w:tc>
        <w:tc>
          <w:tcPr/>
          <w:p>
            <w:pPr>
              <w:pStyle w:val="Compact"/>
              <w:jc w:val="left"/>
            </w:pPr>
            <w:r>
              <w:t xml:space="preserve">felodipine</w:t>
            </w:r>
          </w:p>
        </w:tc>
        <w:tc>
          <w:tcPr/>
          <w:p>
            <w:pPr>
              <w:pStyle w:val="Compact"/>
              <w:jc w:val="left"/>
            </w:pPr>
            <w:r>
              <w:t xml:space="preserve">4316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1363749</w:t>
            </w:r>
          </w:p>
        </w:tc>
        <w:tc>
          <w:tcPr/>
          <w:p>
            <w:pPr>
              <w:pStyle w:val="Compact"/>
              <w:jc w:val="left"/>
            </w:pPr>
            <w:r>
              <w:t xml:space="preserve">fosinopril</w:t>
            </w:r>
          </w:p>
        </w:tc>
        <w:tc>
          <w:tcPr/>
          <w:p>
            <w:pPr>
              <w:pStyle w:val="Compact"/>
              <w:jc w:val="left"/>
            </w:pPr>
            <w:r>
              <w:t xml:space="preserve">50166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956874</w:t>
            </w:r>
          </w:p>
        </w:tc>
        <w:tc>
          <w:tcPr/>
          <w:p>
            <w:pPr>
              <w:pStyle w:val="Compact"/>
              <w:jc w:val="left"/>
            </w:pPr>
            <w:r>
              <w:t xml:space="preserve">furosemide</w:t>
            </w:r>
          </w:p>
        </w:tc>
        <w:tc>
          <w:tcPr/>
          <w:p>
            <w:pPr>
              <w:pStyle w:val="Compact"/>
              <w:jc w:val="left"/>
            </w:pPr>
            <w:r>
              <w:t xml:space="preserve">4603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1344965</w:t>
            </w:r>
          </w:p>
        </w:tc>
        <w:tc>
          <w:tcPr/>
          <w:p>
            <w:pPr>
              <w:pStyle w:val="Compact"/>
              <w:jc w:val="left"/>
            </w:pPr>
            <w:r>
              <w:t xml:space="preserve">guanfacine</w:t>
            </w:r>
          </w:p>
        </w:tc>
        <w:tc>
          <w:tcPr/>
          <w:p>
            <w:pPr>
              <w:pStyle w:val="Compact"/>
              <w:jc w:val="left"/>
            </w:pPr>
            <w:r>
              <w:t xml:space="preserve">40114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1373928</w:t>
            </w:r>
          </w:p>
        </w:tc>
        <w:tc>
          <w:tcPr/>
          <w:p>
            <w:pPr>
              <w:pStyle w:val="Compact"/>
              <w:jc w:val="left"/>
            </w:pPr>
            <w:r>
              <w:t xml:space="preserve">hydralazine</w:t>
            </w:r>
          </w:p>
        </w:tc>
        <w:tc>
          <w:tcPr/>
          <w:p>
            <w:pPr>
              <w:pStyle w:val="Compact"/>
              <w:jc w:val="left"/>
            </w:pPr>
            <w:r>
              <w:t xml:space="preserve">5470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974166</w:t>
            </w:r>
          </w:p>
        </w:tc>
        <w:tc>
          <w:tcPr/>
          <w:p>
            <w:pPr>
              <w:pStyle w:val="Compact"/>
              <w:jc w:val="left"/>
            </w:pPr>
            <w:r>
              <w:t xml:space="preserve">hydrochlorothiazide</w:t>
            </w:r>
          </w:p>
        </w:tc>
        <w:tc>
          <w:tcPr/>
          <w:p>
            <w:pPr>
              <w:pStyle w:val="Compact"/>
              <w:jc w:val="left"/>
            </w:pPr>
            <w:r>
              <w:t xml:space="preserve">5487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978555</w:t>
            </w:r>
          </w:p>
        </w:tc>
        <w:tc>
          <w:tcPr/>
          <w:p>
            <w:pPr>
              <w:pStyle w:val="Compact"/>
              <w:jc w:val="left"/>
            </w:pPr>
            <w:r>
              <w:t xml:space="preserve">indapamide</w:t>
            </w:r>
          </w:p>
        </w:tc>
        <w:tc>
          <w:tcPr/>
          <w:p>
            <w:pPr>
              <w:pStyle w:val="Compact"/>
              <w:jc w:val="left"/>
            </w:pPr>
            <w:r>
              <w:t xml:space="preserve">5764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1347384</w:t>
            </w:r>
          </w:p>
        </w:tc>
        <w:tc>
          <w:tcPr/>
          <w:p>
            <w:pPr>
              <w:pStyle w:val="Compact"/>
              <w:jc w:val="left"/>
            </w:pPr>
            <w:r>
              <w:t xml:space="preserve">irbesartan</w:t>
            </w:r>
          </w:p>
        </w:tc>
        <w:tc>
          <w:tcPr/>
          <w:p>
            <w:pPr>
              <w:pStyle w:val="Compact"/>
              <w:jc w:val="left"/>
            </w:pPr>
            <w:r>
              <w:t xml:space="preserve">83818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1326012</w:t>
            </w:r>
          </w:p>
        </w:tc>
        <w:tc>
          <w:tcPr/>
          <w:p>
            <w:pPr>
              <w:pStyle w:val="Compact"/>
              <w:jc w:val="left"/>
            </w:pPr>
            <w:r>
              <w:t xml:space="preserve">isradipine</w:t>
            </w:r>
          </w:p>
        </w:tc>
        <w:tc>
          <w:tcPr/>
          <w:p>
            <w:pPr>
              <w:pStyle w:val="Compact"/>
              <w:jc w:val="left"/>
            </w:pPr>
            <w:r>
              <w:t xml:space="preserve">33910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1386957</w:t>
            </w:r>
          </w:p>
        </w:tc>
        <w:tc>
          <w:tcPr/>
          <w:p>
            <w:pPr>
              <w:pStyle w:val="Compact"/>
              <w:jc w:val="left"/>
            </w:pPr>
            <w:r>
              <w:t xml:space="preserve">labetalol</w:t>
            </w:r>
          </w:p>
        </w:tc>
        <w:tc>
          <w:tcPr/>
          <w:p>
            <w:pPr>
              <w:pStyle w:val="Compact"/>
              <w:jc w:val="left"/>
            </w:pPr>
            <w:r>
              <w:t xml:space="preserve">6185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1308216</w:t>
            </w:r>
          </w:p>
        </w:tc>
        <w:tc>
          <w:tcPr/>
          <w:p>
            <w:pPr>
              <w:pStyle w:val="Compact"/>
              <w:jc w:val="left"/>
            </w:pPr>
            <w:r>
              <w:t xml:space="preserve">lisinopril</w:t>
            </w:r>
          </w:p>
        </w:tc>
        <w:tc>
          <w:tcPr/>
          <w:p>
            <w:pPr>
              <w:pStyle w:val="Compact"/>
              <w:jc w:val="left"/>
            </w:pPr>
            <w:r>
              <w:t xml:space="preserve">29046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1367500</w:t>
            </w:r>
          </w:p>
        </w:tc>
        <w:tc>
          <w:tcPr/>
          <w:p>
            <w:pPr>
              <w:pStyle w:val="Compact"/>
              <w:jc w:val="left"/>
            </w:pPr>
            <w:r>
              <w:t xml:space="preserve">losartan</w:t>
            </w:r>
          </w:p>
        </w:tc>
        <w:tc>
          <w:tcPr/>
          <w:p>
            <w:pPr>
              <w:pStyle w:val="Compact"/>
              <w:jc w:val="left"/>
            </w:pPr>
            <w:r>
              <w:t xml:space="preserve">52175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1305447</w:t>
            </w:r>
          </w:p>
        </w:tc>
        <w:tc>
          <w:tcPr/>
          <w:p>
            <w:pPr>
              <w:pStyle w:val="Compact"/>
              <w:jc w:val="left"/>
            </w:pPr>
            <w:r>
              <w:t xml:space="preserve">methyldopa</w:t>
            </w:r>
          </w:p>
        </w:tc>
        <w:tc>
          <w:tcPr/>
          <w:p>
            <w:pPr>
              <w:pStyle w:val="Compact"/>
              <w:jc w:val="left"/>
            </w:pPr>
            <w:r>
              <w:t xml:space="preserve">6876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907013</w:t>
            </w:r>
          </w:p>
        </w:tc>
        <w:tc>
          <w:tcPr/>
          <w:p>
            <w:pPr>
              <w:pStyle w:val="Compact"/>
              <w:jc w:val="left"/>
            </w:pPr>
            <w:r>
              <w:t xml:space="preserve">metolazone</w:t>
            </w:r>
          </w:p>
        </w:tc>
        <w:tc>
          <w:tcPr/>
          <w:p>
            <w:pPr>
              <w:pStyle w:val="Compact"/>
              <w:jc w:val="left"/>
            </w:pPr>
            <w:r>
              <w:t xml:space="preserve">6916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1307046</w:t>
            </w:r>
          </w:p>
        </w:tc>
        <w:tc>
          <w:tcPr/>
          <w:p>
            <w:pPr>
              <w:pStyle w:val="Compact"/>
              <w:jc w:val="left"/>
            </w:pPr>
            <w:r>
              <w:t xml:space="preserve">metoprolol</w:t>
            </w:r>
          </w:p>
        </w:tc>
        <w:tc>
          <w:tcPr/>
          <w:p>
            <w:pPr>
              <w:pStyle w:val="Compact"/>
              <w:jc w:val="left"/>
            </w:pPr>
            <w:r>
              <w:t xml:space="preserve">6918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1309068</w:t>
            </w:r>
          </w:p>
        </w:tc>
        <w:tc>
          <w:tcPr/>
          <w:p>
            <w:pPr>
              <w:pStyle w:val="Compact"/>
              <w:jc w:val="left"/>
            </w:pPr>
            <w:r>
              <w:t xml:space="preserve">minoxidil</w:t>
            </w:r>
          </w:p>
        </w:tc>
        <w:tc>
          <w:tcPr/>
          <w:p>
            <w:pPr>
              <w:pStyle w:val="Compact"/>
              <w:jc w:val="left"/>
            </w:pPr>
            <w:r>
              <w:t xml:space="preserve">6984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1310756</w:t>
            </w:r>
          </w:p>
        </w:tc>
        <w:tc>
          <w:tcPr/>
          <w:p>
            <w:pPr>
              <w:pStyle w:val="Compact"/>
              <w:jc w:val="left"/>
            </w:pPr>
            <w:r>
              <w:t xml:space="preserve">moexipril</w:t>
            </w:r>
          </w:p>
        </w:tc>
        <w:tc>
          <w:tcPr/>
          <w:p>
            <w:pPr>
              <w:pStyle w:val="Compact"/>
              <w:jc w:val="left"/>
            </w:pPr>
            <w:r>
              <w:t xml:space="preserve">30131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1313200</w:t>
            </w:r>
          </w:p>
        </w:tc>
        <w:tc>
          <w:tcPr/>
          <w:p>
            <w:pPr>
              <w:pStyle w:val="Compact"/>
              <w:jc w:val="left"/>
            </w:pPr>
            <w:r>
              <w:t xml:space="preserve">nadolol</w:t>
            </w:r>
          </w:p>
        </w:tc>
        <w:tc>
          <w:tcPr/>
          <w:p>
            <w:pPr>
              <w:pStyle w:val="Compact"/>
              <w:jc w:val="left"/>
            </w:pPr>
            <w:r>
              <w:t xml:space="preserve">7226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1314577</w:t>
            </w:r>
          </w:p>
        </w:tc>
        <w:tc>
          <w:tcPr/>
          <w:p>
            <w:pPr>
              <w:pStyle w:val="Compact"/>
              <w:jc w:val="left"/>
            </w:pPr>
            <w:r>
              <w:t xml:space="preserve">nebivolol</w:t>
            </w:r>
          </w:p>
        </w:tc>
        <w:tc>
          <w:tcPr/>
          <w:p>
            <w:pPr>
              <w:pStyle w:val="Compact"/>
              <w:jc w:val="left"/>
            </w:pPr>
            <w:r>
              <w:t xml:space="preserve">31555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1318137</w:t>
            </w:r>
          </w:p>
        </w:tc>
        <w:tc>
          <w:tcPr/>
          <w:p>
            <w:pPr>
              <w:pStyle w:val="Compact"/>
              <w:jc w:val="left"/>
            </w:pPr>
            <w:r>
              <w:t xml:space="preserve">nicardipine</w:t>
            </w:r>
          </w:p>
        </w:tc>
        <w:tc>
          <w:tcPr/>
          <w:p>
            <w:pPr>
              <w:pStyle w:val="Compact"/>
              <w:jc w:val="left"/>
            </w:pPr>
            <w:r>
              <w:t xml:space="preserve">7396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1318853</w:t>
            </w:r>
          </w:p>
        </w:tc>
        <w:tc>
          <w:tcPr/>
          <w:p>
            <w:pPr>
              <w:pStyle w:val="Compact"/>
              <w:jc w:val="left"/>
            </w:pPr>
            <w:r>
              <w:t xml:space="preserve">nifedipine</w:t>
            </w:r>
          </w:p>
        </w:tc>
        <w:tc>
          <w:tcPr/>
          <w:p>
            <w:pPr>
              <w:pStyle w:val="Compact"/>
              <w:jc w:val="left"/>
            </w:pPr>
            <w:r>
              <w:t xml:space="preserve">7417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1319880</w:t>
            </w:r>
          </w:p>
        </w:tc>
        <w:tc>
          <w:tcPr/>
          <w:p>
            <w:pPr>
              <w:pStyle w:val="Compact"/>
              <w:jc w:val="left"/>
            </w:pPr>
            <w:r>
              <w:t xml:space="preserve">nisoldipine</w:t>
            </w:r>
          </w:p>
        </w:tc>
        <w:tc>
          <w:tcPr/>
          <w:p>
            <w:pPr>
              <w:pStyle w:val="Compact"/>
              <w:jc w:val="left"/>
            </w:pPr>
            <w:r>
              <w:t xml:space="preserve">7435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40226742</w:t>
            </w:r>
          </w:p>
        </w:tc>
        <w:tc>
          <w:tcPr/>
          <w:p>
            <w:pPr>
              <w:pStyle w:val="Compact"/>
              <w:jc w:val="left"/>
            </w:pPr>
            <w:r>
              <w:t xml:space="preserve">olmesartan</w:t>
            </w:r>
          </w:p>
        </w:tc>
        <w:tc>
          <w:tcPr/>
          <w:p>
            <w:pPr>
              <w:pStyle w:val="Compact"/>
              <w:jc w:val="left"/>
            </w:pPr>
            <w:r>
              <w:t xml:space="preserve">321064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1327978</w:t>
            </w:r>
          </w:p>
        </w:tc>
        <w:tc>
          <w:tcPr/>
          <w:p>
            <w:pPr>
              <w:pStyle w:val="Compact"/>
              <w:jc w:val="left"/>
            </w:pPr>
            <w:r>
              <w:t xml:space="preserve">penbutolol</w:t>
            </w:r>
          </w:p>
        </w:tc>
        <w:tc>
          <w:tcPr/>
          <w:p>
            <w:pPr>
              <w:pStyle w:val="Compact"/>
              <w:jc w:val="left"/>
            </w:pPr>
            <w:r>
              <w:t xml:space="preserve">7973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1373225</w:t>
            </w:r>
          </w:p>
        </w:tc>
        <w:tc>
          <w:tcPr/>
          <w:p>
            <w:pPr>
              <w:pStyle w:val="Compact"/>
              <w:jc w:val="left"/>
            </w:pPr>
            <w:r>
              <w:t xml:space="preserve">perindopril</w:t>
            </w:r>
          </w:p>
        </w:tc>
        <w:tc>
          <w:tcPr/>
          <w:p>
            <w:pPr>
              <w:pStyle w:val="Compact"/>
              <w:jc w:val="left"/>
            </w:pPr>
            <w:r>
              <w:t xml:space="preserve">54552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1345858</w:t>
            </w:r>
          </w:p>
        </w:tc>
        <w:tc>
          <w:tcPr/>
          <w:p>
            <w:pPr>
              <w:pStyle w:val="Compact"/>
              <w:jc w:val="left"/>
            </w:pPr>
            <w:r>
              <w:t xml:space="preserve">pindolol</w:t>
            </w:r>
          </w:p>
        </w:tc>
        <w:tc>
          <w:tcPr/>
          <w:p>
            <w:pPr>
              <w:pStyle w:val="Compact"/>
              <w:jc w:val="left"/>
            </w:pPr>
            <w:r>
              <w:t xml:space="preserve">8332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1350489</w:t>
            </w:r>
          </w:p>
        </w:tc>
        <w:tc>
          <w:tcPr/>
          <w:p>
            <w:pPr>
              <w:pStyle w:val="Compact"/>
              <w:jc w:val="left"/>
            </w:pPr>
            <w:r>
              <w:t xml:space="preserve">prazosin</w:t>
            </w:r>
          </w:p>
        </w:tc>
        <w:tc>
          <w:tcPr/>
          <w:p>
            <w:pPr>
              <w:pStyle w:val="Compact"/>
              <w:jc w:val="left"/>
            </w:pPr>
            <w:r>
              <w:t xml:space="preserve">8629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1353766</w:t>
            </w:r>
          </w:p>
        </w:tc>
        <w:tc>
          <w:tcPr/>
          <w:p>
            <w:pPr>
              <w:pStyle w:val="Compact"/>
              <w:jc w:val="left"/>
            </w:pPr>
            <w:r>
              <w:t xml:space="preserve">propranolol</w:t>
            </w:r>
          </w:p>
        </w:tc>
        <w:tc>
          <w:tcPr/>
          <w:p>
            <w:pPr>
              <w:pStyle w:val="Compact"/>
              <w:jc w:val="left"/>
            </w:pPr>
            <w:r>
              <w:t xml:space="preserve">8787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1331235</w:t>
            </w:r>
          </w:p>
        </w:tc>
        <w:tc>
          <w:tcPr/>
          <w:p>
            <w:pPr>
              <w:pStyle w:val="Compact"/>
              <w:jc w:val="left"/>
            </w:pPr>
            <w:r>
              <w:t xml:space="preserve">quinapril</w:t>
            </w:r>
          </w:p>
        </w:tc>
        <w:tc>
          <w:tcPr/>
          <w:p>
            <w:pPr>
              <w:pStyle w:val="Compact"/>
              <w:jc w:val="left"/>
            </w:pPr>
            <w:r>
              <w:t xml:space="preserve">35208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1334456</w:t>
            </w:r>
          </w:p>
        </w:tc>
        <w:tc>
          <w:tcPr/>
          <w:p>
            <w:pPr>
              <w:pStyle w:val="Compact"/>
              <w:jc w:val="left"/>
            </w:pPr>
            <w:r>
              <w:t xml:space="preserve">ramipril</w:t>
            </w:r>
          </w:p>
        </w:tc>
        <w:tc>
          <w:tcPr/>
          <w:p>
            <w:pPr>
              <w:pStyle w:val="Compact"/>
              <w:jc w:val="left"/>
            </w:pPr>
            <w:r>
              <w:t xml:space="preserve">35296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970250</w:t>
            </w:r>
          </w:p>
        </w:tc>
        <w:tc>
          <w:tcPr/>
          <w:p>
            <w:pPr>
              <w:pStyle w:val="Compact"/>
              <w:jc w:val="left"/>
            </w:pPr>
            <w:r>
              <w:t xml:space="preserve">spironolactone</w:t>
            </w:r>
          </w:p>
        </w:tc>
        <w:tc>
          <w:tcPr/>
          <w:p>
            <w:pPr>
              <w:pStyle w:val="Compact"/>
              <w:jc w:val="left"/>
            </w:pPr>
            <w:r>
              <w:t xml:space="preserve">9997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1317640</w:t>
            </w:r>
          </w:p>
        </w:tc>
        <w:tc>
          <w:tcPr/>
          <w:p>
            <w:pPr>
              <w:pStyle w:val="Compact"/>
              <w:jc w:val="left"/>
            </w:pPr>
            <w:r>
              <w:t xml:space="preserve">telmisartan</w:t>
            </w:r>
          </w:p>
        </w:tc>
        <w:tc>
          <w:tcPr/>
          <w:p>
            <w:pPr>
              <w:pStyle w:val="Compact"/>
              <w:jc w:val="left"/>
            </w:pPr>
            <w:r>
              <w:t xml:space="preserve">73494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1341238</w:t>
            </w:r>
          </w:p>
        </w:tc>
        <w:tc>
          <w:tcPr/>
          <w:p>
            <w:pPr>
              <w:pStyle w:val="Compact"/>
              <w:jc w:val="left"/>
            </w:pPr>
            <w:r>
              <w:t xml:space="preserve">terazosin</w:t>
            </w:r>
          </w:p>
        </w:tc>
        <w:tc>
          <w:tcPr/>
          <w:p>
            <w:pPr>
              <w:pStyle w:val="Compact"/>
              <w:jc w:val="left"/>
            </w:pPr>
            <w:r>
              <w:t xml:space="preserve">37798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942350</w:t>
            </w:r>
          </w:p>
        </w:tc>
        <w:tc>
          <w:tcPr/>
          <w:p>
            <w:pPr>
              <w:pStyle w:val="Compact"/>
              <w:jc w:val="left"/>
            </w:pPr>
            <w:r>
              <w:t xml:space="preserve">torsemide</w:t>
            </w:r>
          </w:p>
        </w:tc>
        <w:tc>
          <w:tcPr/>
          <w:p>
            <w:pPr>
              <w:pStyle w:val="Compact"/>
              <w:jc w:val="left"/>
            </w:pPr>
            <w:r>
              <w:t xml:space="preserve">38413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1342439</w:t>
            </w:r>
          </w:p>
        </w:tc>
        <w:tc>
          <w:tcPr/>
          <w:p>
            <w:pPr>
              <w:pStyle w:val="Compact"/>
              <w:jc w:val="left"/>
            </w:pPr>
            <w:r>
              <w:t xml:space="preserve">trandolapril</w:t>
            </w:r>
          </w:p>
        </w:tc>
        <w:tc>
          <w:tcPr/>
          <w:p>
            <w:pPr>
              <w:pStyle w:val="Compact"/>
              <w:jc w:val="left"/>
            </w:pPr>
            <w:r>
              <w:t xml:space="preserve">38454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904542</w:t>
            </w:r>
          </w:p>
        </w:tc>
        <w:tc>
          <w:tcPr/>
          <w:p>
            <w:pPr>
              <w:pStyle w:val="Compact"/>
              <w:jc w:val="left"/>
            </w:pPr>
            <w:r>
              <w:t xml:space="preserve">triamterene</w:t>
            </w:r>
          </w:p>
        </w:tc>
        <w:tc>
          <w:tcPr/>
          <w:p>
            <w:pPr>
              <w:pStyle w:val="Compact"/>
              <w:jc w:val="left"/>
            </w:pPr>
            <w:r>
              <w:t xml:space="preserve">10763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1308842</w:t>
            </w:r>
          </w:p>
        </w:tc>
        <w:tc>
          <w:tcPr/>
          <w:p>
            <w:pPr>
              <w:pStyle w:val="Compact"/>
              <w:jc w:val="left"/>
            </w:pPr>
            <w:r>
              <w:t xml:space="preserve">valsartan</w:t>
            </w:r>
          </w:p>
        </w:tc>
        <w:tc>
          <w:tcPr/>
          <w:p>
            <w:pPr>
              <w:pStyle w:val="Compact"/>
              <w:jc w:val="left"/>
            </w:pPr>
            <w:r>
              <w:t xml:space="preserve">69749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1307863</w:t>
            </w:r>
          </w:p>
        </w:tc>
        <w:tc>
          <w:tcPr/>
          <w:p>
            <w:pPr>
              <w:pStyle w:val="Compact"/>
              <w:jc w:val="left"/>
            </w:pPr>
            <w:r>
              <w:t xml:space="preserve">verapamil</w:t>
            </w:r>
          </w:p>
        </w:tc>
        <w:tc>
          <w:tcPr/>
          <w:p>
            <w:pPr>
              <w:pStyle w:val="Compact"/>
              <w:jc w:val="left"/>
            </w:pPr>
            <w:r>
              <w:t xml:space="preserve">11170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09"/>
    <w:bookmarkStart w:id="110" w:name="qba-eval-arbs"/>
    <w:p>
      <w:pPr>
        <w:pStyle w:val="Heading3"/>
      </w:pPr>
      <w:r>
        <w:rPr>
          <w:rStyle w:val="SectionNumber"/>
        </w:rPr>
        <w:t xml:space="preserve">8.2.6</w:t>
      </w:r>
      <w:r>
        <w:tab/>
      </w:r>
      <w:r>
        <w:t xml:space="preserve">[QBA eval] ARBs</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40235485</w:t>
            </w:r>
          </w:p>
        </w:tc>
        <w:tc>
          <w:tcPr/>
          <w:p>
            <w:pPr>
              <w:pStyle w:val="Compact"/>
              <w:jc w:val="left"/>
            </w:pPr>
            <w:r>
              <w:t xml:space="preserve">azilsartan</w:t>
            </w:r>
          </w:p>
        </w:tc>
        <w:tc>
          <w:tcPr/>
          <w:p>
            <w:pPr>
              <w:pStyle w:val="Compact"/>
              <w:jc w:val="left"/>
            </w:pPr>
            <w:r>
              <w:t xml:space="preserve">1091643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1351557</w:t>
            </w:r>
          </w:p>
        </w:tc>
        <w:tc>
          <w:tcPr/>
          <w:p>
            <w:pPr>
              <w:pStyle w:val="Compact"/>
              <w:jc w:val="left"/>
            </w:pPr>
            <w:r>
              <w:t xml:space="preserve">candesartan</w:t>
            </w:r>
          </w:p>
        </w:tc>
        <w:tc>
          <w:tcPr/>
          <w:p>
            <w:pPr>
              <w:pStyle w:val="Compact"/>
              <w:jc w:val="left"/>
            </w:pPr>
            <w:r>
              <w:t xml:space="preserve">214354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1346686</w:t>
            </w:r>
          </w:p>
        </w:tc>
        <w:tc>
          <w:tcPr/>
          <w:p>
            <w:pPr>
              <w:pStyle w:val="Compact"/>
              <w:jc w:val="left"/>
            </w:pPr>
            <w:r>
              <w:t xml:space="preserve">eprosartan</w:t>
            </w:r>
          </w:p>
        </w:tc>
        <w:tc>
          <w:tcPr/>
          <w:p>
            <w:pPr>
              <w:pStyle w:val="Compact"/>
              <w:jc w:val="left"/>
            </w:pPr>
            <w:r>
              <w:t xml:space="preserve">83515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1347384</w:t>
            </w:r>
          </w:p>
        </w:tc>
        <w:tc>
          <w:tcPr/>
          <w:p>
            <w:pPr>
              <w:pStyle w:val="Compact"/>
              <w:jc w:val="left"/>
            </w:pPr>
            <w:r>
              <w:t xml:space="preserve">irbesartan</w:t>
            </w:r>
          </w:p>
        </w:tc>
        <w:tc>
          <w:tcPr/>
          <w:p>
            <w:pPr>
              <w:pStyle w:val="Compact"/>
              <w:jc w:val="left"/>
            </w:pPr>
            <w:r>
              <w:t xml:space="preserve">83818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1367500</w:t>
            </w:r>
          </w:p>
        </w:tc>
        <w:tc>
          <w:tcPr/>
          <w:p>
            <w:pPr>
              <w:pStyle w:val="Compact"/>
              <w:jc w:val="left"/>
            </w:pPr>
            <w:r>
              <w:t xml:space="preserve">losartan</w:t>
            </w:r>
          </w:p>
        </w:tc>
        <w:tc>
          <w:tcPr/>
          <w:p>
            <w:pPr>
              <w:pStyle w:val="Compact"/>
              <w:jc w:val="left"/>
            </w:pPr>
            <w:r>
              <w:t xml:space="preserve">52175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40226742</w:t>
            </w:r>
          </w:p>
        </w:tc>
        <w:tc>
          <w:tcPr/>
          <w:p>
            <w:pPr>
              <w:pStyle w:val="Compact"/>
              <w:jc w:val="left"/>
            </w:pPr>
            <w:r>
              <w:t xml:space="preserve">olmesartan</w:t>
            </w:r>
          </w:p>
        </w:tc>
        <w:tc>
          <w:tcPr/>
          <w:p>
            <w:pPr>
              <w:pStyle w:val="Compact"/>
              <w:jc w:val="left"/>
            </w:pPr>
            <w:r>
              <w:t xml:space="preserve">321064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1317640</w:t>
            </w:r>
          </w:p>
        </w:tc>
        <w:tc>
          <w:tcPr/>
          <w:p>
            <w:pPr>
              <w:pStyle w:val="Compact"/>
              <w:jc w:val="left"/>
            </w:pPr>
            <w:r>
              <w:t xml:space="preserve">telmisartan</w:t>
            </w:r>
          </w:p>
        </w:tc>
        <w:tc>
          <w:tcPr/>
          <w:p>
            <w:pPr>
              <w:pStyle w:val="Compact"/>
              <w:jc w:val="left"/>
            </w:pPr>
            <w:r>
              <w:t xml:space="preserve">73494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1308842</w:t>
            </w:r>
          </w:p>
        </w:tc>
        <w:tc>
          <w:tcPr/>
          <w:p>
            <w:pPr>
              <w:pStyle w:val="Compact"/>
              <w:jc w:val="left"/>
            </w:pPr>
            <w:r>
              <w:t xml:space="preserve">valsartan</w:t>
            </w:r>
          </w:p>
        </w:tc>
        <w:tc>
          <w:tcPr/>
          <w:p>
            <w:pPr>
              <w:pStyle w:val="Compact"/>
              <w:jc w:val="left"/>
            </w:pPr>
            <w:r>
              <w:t xml:space="preserve">69749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10"/>
    <w:bookmarkEnd w:id="111"/>
    <w:bookmarkStart w:id="118" w:name="thz-new-users-with-prior-hypertension-1"/>
    <w:p>
      <w:pPr>
        <w:pStyle w:val="Heading2"/>
      </w:pPr>
      <w:r>
        <w:rPr>
          <w:rStyle w:val="SectionNumber"/>
        </w:rPr>
        <w:t xml:space="preserve">8.3</w:t>
      </w:r>
      <w:r>
        <w:tab/>
      </w:r>
      <w:r>
        <w:t xml:space="preserve">THZ new users with prior hypertension</w:t>
      </w:r>
    </w:p>
    <w:bookmarkStart w:id="112" w:name="cohort-entry-events-9"/>
    <w:p>
      <w:pPr>
        <w:pStyle w:val="Heading3"/>
      </w:pPr>
      <w:r>
        <w:rPr>
          <w:rStyle w:val="SectionNumber"/>
        </w:rPr>
        <w:t xml:space="preserve">8.3.1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39"/>
        </w:numPr>
        <w:pStyle w:val="Compact"/>
      </w:pPr>
      <w:r>
        <w:t xml:space="preserve">drug exposure of</w:t>
      </w:r>
      <w:r>
        <w:t xml:space="preserve"> </w:t>
      </w:r>
      <w:r>
        <w:t xml:space="preserve">‘</w:t>
      </w:r>
      <w:r>
        <w:t xml:space="preserve">[QBA eval] THZs</w:t>
      </w:r>
      <w:r>
        <w:t xml:space="preserve">’</w:t>
      </w:r>
      <w:r>
        <w:t xml:space="preserve"> </w:t>
      </w:r>
      <w:r>
        <w:t xml:space="preserve">for the first time in the person’s history, starting on or after January 1, 2010.</w:t>
      </w:r>
    </w:p>
    <w:p>
      <w:pPr>
        <w:pStyle w:val="FirstParagraph"/>
      </w:pPr>
      <w:r>
        <w:t xml:space="preserve">Limit cohort entry events to the earliest event per person.</w:t>
      </w:r>
    </w:p>
    <w:p>
      <w:pPr>
        <w:pStyle w:val="BodyText"/>
      </w:pPr>
      <w:r>
        <w:t xml:space="preserve">Restrict entry events to with all of the following criteria:</w:t>
      </w:r>
    </w:p>
    <w:p>
      <w:pPr>
        <w:numPr>
          <w:ilvl w:val="0"/>
          <w:numId w:val="1040"/>
        </w:numPr>
        <w:pStyle w:val="Compact"/>
      </w:pPr>
      <w:r>
        <w:t xml:space="preserve">having no drug exposures of</w:t>
      </w:r>
      <w:r>
        <w:t xml:space="preserve"> </w:t>
      </w:r>
      <w:r>
        <w:t xml:space="preserve">‘</w:t>
      </w:r>
      <w:r>
        <w:t xml:space="preserve">[QBA eval] hypertension drugs</w:t>
      </w:r>
      <w:r>
        <w:t xml:space="preserve">’</w:t>
      </w:r>
      <w:r>
        <w:t xml:space="preserve">, starting anytime prior to cohort entry start date.</w:t>
      </w:r>
    </w:p>
    <w:p>
      <w:pPr>
        <w:numPr>
          <w:ilvl w:val="0"/>
          <w:numId w:val="1040"/>
        </w:numPr>
        <w:pStyle w:val="Compact"/>
      </w:pPr>
      <w:r>
        <w:t xml:space="preserve">having at least 1 condition occurrence of</w:t>
      </w:r>
      <w:r>
        <w:t xml:space="preserve"> </w:t>
      </w:r>
      <w:r>
        <w:t xml:space="preserve">‘</w:t>
      </w:r>
      <w:r>
        <w:t xml:space="preserve">[QBA eval] hypertension</w:t>
      </w:r>
      <w:r>
        <w:t xml:space="preserve">’</w:t>
      </w:r>
      <w:r>
        <w:t xml:space="preserve">, starting between 365 days before and 0 days after cohort entry start date.</w:t>
      </w:r>
    </w:p>
    <w:p>
      <w:pPr>
        <w:numPr>
          <w:ilvl w:val="0"/>
          <w:numId w:val="1040"/>
        </w:numPr>
        <w:pStyle w:val="Compact"/>
      </w:pPr>
      <w:r>
        <w:t xml:space="preserve">having exactly 1 distinct standard concepts from drug era of</w:t>
      </w:r>
      <w:r>
        <w:t xml:space="preserve"> </w:t>
      </w:r>
      <w:r>
        <w:t xml:space="preserve">‘</w:t>
      </w:r>
      <w:r>
        <w:t xml:space="preserve">[QBA eval] hypertension drugs</w:t>
      </w:r>
      <w:r>
        <w:t xml:space="preserve">’</w:t>
      </w:r>
      <w:r>
        <w:t xml:space="preserve">, starting between 0 days before and 7 days after cohort entry start date.</w:t>
      </w:r>
    </w:p>
    <w:bookmarkEnd w:id="112"/>
    <w:bookmarkStart w:id="113" w:name="cohort-exit-9"/>
    <w:p>
      <w:pPr>
        <w:pStyle w:val="Heading3"/>
      </w:pPr>
      <w:r>
        <w:rPr>
          <w:rStyle w:val="SectionNumber"/>
        </w:rPr>
        <w:t xml:space="preserve">8.3.2</w:t>
      </w:r>
      <w:r>
        <w:tab/>
      </w:r>
      <w:r>
        <w:t xml:space="preserve">Cohort Exit</w:t>
      </w:r>
    </w:p>
    <w:p>
      <w:pPr>
        <w:pStyle w:val="FirstParagraph"/>
      </w:pPr>
      <w:r>
        <w:t xml:space="preserve">The cohort end date will be based on a continuous exposure to</w:t>
      </w:r>
      <w:r>
        <w:t xml:space="preserve"> </w:t>
      </w:r>
      <w:r>
        <w:t xml:space="preserve">‘</w:t>
      </w:r>
      <w:r>
        <w:t xml:space="preserve">[QBA eval] THZs</w:t>
      </w:r>
      <w:r>
        <w:t xml:space="preserve">’</w:t>
      </w:r>
      <w:r>
        <w:t xml:space="preserve">:</w:t>
      </w:r>
      <w:r>
        <w:t xml:space="preserve"> </w:t>
      </w:r>
      <w:r>
        <w:t xml:space="preserve">allowing 30 days between exposures, adding 0 days after exposure ends, and using days supply and exposure end date for exposure duration.</w:t>
      </w:r>
    </w:p>
    <w:bookmarkEnd w:id="113"/>
    <w:bookmarkStart w:id="114" w:name="cohort-eras-9"/>
    <w:p>
      <w:pPr>
        <w:pStyle w:val="Heading3"/>
      </w:pPr>
      <w:r>
        <w:rPr>
          <w:rStyle w:val="SectionNumber"/>
        </w:rPr>
        <w:t xml:space="preserve">8.3.3</w:t>
      </w:r>
      <w:r>
        <w:tab/>
      </w:r>
      <w:r>
        <w:t xml:space="preserve">Cohort Eras</w:t>
      </w:r>
    </w:p>
    <w:p>
      <w:pPr>
        <w:pStyle w:val="FirstParagraph"/>
      </w:pPr>
      <w:r>
        <w:t xml:space="preserve">Entry events will be combined into cohort eras if they are within 0 days of each other.</w:t>
      </w:r>
    </w:p>
    <w:bookmarkEnd w:id="114"/>
    <w:bookmarkStart w:id="115" w:name="qba-eval-hypertension-2"/>
    <w:p>
      <w:pPr>
        <w:pStyle w:val="Heading3"/>
      </w:pPr>
      <w:r>
        <w:rPr>
          <w:rStyle w:val="SectionNumber"/>
        </w:rPr>
        <w:t xml:space="preserve">8.3.4</w:t>
      </w:r>
      <w:r>
        <w:tab/>
      </w:r>
      <w:r>
        <w:t xml:space="preserve">[QBA eval] hypertension</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316866</w:t>
            </w:r>
          </w:p>
        </w:tc>
        <w:tc>
          <w:tcPr/>
          <w:p>
            <w:pPr>
              <w:pStyle w:val="Compact"/>
              <w:jc w:val="left"/>
            </w:pPr>
            <w:r>
              <w:t xml:space="preserve">Hypertensive disorder</w:t>
            </w:r>
          </w:p>
        </w:tc>
        <w:tc>
          <w:tcPr/>
          <w:p>
            <w:pPr>
              <w:pStyle w:val="Compact"/>
              <w:jc w:val="left"/>
            </w:pPr>
            <w:r>
              <w:t xml:space="preserve">38341003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15"/>
    <w:bookmarkStart w:id="116" w:name="qba-eval-hypertension-drugs-2"/>
    <w:p>
      <w:pPr>
        <w:pStyle w:val="Heading3"/>
      </w:pPr>
      <w:r>
        <w:rPr>
          <w:rStyle w:val="SectionNumber"/>
        </w:rPr>
        <w:t xml:space="preserve">8.3.5</w:t>
      </w:r>
      <w:r>
        <w:tab/>
      </w:r>
      <w:r>
        <w:t xml:space="preserve">[QBA eval] hypertension drugs</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1319998</w:t>
            </w:r>
          </w:p>
        </w:tc>
        <w:tc>
          <w:tcPr/>
          <w:p>
            <w:pPr>
              <w:pStyle w:val="Compact"/>
              <w:jc w:val="left"/>
            </w:pPr>
            <w:r>
              <w:t xml:space="preserve">acebutolol</w:t>
            </w:r>
          </w:p>
        </w:tc>
        <w:tc>
          <w:tcPr/>
          <w:p>
            <w:pPr>
              <w:pStyle w:val="Compact"/>
              <w:jc w:val="left"/>
            </w:pPr>
            <w:r>
              <w:t xml:space="preserve">149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1317967</w:t>
            </w:r>
          </w:p>
        </w:tc>
        <w:tc>
          <w:tcPr/>
          <w:p>
            <w:pPr>
              <w:pStyle w:val="Compact"/>
              <w:jc w:val="left"/>
            </w:pPr>
            <w:r>
              <w:t xml:space="preserve">aliskiren</w:t>
            </w:r>
          </w:p>
        </w:tc>
        <w:tc>
          <w:tcPr/>
          <w:p>
            <w:pPr>
              <w:pStyle w:val="Compact"/>
              <w:jc w:val="left"/>
            </w:pPr>
            <w:r>
              <w:t xml:space="preserve">325646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991382</w:t>
            </w:r>
          </w:p>
        </w:tc>
        <w:tc>
          <w:tcPr/>
          <w:p>
            <w:pPr>
              <w:pStyle w:val="Compact"/>
              <w:jc w:val="left"/>
            </w:pPr>
            <w:r>
              <w:t xml:space="preserve">amiloride</w:t>
            </w:r>
          </w:p>
        </w:tc>
        <w:tc>
          <w:tcPr/>
          <w:p>
            <w:pPr>
              <w:pStyle w:val="Compact"/>
              <w:jc w:val="left"/>
            </w:pPr>
            <w:r>
              <w:t xml:space="preserve">644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1332418</w:t>
            </w:r>
          </w:p>
        </w:tc>
        <w:tc>
          <w:tcPr/>
          <w:p>
            <w:pPr>
              <w:pStyle w:val="Compact"/>
              <w:jc w:val="left"/>
            </w:pPr>
            <w:r>
              <w:t xml:space="preserve">amlodipine</w:t>
            </w:r>
          </w:p>
        </w:tc>
        <w:tc>
          <w:tcPr/>
          <w:p>
            <w:pPr>
              <w:pStyle w:val="Compact"/>
              <w:jc w:val="left"/>
            </w:pPr>
            <w:r>
              <w:t xml:space="preserve">17767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1314002</w:t>
            </w:r>
          </w:p>
        </w:tc>
        <w:tc>
          <w:tcPr/>
          <w:p>
            <w:pPr>
              <w:pStyle w:val="Compact"/>
              <w:jc w:val="left"/>
            </w:pPr>
            <w:r>
              <w:t xml:space="preserve">atenolol</w:t>
            </w:r>
          </w:p>
        </w:tc>
        <w:tc>
          <w:tcPr/>
          <w:p>
            <w:pPr>
              <w:pStyle w:val="Compact"/>
              <w:jc w:val="left"/>
            </w:pPr>
            <w:r>
              <w:t xml:space="preserve">1202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40235485</w:t>
            </w:r>
          </w:p>
        </w:tc>
        <w:tc>
          <w:tcPr/>
          <w:p>
            <w:pPr>
              <w:pStyle w:val="Compact"/>
              <w:jc w:val="left"/>
            </w:pPr>
            <w:r>
              <w:t xml:space="preserve">azilsartan</w:t>
            </w:r>
          </w:p>
        </w:tc>
        <w:tc>
          <w:tcPr/>
          <w:p>
            <w:pPr>
              <w:pStyle w:val="Compact"/>
              <w:jc w:val="left"/>
            </w:pPr>
            <w:r>
              <w:t xml:space="preserve">1091643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1335471</w:t>
            </w:r>
          </w:p>
        </w:tc>
        <w:tc>
          <w:tcPr/>
          <w:p>
            <w:pPr>
              <w:pStyle w:val="Compact"/>
              <w:jc w:val="left"/>
            </w:pPr>
            <w:r>
              <w:t xml:space="preserve">benazepril</w:t>
            </w:r>
          </w:p>
        </w:tc>
        <w:tc>
          <w:tcPr/>
          <w:p>
            <w:pPr>
              <w:pStyle w:val="Compact"/>
              <w:jc w:val="left"/>
            </w:pPr>
            <w:r>
              <w:t xml:space="preserve">18867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1322081</w:t>
            </w:r>
          </w:p>
        </w:tc>
        <w:tc>
          <w:tcPr/>
          <w:p>
            <w:pPr>
              <w:pStyle w:val="Compact"/>
              <w:jc w:val="left"/>
            </w:pPr>
            <w:r>
              <w:t xml:space="preserve">betaxolol</w:t>
            </w:r>
          </w:p>
        </w:tc>
        <w:tc>
          <w:tcPr/>
          <w:p>
            <w:pPr>
              <w:pStyle w:val="Compact"/>
              <w:jc w:val="left"/>
            </w:pPr>
            <w:r>
              <w:t xml:space="preserve">1520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1338005</w:t>
            </w:r>
          </w:p>
        </w:tc>
        <w:tc>
          <w:tcPr/>
          <w:p>
            <w:pPr>
              <w:pStyle w:val="Compact"/>
              <w:jc w:val="left"/>
            </w:pPr>
            <w:r>
              <w:t xml:space="preserve">bisoprolol</w:t>
            </w:r>
          </w:p>
        </w:tc>
        <w:tc>
          <w:tcPr/>
          <w:p>
            <w:pPr>
              <w:pStyle w:val="Compact"/>
              <w:jc w:val="left"/>
            </w:pPr>
            <w:r>
              <w:t xml:space="preserve">19484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932745</w:t>
            </w:r>
          </w:p>
        </w:tc>
        <w:tc>
          <w:tcPr/>
          <w:p>
            <w:pPr>
              <w:pStyle w:val="Compact"/>
              <w:jc w:val="left"/>
            </w:pPr>
            <w:r>
              <w:t xml:space="preserve">bumetanide</w:t>
            </w:r>
          </w:p>
        </w:tc>
        <w:tc>
          <w:tcPr/>
          <w:p>
            <w:pPr>
              <w:pStyle w:val="Compact"/>
              <w:jc w:val="left"/>
            </w:pPr>
            <w:r>
              <w:t xml:space="preserve">1808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1351557</w:t>
            </w:r>
          </w:p>
        </w:tc>
        <w:tc>
          <w:tcPr/>
          <w:p>
            <w:pPr>
              <w:pStyle w:val="Compact"/>
              <w:jc w:val="left"/>
            </w:pPr>
            <w:r>
              <w:t xml:space="preserve">candesartan</w:t>
            </w:r>
          </w:p>
        </w:tc>
        <w:tc>
          <w:tcPr/>
          <w:p>
            <w:pPr>
              <w:pStyle w:val="Compact"/>
              <w:jc w:val="left"/>
            </w:pPr>
            <w:r>
              <w:t xml:space="preserve">214354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1340128</w:t>
            </w:r>
          </w:p>
        </w:tc>
        <w:tc>
          <w:tcPr/>
          <w:p>
            <w:pPr>
              <w:pStyle w:val="Compact"/>
              <w:jc w:val="left"/>
            </w:pPr>
            <w:r>
              <w:t xml:space="preserve">captopril</w:t>
            </w:r>
          </w:p>
        </w:tc>
        <w:tc>
          <w:tcPr/>
          <w:p>
            <w:pPr>
              <w:pStyle w:val="Compact"/>
              <w:jc w:val="left"/>
            </w:pPr>
            <w:r>
              <w:t xml:space="preserve">1998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1346823</w:t>
            </w:r>
          </w:p>
        </w:tc>
        <w:tc>
          <w:tcPr/>
          <w:p>
            <w:pPr>
              <w:pStyle w:val="Compact"/>
              <w:jc w:val="left"/>
            </w:pPr>
            <w:r>
              <w:t xml:space="preserve">carvedilol</w:t>
            </w:r>
          </w:p>
        </w:tc>
        <w:tc>
          <w:tcPr/>
          <w:p>
            <w:pPr>
              <w:pStyle w:val="Compact"/>
              <w:jc w:val="left"/>
            </w:pPr>
            <w:r>
              <w:t xml:space="preserve">20352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1395058</w:t>
            </w:r>
          </w:p>
        </w:tc>
        <w:tc>
          <w:tcPr/>
          <w:p>
            <w:pPr>
              <w:pStyle w:val="Compact"/>
              <w:jc w:val="left"/>
            </w:pPr>
            <w:r>
              <w:t xml:space="preserve">chlorthalidone</w:t>
            </w:r>
          </w:p>
        </w:tc>
        <w:tc>
          <w:tcPr/>
          <w:p>
            <w:pPr>
              <w:pStyle w:val="Compact"/>
              <w:jc w:val="left"/>
            </w:pPr>
            <w:r>
              <w:t xml:space="preserve">2409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1398937</w:t>
            </w:r>
          </w:p>
        </w:tc>
        <w:tc>
          <w:tcPr/>
          <w:p>
            <w:pPr>
              <w:pStyle w:val="Compact"/>
              <w:jc w:val="left"/>
            </w:pPr>
            <w:r>
              <w:t xml:space="preserve">clonidine</w:t>
            </w:r>
          </w:p>
        </w:tc>
        <w:tc>
          <w:tcPr/>
          <w:p>
            <w:pPr>
              <w:pStyle w:val="Compact"/>
              <w:jc w:val="left"/>
            </w:pPr>
            <w:r>
              <w:t xml:space="preserve">2599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1328165</w:t>
            </w:r>
          </w:p>
        </w:tc>
        <w:tc>
          <w:tcPr/>
          <w:p>
            <w:pPr>
              <w:pStyle w:val="Compact"/>
              <w:jc w:val="left"/>
            </w:pPr>
            <w:r>
              <w:t xml:space="preserve">diltiazem</w:t>
            </w:r>
          </w:p>
        </w:tc>
        <w:tc>
          <w:tcPr/>
          <w:p>
            <w:pPr>
              <w:pStyle w:val="Compact"/>
              <w:jc w:val="left"/>
            </w:pPr>
            <w:r>
              <w:t xml:space="preserve">3443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1363053</w:t>
            </w:r>
          </w:p>
        </w:tc>
        <w:tc>
          <w:tcPr/>
          <w:p>
            <w:pPr>
              <w:pStyle w:val="Compact"/>
              <w:jc w:val="left"/>
            </w:pPr>
            <w:r>
              <w:t xml:space="preserve">doxazosin</w:t>
            </w:r>
          </w:p>
        </w:tc>
        <w:tc>
          <w:tcPr/>
          <w:p>
            <w:pPr>
              <w:pStyle w:val="Compact"/>
              <w:jc w:val="left"/>
            </w:pPr>
            <w:r>
              <w:t xml:space="preserve">49276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1341927</w:t>
            </w:r>
          </w:p>
        </w:tc>
        <w:tc>
          <w:tcPr/>
          <w:p>
            <w:pPr>
              <w:pStyle w:val="Compact"/>
              <w:jc w:val="left"/>
            </w:pPr>
            <w:r>
              <w:t xml:space="preserve">enalapril</w:t>
            </w:r>
          </w:p>
        </w:tc>
        <w:tc>
          <w:tcPr/>
          <w:p>
            <w:pPr>
              <w:pStyle w:val="Compact"/>
              <w:jc w:val="left"/>
            </w:pPr>
            <w:r>
              <w:t xml:space="preserve">3827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1309799</w:t>
            </w:r>
          </w:p>
        </w:tc>
        <w:tc>
          <w:tcPr/>
          <w:p>
            <w:pPr>
              <w:pStyle w:val="Compact"/>
              <w:jc w:val="left"/>
            </w:pPr>
            <w:r>
              <w:t xml:space="preserve">eplerenone</w:t>
            </w:r>
          </w:p>
        </w:tc>
        <w:tc>
          <w:tcPr/>
          <w:p>
            <w:pPr>
              <w:pStyle w:val="Compact"/>
              <w:jc w:val="left"/>
            </w:pPr>
            <w:r>
              <w:t xml:space="preserve">298869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1346686</w:t>
            </w:r>
          </w:p>
        </w:tc>
        <w:tc>
          <w:tcPr/>
          <w:p>
            <w:pPr>
              <w:pStyle w:val="Compact"/>
              <w:jc w:val="left"/>
            </w:pPr>
            <w:r>
              <w:t xml:space="preserve">eprosartan</w:t>
            </w:r>
          </w:p>
        </w:tc>
        <w:tc>
          <w:tcPr/>
          <w:p>
            <w:pPr>
              <w:pStyle w:val="Compact"/>
              <w:jc w:val="left"/>
            </w:pPr>
            <w:r>
              <w:t xml:space="preserve">83515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1353776</w:t>
            </w:r>
          </w:p>
        </w:tc>
        <w:tc>
          <w:tcPr/>
          <w:p>
            <w:pPr>
              <w:pStyle w:val="Compact"/>
              <w:jc w:val="left"/>
            </w:pPr>
            <w:r>
              <w:t xml:space="preserve">felodipine</w:t>
            </w:r>
          </w:p>
        </w:tc>
        <w:tc>
          <w:tcPr/>
          <w:p>
            <w:pPr>
              <w:pStyle w:val="Compact"/>
              <w:jc w:val="left"/>
            </w:pPr>
            <w:r>
              <w:t xml:space="preserve">4316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1363749</w:t>
            </w:r>
          </w:p>
        </w:tc>
        <w:tc>
          <w:tcPr/>
          <w:p>
            <w:pPr>
              <w:pStyle w:val="Compact"/>
              <w:jc w:val="left"/>
            </w:pPr>
            <w:r>
              <w:t xml:space="preserve">fosinopril</w:t>
            </w:r>
          </w:p>
        </w:tc>
        <w:tc>
          <w:tcPr/>
          <w:p>
            <w:pPr>
              <w:pStyle w:val="Compact"/>
              <w:jc w:val="left"/>
            </w:pPr>
            <w:r>
              <w:t xml:space="preserve">50166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956874</w:t>
            </w:r>
          </w:p>
        </w:tc>
        <w:tc>
          <w:tcPr/>
          <w:p>
            <w:pPr>
              <w:pStyle w:val="Compact"/>
              <w:jc w:val="left"/>
            </w:pPr>
            <w:r>
              <w:t xml:space="preserve">furosemide</w:t>
            </w:r>
          </w:p>
        </w:tc>
        <w:tc>
          <w:tcPr/>
          <w:p>
            <w:pPr>
              <w:pStyle w:val="Compact"/>
              <w:jc w:val="left"/>
            </w:pPr>
            <w:r>
              <w:t xml:space="preserve">4603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1344965</w:t>
            </w:r>
          </w:p>
        </w:tc>
        <w:tc>
          <w:tcPr/>
          <w:p>
            <w:pPr>
              <w:pStyle w:val="Compact"/>
              <w:jc w:val="left"/>
            </w:pPr>
            <w:r>
              <w:t xml:space="preserve">guanfacine</w:t>
            </w:r>
          </w:p>
        </w:tc>
        <w:tc>
          <w:tcPr/>
          <w:p>
            <w:pPr>
              <w:pStyle w:val="Compact"/>
              <w:jc w:val="left"/>
            </w:pPr>
            <w:r>
              <w:t xml:space="preserve">40114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1373928</w:t>
            </w:r>
          </w:p>
        </w:tc>
        <w:tc>
          <w:tcPr/>
          <w:p>
            <w:pPr>
              <w:pStyle w:val="Compact"/>
              <w:jc w:val="left"/>
            </w:pPr>
            <w:r>
              <w:t xml:space="preserve">hydralazine</w:t>
            </w:r>
          </w:p>
        </w:tc>
        <w:tc>
          <w:tcPr/>
          <w:p>
            <w:pPr>
              <w:pStyle w:val="Compact"/>
              <w:jc w:val="left"/>
            </w:pPr>
            <w:r>
              <w:t xml:space="preserve">5470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974166</w:t>
            </w:r>
          </w:p>
        </w:tc>
        <w:tc>
          <w:tcPr/>
          <w:p>
            <w:pPr>
              <w:pStyle w:val="Compact"/>
              <w:jc w:val="left"/>
            </w:pPr>
            <w:r>
              <w:t xml:space="preserve">hydrochlorothiazide</w:t>
            </w:r>
          </w:p>
        </w:tc>
        <w:tc>
          <w:tcPr/>
          <w:p>
            <w:pPr>
              <w:pStyle w:val="Compact"/>
              <w:jc w:val="left"/>
            </w:pPr>
            <w:r>
              <w:t xml:space="preserve">5487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978555</w:t>
            </w:r>
          </w:p>
        </w:tc>
        <w:tc>
          <w:tcPr/>
          <w:p>
            <w:pPr>
              <w:pStyle w:val="Compact"/>
              <w:jc w:val="left"/>
            </w:pPr>
            <w:r>
              <w:t xml:space="preserve">indapamide</w:t>
            </w:r>
          </w:p>
        </w:tc>
        <w:tc>
          <w:tcPr/>
          <w:p>
            <w:pPr>
              <w:pStyle w:val="Compact"/>
              <w:jc w:val="left"/>
            </w:pPr>
            <w:r>
              <w:t xml:space="preserve">5764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1347384</w:t>
            </w:r>
          </w:p>
        </w:tc>
        <w:tc>
          <w:tcPr/>
          <w:p>
            <w:pPr>
              <w:pStyle w:val="Compact"/>
              <w:jc w:val="left"/>
            </w:pPr>
            <w:r>
              <w:t xml:space="preserve">irbesartan</w:t>
            </w:r>
          </w:p>
        </w:tc>
        <w:tc>
          <w:tcPr/>
          <w:p>
            <w:pPr>
              <w:pStyle w:val="Compact"/>
              <w:jc w:val="left"/>
            </w:pPr>
            <w:r>
              <w:t xml:space="preserve">83818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1326012</w:t>
            </w:r>
          </w:p>
        </w:tc>
        <w:tc>
          <w:tcPr/>
          <w:p>
            <w:pPr>
              <w:pStyle w:val="Compact"/>
              <w:jc w:val="left"/>
            </w:pPr>
            <w:r>
              <w:t xml:space="preserve">isradipine</w:t>
            </w:r>
          </w:p>
        </w:tc>
        <w:tc>
          <w:tcPr/>
          <w:p>
            <w:pPr>
              <w:pStyle w:val="Compact"/>
              <w:jc w:val="left"/>
            </w:pPr>
            <w:r>
              <w:t xml:space="preserve">33910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1386957</w:t>
            </w:r>
          </w:p>
        </w:tc>
        <w:tc>
          <w:tcPr/>
          <w:p>
            <w:pPr>
              <w:pStyle w:val="Compact"/>
              <w:jc w:val="left"/>
            </w:pPr>
            <w:r>
              <w:t xml:space="preserve">labetalol</w:t>
            </w:r>
          </w:p>
        </w:tc>
        <w:tc>
          <w:tcPr/>
          <w:p>
            <w:pPr>
              <w:pStyle w:val="Compact"/>
              <w:jc w:val="left"/>
            </w:pPr>
            <w:r>
              <w:t xml:space="preserve">6185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1308216</w:t>
            </w:r>
          </w:p>
        </w:tc>
        <w:tc>
          <w:tcPr/>
          <w:p>
            <w:pPr>
              <w:pStyle w:val="Compact"/>
              <w:jc w:val="left"/>
            </w:pPr>
            <w:r>
              <w:t xml:space="preserve">lisinopril</w:t>
            </w:r>
          </w:p>
        </w:tc>
        <w:tc>
          <w:tcPr/>
          <w:p>
            <w:pPr>
              <w:pStyle w:val="Compact"/>
              <w:jc w:val="left"/>
            </w:pPr>
            <w:r>
              <w:t xml:space="preserve">29046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1367500</w:t>
            </w:r>
          </w:p>
        </w:tc>
        <w:tc>
          <w:tcPr/>
          <w:p>
            <w:pPr>
              <w:pStyle w:val="Compact"/>
              <w:jc w:val="left"/>
            </w:pPr>
            <w:r>
              <w:t xml:space="preserve">losartan</w:t>
            </w:r>
          </w:p>
        </w:tc>
        <w:tc>
          <w:tcPr/>
          <w:p>
            <w:pPr>
              <w:pStyle w:val="Compact"/>
              <w:jc w:val="left"/>
            </w:pPr>
            <w:r>
              <w:t xml:space="preserve">52175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1305447</w:t>
            </w:r>
          </w:p>
        </w:tc>
        <w:tc>
          <w:tcPr/>
          <w:p>
            <w:pPr>
              <w:pStyle w:val="Compact"/>
              <w:jc w:val="left"/>
            </w:pPr>
            <w:r>
              <w:t xml:space="preserve">methyldopa</w:t>
            </w:r>
          </w:p>
        </w:tc>
        <w:tc>
          <w:tcPr/>
          <w:p>
            <w:pPr>
              <w:pStyle w:val="Compact"/>
              <w:jc w:val="left"/>
            </w:pPr>
            <w:r>
              <w:t xml:space="preserve">6876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907013</w:t>
            </w:r>
          </w:p>
        </w:tc>
        <w:tc>
          <w:tcPr/>
          <w:p>
            <w:pPr>
              <w:pStyle w:val="Compact"/>
              <w:jc w:val="left"/>
            </w:pPr>
            <w:r>
              <w:t xml:space="preserve">metolazone</w:t>
            </w:r>
          </w:p>
        </w:tc>
        <w:tc>
          <w:tcPr/>
          <w:p>
            <w:pPr>
              <w:pStyle w:val="Compact"/>
              <w:jc w:val="left"/>
            </w:pPr>
            <w:r>
              <w:t xml:space="preserve">6916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1307046</w:t>
            </w:r>
          </w:p>
        </w:tc>
        <w:tc>
          <w:tcPr/>
          <w:p>
            <w:pPr>
              <w:pStyle w:val="Compact"/>
              <w:jc w:val="left"/>
            </w:pPr>
            <w:r>
              <w:t xml:space="preserve">metoprolol</w:t>
            </w:r>
          </w:p>
        </w:tc>
        <w:tc>
          <w:tcPr/>
          <w:p>
            <w:pPr>
              <w:pStyle w:val="Compact"/>
              <w:jc w:val="left"/>
            </w:pPr>
            <w:r>
              <w:t xml:space="preserve">6918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1309068</w:t>
            </w:r>
          </w:p>
        </w:tc>
        <w:tc>
          <w:tcPr/>
          <w:p>
            <w:pPr>
              <w:pStyle w:val="Compact"/>
              <w:jc w:val="left"/>
            </w:pPr>
            <w:r>
              <w:t xml:space="preserve">minoxidil</w:t>
            </w:r>
          </w:p>
        </w:tc>
        <w:tc>
          <w:tcPr/>
          <w:p>
            <w:pPr>
              <w:pStyle w:val="Compact"/>
              <w:jc w:val="left"/>
            </w:pPr>
            <w:r>
              <w:t xml:space="preserve">6984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1310756</w:t>
            </w:r>
          </w:p>
        </w:tc>
        <w:tc>
          <w:tcPr/>
          <w:p>
            <w:pPr>
              <w:pStyle w:val="Compact"/>
              <w:jc w:val="left"/>
            </w:pPr>
            <w:r>
              <w:t xml:space="preserve">moexipril</w:t>
            </w:r>
          </w:p>
        </w:tc>
        <w:tc>
          <w:tcPr/>
          <w:p>
            <w:pPr>
              <w:pStyle w:val="Compact"/>
              <w:jc w:val="left"/>
            </w:pPr>
            <w:r>
              <w:t xml:space="preserve">30131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1313200</w:t>
            </w:r>
          </w:p>
        </w:tc>
        <w:tc>
          <w:tcPr/>
          <w:p>
            <w:pPr>
              <w:pStyle w:val="Compact"/>
              <w:jc w:val="left"/>
            </w:pPr>
            <w:r>
              <w:t xml:space="preserve">nadolol</w:t>
            </w:r>
          </w:p>
        </w:tc>
        <w:tc>
          <w:tcPr/>
          <w:p>
            <w:pPr>
              <w:pStyle w:val="Compact"/>
              <w:jc w:val="left"/>
            </w:pPr>
            <w:r>
              <w:t xml:space="preserve">7226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1314577</w:t>
            </w:r>
          </w:p>
        </w:tc>
        <w:tc>
          <w:tcPr/>
          <w:p>
            <w:pPr>
              <w:pStyle w:val="Compact"/>
              <w:jc w:val="left"/>
            </w:pPr>
            <w:r>
              <w:t xml:space="preserve">nebivolol</w:t>
            </w:r>
          </w:p>
        </w:tc>
        <w:tc>
          <w:tcPr/>
          <w:p>
            <w:pPr>
              <w:pStyle w:val="Compact"/>
              <w:jc w:val="left"/>
            </w:pPr>
            <w:r>
              <w:t xml:space="preserve">31555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1318137</w:t>
            </w:r>
          </w:p>
        </w:tc>
        <w:tc>
          <w:tcPr/>
          <w:p>
            <w:pPr>
              <w:pStyle w:val="Compact"/>
              <w:jc w:val="left"/>
            </w:pPr>
            <w:r>
              <w:t xml:space="preserve">nicardipine</w:t>
            </w:r>
          </w:p>
        </w:tc>
        <w:tc>
          <w:tcPr/>
          <w:p>
            <w:pPr>
              <w:pStyle w:val="Compact"/>
              <w:jc w:val="left"/>
            </w:pPr>
            <w:r>
              <w:t xml:space="preserve">7396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1318853</w:t>
            </w:r>
          </w:p>
        </w:tc>
        <w:tc>
          <w:tcPr/>
          <w:p>
            <w:pPr>
              <w:pStyle w:val="Compact"/>
              <w:jc w:val="left"/>
            </w:pPr>
            <w:r>
              <w:t xml:space="preserve">nifedipine</w:t>
            </w:r>
          </w:p>
        </w:tc>
        <w:tc>
          <w:tcPr/>
          <w:p>
            <w:pPr>
              <w:pStyle w:val="Compact"/>
              <w:jc w:val="left"/>
            </w:pPr>
            <w:r>
              <w:t xml:space="preserve">7417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1319880</w:t>
            </w:r>
          </w:p>
        </w:tc>
        <w:tc>
          <w:tcPr/>
          <w:p>
            <w:pPr>
              <w:pStyle w:val="Compact"/>
              <w:jc w:val="left"/>
            </w:pPr>
            <w:r>
              <w:t xml:space="preserve">nisoldipine</w:t>
            </w:r>
          </w:p>
        </w:tc>
        <w:tc>
          <w:tcPr/>
          <w:p>
            <w:pPr>
              <w:pStyle w:val="Compact"/>
              <w:jc w:val="left"/>
            </w:pPr>
            <w:r>
              <w:t xml:space="preserve">7435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40226742</w:t>
            </w:r>
          </w:p>
        </w:tc>
        <w:tc>
          <w:tcPr/>
          <w:p>
            <w:pPr>
              <w:pStyle w:val="Compact"/>
              <w:jc w:val="left"/>
            </w:pPr>
            <w:r>
              <w:t xml:space="preserve">olmesartan</w:t>
            </w:r>
          </w:p>
        </w:tc>
        <w:tc>
          <w:tcPr/>
          <w:p>
            <w:pPr>
              <w:pStyle w:val="Compact"/>
              <w:jc w:val="left"/>
            </w:pPr>
            <w:r>
              <w:t xml:space="preserve">321064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1327978</w:t>
            </w:r>
          </w:p>
        </w:tc>
        <w:tc>
          <w:tcPr/>
          <w:p>
            <w:pPr>
              <w:pStyle w:val="Compact"/>
              <w:jc w:val="left"/>
            </w:pPr>
            <w:r>
              <w:t xml:space="preserve">penbutolol</w:t>
            </w:r>
          </w:p>
        </w:tc>
        <w:tc>
          <w:tcPr/>
          <w:p>
            <w:pPr>
              <w:pStyle w:val="Compact"/>
              <w:jc w:val="left"/>
            </w:pPr>
            <w:r>
              <w:t xml:space="preserve">7973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1373225</w:t>
            </w:r>
          </w:p>
        </w:tc>
        <w:tc>
          <w:tcPr/>
          <w:p>
            <w:pPr>
              <w:pStyle w:val="Compact"/>
              <w:jc w:val="left"/>
            </w:pPr>
            <w:r>
              <w:t xml:space="preserve">perindopril</w:t>
            </w:r>
          </w:p>
        </w:tc>
        <w:tc>
          <w:tcPr/>
          <w:p>
            <w:pPr>
              <w:pStyle w:val="Compact"/>
              <w:jc w:val="left"/>
            </w:pPr>
            <w:r>
              <w:t xml:space="preserve">54552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1345858</w:t>
            </w:r>
          </w:p>
        </w:tc>
        <w:tc>
          <w:tcPr/>
          <w:p>
            <w:pPr>
              <w:pStyle w:val="Compact"/>
              <w:jc w:val="left"/>
            </w:pPr>
            <w:r>
              <w:t xml:space="preserve">pindolol</w:t>
            </w:r>
          </w:p>
        </w:tc>
        <w:tc>
          <w:tcPr/>
          <w:p>
            <w:pPr>
              <w:pStyle w:val="Compact"/>
              <w:jc w:val="left"/>
            </w:pPr>
            <w:r>
              <w:t xml:space="preserve">8332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1350489</w:t>
            </w:r>
          </w:p>
        </w:tc>
        <w:tc>
          <w:tcPr/>
          <w:p>
            <w:pPr>
              <w:pStyle w:val="Compact"/>
              <w:jc w:val="left"/>
            </w:pPr>
            <w:r>
              <w:t xml:space="preserve">prazosin</w:t>
            </w:r>
          </w:p>
        </w:tc>
        <w:tc>
          <w:tcPr/>
          <w:p>
            <w:pPr>
              <w:pStyle w:val="Compact"/>
              <w:jc w:val="left"/>
            </w:pPr>
            <w:r>
              <w:t xml:space="preserve">8629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1353766</w:t>
            </w:r>
          </w:p>
        </w:tc>
        <w:tc>
          <w:tcPr/>
          <w:p>
            <w:pPr>
              <w:pStyle w:val="Compact"/>
              <w:jc w:val="left"/>
            </w:pPr>
            <w:r>
              <w:t xml:space="preserve">propranolol</w:t>
            </w:r>
          </w:p>
        </w:tc>
        <w:tc>
          <w:tcPr/>
          <w:p>
            <w:pPr>
              <w:pStyle w:val="Compact"/>
              <w:jc w:val="left"/>
            </w:pPr>
            <w:r>
              <w:t xml:space="preserve">8787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1331235</w:t>
            </w:r>
          </w:p>
        </w:tc>
        <w:tc>
          <w:tcPr/>
          <w:p>
            <w:pPr>
              <w:pStyle w:val="Compact"/>
              <w:jc w:val="left"/>
            </w:pPr>
            <w:r>
              <w:t xml:space="preserve">quinapril</w:t>
            </w:r>
          </w:p>
        </w:tc>
        <w:tc>
          <w:tcPr/>
          <w:p>
            <w:pPr>
              <w:pStyle w:val="Compact"/>
              <w:jc w:val="left"/>
            </w:pPr>
            <w:r>
              <w:t xml:space="preserve">35208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1334456</w:t>
            </w:r>
          </w:p>
        </w:tc>
        <w:tc>
          <w:tcPr/>
          <w:p>
            <w:pPr>
              <w:pStyle w:val="Compact"/>
              <w:jc w:val="left"/>
            </w:pPr>
            <w:r>
              <w:t xml:space="preserve">ramipril</w:t>
            </w:r>
          </w:p>
        </w:tc>
        <w:tc>
          <w:tcPr/>
          <w:p>
            <w:pPr>
              <w:pStyle w:val="Compact"/>
              <w:jc w:val="left"/>
            </w:pPr>
            <w:r>
              <w:t xml:space="preserve">35296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970250</w:t>
            </w:r>
          </w:p>
        </w:tc>
        <w:tc>
          <w:tcPr/>
          <w:p>
            <w:pPr>
              <w:pStyle w:val="Compact"/>
              <w:jc w:val="left"/>
            </w:pPr>
            <w:r>
              <w:t xml:space="preserve">spironolactone</w:t>
            </w:r>
          </w:p>
        </w:tc>
        <w:tc>
          <w:tcPr/>
          <w:p>
            <w:pPr>
              <w:pStyle w:val="Compact"/>
              <w:jc w:val="left"/>
            </w:pPr>
            <w:r>
              <w:t xml:space="preserve">9997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1317640</w:t>
            </w:r>
          </w:p>
        </w:tc>
        <w:tc>
          <w:tcPr/>
          <w:p>
            <w:pPr>
              <w:pStyle w:val="Compact"/>
              <w:jc w:val="left"/>
            </w:pPr>
            <w:r>
              <w:t xml:space="preserve">telmisartan</w:t>
            </w:r>
          </w:p>
        </w:tc>
        <w:tc>
          <w:tcPr/>
          <w:p>
            <w:pPr>
              <w:pStyle w:val="Compact"/>
              <w:jc w:val="left"/>
            </w:pPr>
            <w:r>
              <w:t xml:space="preserve">73494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1341238</w:t>
            </w:r>
          </w:p>
        </w:tc>
        <w:tc>
          <w:tcPr/>
          <w:p>
            <w:pPr>
              <w:pStyle w:val="Compact"/>
              <w:jc w:val="left"/>
            </w:pPr>
            <w:r>
              <w:t xml:space="preserve">terazosin</w:t>
            </w:r>
          </w:p>
        </w:tc>
        <w:tc>
          <w:tcPr/>
          <w:p>
            <w:pPr>
              <w:pStyle w:val="Compact"/>
              <w:jc w:val="left"/>
            </w:pPr>
            <w:r>
              <w:t xml:space="preserve">37798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942350</w:t>
            </w:r>
          </w:p>
        </w:tc>
        <w:tc>
          <w:tcPr/>
          <w:p>
            <w:pPr>
              <w:pStyle w:val="Compact"/>
              <w:jc w:val="left"/>
            </w:pPr>
            <w:r>
              <w:t xml:space="preserve">torsemide</w:t>
            </w:r>
          </w:p>
        </w:tc>
        <w:tc>
          <w:tcPr/>
          <w:p>
            <w:pPr>
              <w:pStyle w:val="Compact"/>
              <w:jc w:val="left"/>
            </w:pPr>
            <w:r>
              <w:t xml:space="preserve">38413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1342439</w:t>
            </w:r>
          </w:p>
        </w:tc>
        <w:tc>
          <w:tcPr/>
          <w:p>
            <w:pPr>
              <w:pStyle w:val="Compact"/>
              <w:jc w:val="left"/>
            </w:pPr>
            <w:r>
              <w:t xml:space="preserve">trandolapril</w:t>
            </w:r>
          </w:p>
        </w:tc>
        <w:tc>
          <w:tcPr/>
          <w:p>
            <w:pPr>
              <w:pStyle w:val="Compact"/>
              <w:jc w:val="left"/>
            </w:pPr>
            <w:r>
              <w:t xml:space="preserve">38454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904542</w:t>
            </w:r>
          </w:p>
        </w:tc>
        <w:tc>
          <w:tcPr/>
          <w:p>
            <w:pPr>
              <w:pStyle w:val="Compact"/>
              <w:jc w:val="left"/>
            </w:pPr>
            <w:r>
              <w:t xml:space="preserve">triamterene</w:t>
            </w:r>
          </w:p>
        </w:tc>
        <w:tc>
          <w:tcPr/>
          <w:p>
            <w:pPr>
              <w:pStyle w:val="Compact"/>
              <w:jc w:val="left"/>
            </w:pPr>
            <w:r>
              <w:t xml:space="preserve">10763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1308842</w:t>
            </w:r>
          </w:p>
        </w:tc>
        <w:tc>
          <w:tcPr/>
          <w:p>
            <w:pPr>
              <w:pStyle w:val="Compact"/>
              <w:jc w:val="left"/>
            </w:pPr>
            <w:r>
              <w:t xml:space="preserve">valsartan</w:t>
            </w:r>
          </w:p>
        </w:tc>
        <w:tc>
          <w:tcPr/>
          <w:p>
            <w:pPr>
              <w:pStyle w:val="Compact"/>
              <w:jc w:val="left"/>
            </w:pPr>
            <w:r>
              <w:t xml:space="preserve">69749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1307863</w:t>
            </w:r>
          </w:p>
        </w:tc>
        <w:tc>
          <w:tcPr/>
          <w:p>
            <w:pPr>
              <w:pStyle w:val="Compact"/>
              <w:jc w:val="left"/>
            </w:pPr>
            <w:r>
              <w:t xml:space="preserve">verapamil</w:t>
            </w:r>
          </w:p>
        </w:tc>
        <w:tc>
          <w:tcPr/>
          <w:p>
            <w:pPr>
              <w:pStyle w:val="Compact"/>
              <w:jc w:val="left"/>
            </w:pPr>
            <w:r>
              <w:t xml:space="preserve">11170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16"/>
    <w:bookmarkStart w:id="117" w:name="qba-eval-thzs"/>
    <w:p>
      <w:pPr>
        <w:pStyle w:val="Heading3"/>
      </w:pPr>
      <w:r>
        <w:rPr>
          <w:rStyle w:val="SectionNumber"/>
        </w:rPr>
        <w:t xml:space="preserve">8.3.6</w:t>
      </w:r>
      <w:r>
        <w:tab/>
      </w:r>
      <w:r>
        <w:t xml:space="preserve">[QBA eval] THZs</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1395058</w:t>
            </w:r>
          </w:p>
        </w:tc>
        <w:tc>
          <w:tcPr/>
          <w:p>
            <w:pPr>
              <w:pStyle w:val="Compact"/>
              <w:jc w:val="left"/>
            </w:pPr>
            <w:r>
              <w:t xml:space="preserve">chlorthalidone</w:t>
            </w:r>
          </w:p>
        </w:tc>
        <w:tc>
          <w:tcPr/>
          <w:p>
            <w:pPr>
              <w:pStyle w:val="Compact"/>
              <w:jc w:val="left"/>
            </w:pPr>
            <w:r>
              <w:t xml:space="preserve">2409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974166</w:t>
            </w:r>
          </w:p>
        </w:tc>
        <w:tc>
          <w:tcPr/>
          <w:p>
            <w:pPr>
              <w:pStyle w:val="Compact"/>
              <w:jc w:val="left"/>
            </w:pPr>
            <w:r>
              <w:t xml:space="preserve">hydrochlorothiazide</w:t>
            </w:r>
          </w:p>
        </w:tc>
        <w:tc>
          <w:tcPr/>
          <w:p>
            <w:pPr>
              <w:pStyle w:val="Compact"/>
              <w:jc w:val="left"/>
            </w:pPr>
            <w:r>
              <w:t xml:space="preserve">5487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978555</w:t>
            </w:r>
          </w:p>
        </w:tc>
        <w:tc>
          <w:tcPr/>
          <w:p>
            <w:pPr>
              <w:pStyle w:val="Compact"/>
              <w:jc w:val="left"/>
            </w:pPr>
            <w:r>
              <w:t xml:space="preserve">indapamide</w:t>
            </w:r>
          </w:p>
        </w:tc>
        <w:tc>
          <w:tcPr/>
          <w:p>
            <w:pPr>
              <w:pStyle w:val="Compact"/>
              <w:jc w:val="left"/>
            </w:pPr>
            <w:r>
              <w:t xml:space="preserve">5764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907013</w:t>
            </w:r>
          </w:p>
        </w:tc>
        <w:tc>
          <w:tcPr/>
          <w:p>
            <w:pPr>
              <w:pStyle w:val="Compact"/>
              <w:jc w:val="left"/>
            </w:pPr>
            <w:r>
              <w:t xml:space="preserve">metolazone</w:t>
            </w:r>
          </w:p>
        </w:tc>
        <w:tc>
          <w:tcPr/>
          <w:p>
            <w:pPr>
              <w:pStyle w:val="Compact"/>
              <w:jc w:val="left"/>
            </w:pPr>
            <w:r>
              <w:t xml:space="preserve">6916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17"/>
    <w:bookmarkEnd w:id="118"/>
    <w:bookmarkEnd w:id="119"/>
    <w:bookmarkStart w:id="128" w:name="outcome-cohort-definition"/>
    <w:p>
      <w:pPr>
        <w:pStyle w:val="Heading1"/>
      </w:pPr>
      <w:r>
        <w:rPr>
          <w:rStyle w:val="SectionNumber"/>
        </w:rPr>
        <w:t xml:space="preserve">9</w:t>
      </w:r>
      <w:r>
        <w:tab/>
      </w:r>
      <w:r>
        <w:t xml:space="preserve">Outcome cohort definition</w:t>
      </w:r>
    </w:p>
    <w:bookmarkStart w:id="127" w:name="Xcdd422006c2c5e655cf8824e60b3be7a6886dad"/>
    <w:p>
      <w:pPr>
        <w:pStyle w:val="Heading2"/>
      </w:pPr>
      <w:r>
        <w:rPr>
          <w:rStyle w:val="SectionNumber"/>
        </w:rPr>
        <w:t xml:space="preserve">9.1</w:t>
      </w:r>
      <w:r>
        <w:tab/>
      </w:r>
      <w:r>
        <w:t xml:space="preserve">Ischemic stroke events during inpatient or emergency room visits</w:t>
      </w:r>
    </w:p>
    <w:bookmarkStart w:id="120" w:name="cohort-entry-events-10"/>
    <w:p>
      <w:pPr>
        <w:pStyle w:val="Heading3"/>
      </w:pPr>
      <w:r>
        <w:rPr>
          <w:rStyle w:val="SectionNumber"/>
        </w:rPr>
        <w:t xml:space="preserve">9.1.1</w:t>
      </w:r>
      <w:r>
        <w:tab/>
      </w:r>
      <w:r>
        <w:t xml:space="preserve">Cohort Entry Events</w:t>
      </w:r>
    </w:p>
    <w:p>
      <w:pPr>
        <w:pStyle w:val="FirstParagraph"/>
      </w:pPr>
      <w:r>
        <w:t xml:space="preserve">People may enter the cohort when observing any of the following:</w:t>
      </w:r>
    </w:p>
    <w:p>
      <w:pPr>
        <w:numPr>
          <w:ilvl w:val="0"/>
          <w:numId w:val="1041"/>
        </w:numPr>
        <w:pStyle w:val="Compact"/>
      </w:pPr>
      <w:r>
        <w:t xml:space="preserve">condition occurrences of</w:t>
      </w:r>
      <w:r>
        <w:t xml:space="preserve"> </w:t>
      </w:r>
      <w:r>
        <w:t xml:space="preserve">‘</w:t>
      </w:r>
      <w:r>
        <w:t xml:space="preserve">Cerebral infarction</w:t>
      </w:r>
      <w:r>
        <w:t xml:space="preserve">’</w:t>
      </w:r>
      <w:r>
        <w:t xml:space="preserve">, starting on or after January 1, 2010.</w:t>
      </w:r>
    </w:p>
    <w:p>
      <w:pPr>
        <w:pStyle w:val="FirstParagraph"/>
      </w:pPr>
      <w:r>
        <w:t xml:space="preserve">Restrict entry events to having at least 1 visit occurrence of</w:t>
      </w:r>
      <w:r>
        <w:t xml:space="preserve"> </w:t>
      </w:r>
      <w:r>
        <w:t xml:space="preserve">‘</w:t>
      </w:r>
      <w:r>
        <w:t xml:space="preserve">Inpatient or Inpatient/ER visit</w:t>
      </w:r>
      <w:r>
        <w:t xml:space="preserve">’</w:t>
      </w:r>
      <w:r>
        <w:t xml:space="preserve">, starting anytime on or before cohort entry start date and ending between 0 days before and all days after cohort entry start date.</w:t>
      </w:r>
    </w:p>
    <w:bookmarkEnd w:id="120"/>
    <w:bookmarkStart w:id="122" w:name="additional-inclusion-criteria"/>
    <w:p>
      <w:pPr>
        <w:pStyle w:val="Heading3"/>
      </w:pPr>
      <w:r>
        <w:rPr>
          <w:rStyle w:val="SectionNumber"/>
        </w:rPr>
        <w:t xml:space="preserve">9.1.2</w:t>
      </w:r>
      <w:r>
        <w:tab/>
      </w:r>
      <w:r>
        <w:t xml:space="preserve">Additional Inclusion Criteria</w:t>
      </w:r>
    </w:p>
    <w:bookmarkStart w:id="121" w:name="X4ec489a93922a1b06e7cd72d8bdfdf52bc70b96"/>
    <w:p>
      <w:pPr>
        <w:pStyle w:val="Heading4"/>
      </w:pPr>
      <w:r>
        <w:t xml:space="preserve">I. has no events in prior</w:t>
      </w:r>
      <w:r>
        <w:t xml:space="preserve"> </w:t>
      </w:r>
      <w:r>
        <w:t xml:space="preserve">‘</w:t>
      </w:r>
      <w:r>
        <w:t xml:space="preserve">clean window</w:t>
      </w:r>
      <w:r>
        <w:t xml:space="preserve">’</w:t>
      </w:r>
      <w:r>
        <w:t xml:space="preserve"> </w:t>
      </w:r>
      <w:r>
        <w:t xml:space="preserve">- 365 days</w:t>
      </w:r>
    </w:p>
    <w:p>
      <w:pPr>
        <w:pStyle w:val="FirstParagraph"/>
      </w:pPr>
      <w:r>
        <w:t xml:space="preserve">Entry events having no condition occurrences of</w:t>
      </w:r>
      <w:r>
        <w:t xml:space="preserve"> </w:t>
      </w:r>
      <w:r>
        <w:t xml:space="preserve">‘</w:t>
      </w:r>
      <w:r>
        <w:t xml:space="preserve">Cerebral infarction</w:t>
      </w:r>
      <w:r>
        <w:t xml:space="preserve">’</w:t>
      </w:r>
      <w:r>
        <w:t xml:space="preserve">, starting in the 365 days prior to cohort entry start date; allow events outside observation period; having at least 1 visit occurrence of</w:t>
      </w:r>
      <w:r>
        <w:t xml:space="preserve"> </w:t>
      </w:r>
      <w:r>
        <w:t xml:space="preserve">‘</w:t>
      </w:r>
      <w:r>
        <w:t xml:space="preserve">Inpatient or Inpatient/ER visit</w:t>
      </w:r>
      <w:r>
        <w:t xml:space="preserve">’</w:t>
      </w:r>
      <w:r>
        <w:t xml:space="preserve">, starting anytime on or before</w:t>
      </w:r>
      <w:r>
        <w:t xml:space="preserve"> </w:t>
      </w:r>
      <w:r>
        <w:t xml:space="preserve">‘</w:t>
      </w:r>
      <w:r>
        <w:t xml:space="preserve">Cerebral infarction</w:t>
      </w:r>
      <w:r>
        <w:t xml:space="preserve">’</w:t>
      </w:r>
      <w:r>
        <w:t xml:space="preserve"> </w:t>
      </w:r>
      <w:r>
        <w:t xml:space="preserve">start date and ending between 0 days before and all days after</w:t>
      </w:r>
      <w:r>
        <w:t xml:space="preserve"> </w:t>
      </w:r>
      <w:r>
        <w:t xml:space="preserve">‘</w:t>
      </w:r>
      <w:r>
        <w:t xml:space="preserve">Cerebral infarction</w:t>
      </w:r>
      <w:r>
        <w:t xml:space="preserve">’</w:t>
      </w:r>
      <w:r>
        <w:t xml:space="preserve"> </w:t>
      </w:r>
      <w:r>
        <w:t xml:space="preserve">start date.</w:t>
      </w:r>
    </w:p>
    <w:bookmarkEnd w:id="121"/>
    <w:bookmarkEnd w:id="122"/>
    <w:bookmarkStart w:id="123" w:name="cohort-exit-10"/>
    <w:p>
      <w:pPr>
        <w:pStyle w:val="Heading3"/>
      </w:pPr>
      <w:r>
        <w:rPr>
          <w:rStyle w:val="SectionNumber"/>
        </w:rPr>
        <w:t xml:space="preserve">9.1.3</w:t>
      </w:r>
      <w:r>
        <w:tab/>
      </w:r>
      <w:r>
        <w:t xml:space="preserve">Cohort Exit</w:t>
      </w:r>
    </w:p>
    <w:p>
      <w:pPr>
        <w:pStyle w:val="FirstParagraph"/>
      </w:pPr>
      <w:r>
        <w:t xml:space="preserve">The cohort end date will be offset from index event’s start date plus 1 day.</w:t>
      </w:r>
    </w:p>
    <w:bookmarkEnd w:id="123"/>
    <w:bookmarkStart w:id="124" w:name="cohort-eras-10"/>
    <w:p>
      <w:pPr>
        <w:pStyle w:val="Heading3"/>
      </w:pPr>
      <w:r>
        <w:rPr>
          <w:rStyle w:val="SectionNumber"/>
        </w:rPr>
        <w:t xml:space="preserve">9.1.4</w:t>
      </w:r>
      <w:r>
        <w:tab/>
      </w:r>
      <w:r>
        <w:t xml:space="preserve">Cohort Eras</w:t>
      </w:r>
    </w:p>
    <w:p>
      <w:pPr>
        <w:pStyle w:val="FirstParagraph"/>
      </w:pPr>
      <w:r>
        <w:t xml:space="preserve">Entry events will be combined into cohort eras if they are within 0 days of each other.</w:t>
      </w:r>
    </w:p>
    <w:bookmarkEnd w:id="124"/>
    <w:bookmarkStart w:id="125" w:name="inpatient-or-inpatienter-visit"/>
    <w:p>
      <w:pPr>
        <w:pStyle w:val="Heading3"/>
      </w:pPr>
      <w:r>
        <w:rPr>
          <w:rStyle w:val="SectionNumber"/>
        </w:rPr>
        <w:t xml:space="preserve">9.1.5</w:t>
      </w:r>
      <w:r>
        <w:tab/>
      </w:r>
      <w:r>
        <w:t xml:space="preserve">Inpatient or Inpatient/ER visit</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25"/>
    <w:bookmarkStart w:id="126" w:name="cerebral-infarction"/>
    <w:p>
      <w:pPr>
        <w:pStyle w:val="Heading3"/>
      </w:pPr>
      <w:r>
        <w:rPr>
          <w:rStyle w:val="SectionNumber"/>
        </w:rPr>
        <w:t xml:space="preserve">9.1.6</w:t>
      </w:r>
      <w:r>
        <w:tab/>
      </w:r>
      <w:r>
        <w:t xml:space="preserve">Cerebral infarction</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443454</w:t>
            </w:r>
          </w:p>
        </w:tc>
        <w:tc>
          <w:tcPr/>
          <w:p>
            <w:pPr>
              <w:pStyle w:val="Compact"/>
              <w:jc w:val="left"/>
            </w:pPr>
            <w:r>
              <w:t xml:space="preserve">Cerebral infarction</w:t>
            </w:r>
          </w:p>
        </w:tc>
        <w:tc>
          <w:tcPr/>
          <w:p>
            <w:pPr>
              <w:pStyle w:val="Compact"/>
              <w:jc w:val="left"/>
            </w:pPr>
            <w:r>
              <w:t xml:space="preserve">432504007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40479572</w:t>
            </w:r>
          </w:p>
        </w:tc>
        <w:tc>
          <w:tcPr/>
          <w:p>
            <w:pPr>
              <w:pStyle w:val="Compact"/>
              <w:jc w:val="left"/>
            </w:pPr>
            <w:r>
              <w:t xml:space="preserve">Infarct of cerebrum due to iatrogenic cerebrovascular accident</w:t>
            </w:r>
          </w:p>
        </w:tc>
        <w:tc>
          <w:tcPr/>
          <w:p>
            <w:pPr>
              <w:pStyle w:val="Compact"/>
              <w:jc w:val="left"/>
            </w:pPr>
            <w:r>
              <w:t xml:space="preserve">441526008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4046360</w:t>
            </w:r>
          </w:p>
        </w:tc>
        <w:tc>
          <w:tcPr/>
          <w:p>
            <w:pPr>
              <w:pStyle w:val="Compact"/>
              <w:jc w:val="left"/>
            </w:pPr>
            <w:r>
              <w:t xml:space="preserve">Lacunar infarction</w:t>
            </w:r>
          </w:p>
        </w:tc>
        <w:tc>
          <w:tcPr/>
          <w:p>
            <w:pPr>
              <w:pStyle w:val="Compact"/>
              <w:jc w:val="left"/>
            </w:pPr>
            <w:r>
              <w:t xml:space="preserve">230698000</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372435</w:t>
            </w:r>
          </w:p>
        </w:tc>
        <w:tc>
          <w:tcPr/>
          <w:p>
            <w:pPr>
              <w:pStyle w:val="Compact"/>
              <w:jc w:val="left"/>
            </w:pPr>
            <w:r>
              <w:t xml:space="preserve">Periventricular leukomalacia</w:t>
            </w:r>
          </w:p>
        </w:tc>
        <w:tc>
          <w:tcPr/>
          <w:p>
            <w:pPr>
              <w:pStyle w:val="Compact"/>
              <w:jc w:val="left"/>
            </w:pPr>
            <w:r>
              <w:t xml:space="preserve">230769007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377254</w:t>
            </w:r>
          </w:p>
        </w:tc>
        <w:tc>
          <w:tcPr/>
          <w:p>
            <w:pPr>
              <w:pStyle w:val="Compact"/>
              <w:jc w:val="left"/>
            </w:pPr>
            <w:r>
              <w:t xml:space="preserve">Multi-infarct dementia, uncomplicated</w:t>
            </w:r>
          </w:p>
        </w:tc>
        <w:tc>
          <w:tcPr/>
          <w:p>
            <w:pPr>
              <w:pStyle w:val="Compact"/>
              <w:jc w:val="left"/>
            </w:pPr>
            <w:r>
              <w:t xml:space="preserve">70936005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379778</w:t>
            </w:r>
          </w:p>
        </w:tc>
        <w:tc>
          <w:tcPr/>
          <w:p>
            <w:pPr>
              <w:pStyle w:val="Compact"/>
              <w:jc w:val="left"/>
            </w:pPr>
            <w:r>
              <w:t xml:space="preserve">Multi-infarct dementia</w:t>
            </w:r>
          </w:p>
        </w:tc>
        <w:tc>
          <w:tcPr/>
          <w:p>
            <w:pPr>
              <w:pStyle w:val="Compact"/>
              <w:jc w:val="left"/>
            </w:pPr>
            <w:r>
              <w:t xml:space="preserve">56267009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443790</w:t>
            </w:r>
          </w:p>
        </w:tc>
        <w:tc>
          <w:tcPr/>
          <w:p>
            <w:pPr>
              <w:pStyle w:val="Compact"/>
              <w:jc w:val="left"/>
            </w:pPr>
            <w:r>
              <w:t xml:space="preserve">Multi-infarct dementia with delusions</w:t>
            </w:r>
          </w:p>
        </w:tc>
        <w:tc>
          <w:tcPr/>
          <w:p>
            <w:pPr>
              <w:pStyle w:val="Compact"/>
              <w:jc w:val="left"/>
            </w:pPr>
            <w:r>
              <w:t xml:space="preserve">25772007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443864</w:t>
            </w:r>
          </w:p>
        </w:tc>
        <w:tc>
          <w:tcPr/>
          <w:p>
            <w:pPr>
              <w:pStyle w:val="Compact"/>
              <w:jc w:val="left"/>
            </w:pPr>
            <w:r>
              <w:t xml:space="preserve">Multi-infarct dementia with depression</w:t>
            </w:r>
          </w:p>
        </w:tc>
        <w:tc>
          <w:tcPr/>
          <w:p>
            <w:pPr>
              <w:pStyle w:val="Compact"/>
              <w:jc w:val="left"/>
            </w:pPr>
            <w:r>
              <w:t xml:space="preserve">14070001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444091</w:t>
            </w:r>
          </w:p>
        </w:tc>
        <w:tc>
          <w:tcPr/>
          <w:p>
            <w:pPr>
              <w:pStyle w:val="Compact"/>
              <w:jc w:val="left"/>
            </w:pPr>
            <w:r>
              <w:t xml:space="preserve">Multi-infarct dementia with delirium</w:t>
            </w:r>
          </w:p>
        </w:tc>
        <w:tc>
          <w:tcPr/>
          <w:p>
            <w:pPr>
              <w:pStyle w:val="Compact"/>
              <w:jc w:val="left"/>
            </w:pPr>
            <w:r>
              <w:t xml:space="preserve">10349009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4046089</w:t>
            </w:r>
          </w:p>
        </w:tc>
        <w:tc>
          <w:tcPr/>
          <w:p>
            <w:pPr>
              <w:pStyle w:val="Compact"/>
              <w:jc w:val="left"/>
            </w:pPr>
            <w:r>
              <w:t xml:space="preserve">Vascular dementia of acute onset</w:t>
            </w:r>
          </w:p>
        </w:tc>
        <w:tc>
          <w:tcPr/>
          <w:p>
            <w:pPr>
              <w:pStyle w:val="Compact"/>
              <w:jc w:val="left"/>
            </w:pPr>
            <w:r>
              <w:t xml:space="preserve">230285003</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4046090</w:t>
            </w:r>
          </w:p>
        </w:tc>
        <w:tc>
          <w:tcPr/>
          <w:p>
            <w:pPr>
              <w:pStyle w:val="Compact"/>
              <w:jc w:val="left"/>
            </w:pPr>
            <w:r>
              <w:t xml:space="preserve">Mixed cortical and subcortical vascular dementia</w:t>
            </w:r>
          </w:p>
        </w:tc>
        <w:tc>
          <w:tcPr/>
          <w:p>
            <w:pPr>
              <w:pStyle w:val="Compact"/>
              <w:jc w:val="left"/>
            </w:pPr>
            <w:r>
              <w:t xml:space="preserve">230287006</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4129534</w:t>
            </w:r>
          </w:p>
        </w:tc>
        <w:tc>
          <w:tcPr/>
          <w:p>
            <w:pPr>
              <w:pStyle w:val="Compact"/>
              <w:jc w:val="left"/>
            </w:pPr>
            <w:r>
              <w:t xml:space="preserve">Pituitary apoplexy</w:t>
            </w:r>
          </w:p>
        </w:tc>
        <w:tc>
          <w:tcPr/>
          <w:p>
            <w:pPr>
              <w:pStyle w:val="Compact"/>
              <w:jc w:val="left"/>
            </w:pPr>
            <w:r>
              <w:t xml:space="preserve">237701005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bl>
    <w:p>
      <w:r>
        <w:pict>
          <v:rect style="width:0;height:1.5pt" o:hralign="center" o:hrstd="t" o:hr="t"/>
        </w:pict>
      </w:r>
    </w:p>
    <w:bookmarkEnd w:id="126"/>
    <w:bookmarkEnd w:id="127"/>
    <w:bookmarkEnd w:id="128"/>
    <w:bookmarkStart w:id="129" w:name="data-sources-1"/>
    <w:p>
      <w:pPr>
        <w:pStyle w:val="Heading1"/>
      </w:pPr>
      <w:r>
        <w:rPr>
          <w:rStyle w:val="SectionNumber"/>
        </w:rPr>
        <w:t xml:space="preserve">10</w:t>
      </w:r>
      <w:r>
        <w:tab/>
      </w:r>
      <w:r>
        <w:t xml:space="preserve">Data 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Data source</w:t>
            </w:r>
          </w:p>
        </w:tc>
        <w:tc>
          <w:tcPr/>
          <w:p>
            <w:pPr>
              <w:pStyle w:val="Compact"/>
              <w:jc w:val="left"/>
            </w:pPr>
            <w:r>
              <w:t xml:space="preserve">Short name</w:t>
            </w:r>
          </w:p>
        </w:tc>
        <w:tc>
          <w:tcPr/>
          <w:p>
            <w:pPr>
              <w:pStyle w:val="Compact"/>
              <w:jc w:val="left"/>
            </w:pPr>
            <w:r>
              <w:t xml:space="preserve">Description</w:t>
            </w:r>
          </w:p>
        </w:tc>
      </w:tr>
      <w:tr>
        <w:tc>
          <w:tcPr/>
          <w:p>
            <w:pPr>
              <w:pStyle w:val="Compact"/>
              <w:jc w:val="left"/>
            </w:pPr>
            <w:r>
              <w:t xml:space="preserve">Optum(c) de-identified Electronic Health Record Dataset</w:t>
            </w:r>
          </w:p>
        </w:tc>
        <w:tc>
          <w:tcPr/>
          <w:p>
            <w:pPr>
              <w:pStyle w:val="Compact"/>
              <w:jc w:val="left"/>
            </w:pPr>
            <w:r>
              <w:t xml:space="preserve">optum_ehr</w:t>
            </w:r>
          </w:p>
        </w:tc>
        <w:tc>
          <w:tcPr/>
          <w:p>
            <w:pPr>
              <w:pStyle w:val="Compact"/>
              <w:jc w:val="left"/>
            </w:pPr>
            <w:r>
              <w:t xml:space="preserve">Optum(c) de-identified Electronic Health Record Dataset is derived from dozens of healthcare provider organizations in the United States (that include more than 700 hospitals and 7,000 Clinics treating more than 103 million patients) receiving care in the United States. The medical record data includes clinical information, inclusive of prescriptions as prescribed and administered, lab results, vital signs, body measurements, diagnoses, procedures, and information derived from clinical Notes using Natural Language Processing (NLP).</w:t>
            </w:r>
          </w:p>
        </w:tc>
      </w:tr>
      <w:tr>
        <w:tc>
          <w:tcPr/>
          <w:p>
            <w:pPr>
              <w:pStyle w:val="Compact"/>
              <w:jc w:val="left"/>
            </w:pPr>
            <w:r>
              <w:t xml:space="preserve">Optum(c) de-Identified Clinformatics</w:t>
            </w:r>
            <w:r>
              <w:t xml:space="preserve"> </w:t>
            </w:r>
            <w:r>
              <w:t xml:space="preserve">Data Mart Database &lt;96&gt; Date of Death</w:t>
            </w:r>
          </w:p>
        </w:tc>
        <w:tc>
          <w:tcPr/>
          <w:p>
            <w:pPr>
              <w:pStyle w:val="Compact"/>
              <w:jc w:val="left"/>
            </w:pPr>
            <w:r>
              <w:t xml:space="preserve">optum_dod</w:t>
            </w:r>
          </w:p>
        </w:tc>
        <w:tc>
          <w:tcPr/>
          <w:p>
            <w:pPr>
              <w:pStyle w:val="Compact"/>
              <w:jc w:val="left"/>
            </w:pPr>
            <w:r>
              <w:t xml:space="preserve">Optum(c) De-Identified Clinformatics(c) Data Mart Database is an adjudicated administrative health claims database for members with private health insurance, who are fully insured in commercial plans or Medicare Advantage. The population is primarily representative of US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Optum DOD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tc>
      </w:tr>
      <w:tr>
        <w:tc>
          <w:tcPr/>
          <w:p>
            <w:pPr>
              <w:pStyle w:val="Compact"/>
              <w:jc w:val="left"/>
            </w:pPr>
            <w:r>
              <w:t xml:space="preserve">IBM MarketScan Commercial Claims and Encounters Database</w:t>
            </w:r>
          </w:p>
        </w:tc>
        <w:tc>
          <w:tcPr/>
          <w:p>
            <w:pPr>
              <w:pStyle w:val="Compact"/>
              <w:jc w:val="left"/>
            </w:pPr>
            <w:r>
              <w:t xml:space="preserve">truven_ccae</w:t>
            </w:r>
          </w:p>
        </w:tc>
        <w:tc>
          <w:tcPr/>
          <w:p>
            <w:pPr>
              <w:pStyle w:val="Compact"/>
              <w:jc w:val="left"/>
            </w:pPr>
            <w:r>
              <w:t xml:space="preserve">IBM MarketScan Commercial Claims and Encounters Database (CCAE) is a US employer-based private-payer administrative claims database. The data include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tc>
      </w:tr>
      <w:tr>
        <w:tc>
          <w:tcPr/>
          <w:p>
            <w:pPr>
              <w:pStyle w:val="Compact"/>
              <w:jc w:val="left"/>
            </w:pPr>
            <w:r>
              <w:t xml:space="preserve">IBM MarketScan MultiState Medicaid Database</w:t>
            </w:r>
          </w:p>
        </w:tc>
        <w:tc>
          <w:tcPr/>
          <w:p>
            <w:pPr>
              <w:pStyle w:val="Compact"/>
              <w:jc w:val="left"/>
            </w:pPr>
            <w:r>
              <w:t xml:space="preserve">truven_mdcd</w:t>
            </w:r>
          </w:p>
        </w:tc>
        <w:tc>
          <w:tcPr/>
          <w:p>
            <w:pPr>
              <w:pStyle w:val="Compact"/>
              <w:jc w:val="left"/>
            </w:pPr>
            <w:r>
              <w:t xml:space="preserve">IBM MarketScan Multi-State Medicaid Database (MDCD) contains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w:t>
            </w:r>
          </w:p>
        </w:tc>
      </w:tr>
      <w:tr>
        <w:tc>
          <w:tcPr/>
          <w:p>
            <w:pPr>
              <w:pStyle w:val="Compact"/>
              <w:jc w:val="left"/>
            </w:pPr>
            <w:r>
              <w:t xml:space="preserve">IBM MarketScan Medicare Supplemental and Coordination of Benefits Database</w:t>
            </w:r>
          </w:p>
        </w:tc>
        <w:tc>
          <w:tcPr/>
          <w:p>
            <w:pPr>
              <w:pStyle w:val="Compact"/>
              <w:jc w:val="left"/>
            </w:pPr>
            <w:r>
              <w:t xml:space="preserve">truven_mdcr</w:t>
            </w:r>
          </w:p>
        </w:tc>
        <w:tc>
          <w:tcPr/>
          <w:p>
            <w:pPr>
              <w:pStyle w:val="Compact"/>
              <w:jc w:val="left"/>
            </w:pPr>
            <w:r>
              <w:t xml:space="preserve">IBM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tc>
      </w:tr>
    </w:tbl>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pi.jnj.com/atlas/#/cohortdefinition/4008" TargetMode="External" /><Relationship Type="http://schemas.openxmlformats.org/officeDocument/2006/relationships/hyperlink" Id="rId34" Target="https://epi.jnj.com/atlas/#/cohortdefinition/4034" TargetMode="External" /><Relationship Type="http://schemas.openxmlformats.org/officeDocument/2006/relationships/hyperlink" Id="rId35" Target="https://epi.jnj.com/atlas/#/cohortdefinition/4036" TargetMode="External" /><Relationship Type="http://schemas.openxmlformats.org/officeDocument/2006/relationships/hyperlink" Id="rId36" Target="https://epi.jnj.com/atlas/#/cohortdefinition/4037" TargetMode="External" /><Relationship Type="http://schemas.openxmlformats.org/officeDocument/2006/relationships/hyperlink" Id="rId37" Target="https://epi.jnj.com/atlas/#/cohortdefinition/4038" TargetMode="External" /><Relationship Type="http://schemas.openxmlformats.org/officeDocument/2006/relationships/hyperlink" Id="rId38" Target="https://epi.jnj.com/atlas/#/cohortdefinition/4521" TargetMode="External" /><Relationship Type="http://schemas.openxmlformats.org/officeDocument/2006/relationships/hyperlink" Id="rId25" Target="mailto:daniel.prietoalhambra@ndorms.ox.ac.uk" TargetMode="External" /><Relationship Type="http://schemas.openxmlformats.org/officeDocument/2006/relationships/hyperlink" Id="rId20" Target="mailto:james.weaver@ndorms.ox.ac.uk" TargetMode="External" /><Relationship Type="http://schemas.openxmlformats.org/officeDocument/2006/relationships/hyperlink" Id="rId24" Target="mailto:jswerdel@its.jnj.com" TargetMode="External" /><Relationship Type="http://schemas.openxmlformats.org/officeDocument/2006/relationships/hyperlink" Id="rId23" Target="mailto:msuchard@ucla.edu" TargetMode="External" /><Relationship Type="http://schemas.openxmlformats.org/officeDocument/2006/relationships/hyperlink" Id="rId21" Target="mailto:ryan@ohdsi.org" TargetMode="External" /><Relationship Type="http://schemas.openxmlformats.org/officeDocument/2006/relationships/hyperlink" Id="rId22" Target="mailto:victoria.strauss@csm.ox.ac.uk" TargetMode="External" /></Relationships>
</file>

<file path=word/_rels/footnotes.xml.rels><?xml version="1.0" encoding="UTF-8"?><Relationships xmlns="http://schemas.openxmlformats.org/package/2006/relationships"><Relationship Type="http://schemas.openxmlformats.org/officeDocument/2006/relationships/hyperlink" Id="rId33" Target="https://epi.jnj.com/atlas/#/cohortdefinition/4008" TargetMode="External" /><Relationship Type="http://schemas.openxmlformats.org/officeDocument/2006/relationships/hyperlink" Id="rId34" Target="https://epi.jnj.com/atlas/#/cohortdefinition/4034" TargetMode="External" /><Relationship Type="http://schemas.openxmlformats.org/officeDocument/2006/relationships/hyperlink" Id="rId35" Target="https://epi.jnj.com/atlas/#/cohortdefinition/4036" TargetMode="External" /><Relationship Type="http://schemas.openxmlformats.org/officeDocument/2006/relationships/hyperlink" Id="rId36" Target="https://epi.jnj.com/atlas/#/cohortdefinition/4037" TargetMode="External" /><Relationship Type="http://schemas.openxmlformats.org/officeDocument/2006/relationships/hyperlink" Id="rId37" Target="https://epi.jnj.com/atlas/#/cohortdefinition/4038" TargetMode="External" /><Relationship Type="http://schemas.openxmlformats.org/officeDocument/2006/relationships/hyperlink" Id="rId38" Target="https://epi.jnj.com/atlas/#/cohortdefinition/4521" TargetMode="External" /><Relationship Type="http://schemas.openxmlformats.org/officeDocument/2006/relationships/hyperlink" Id="rId25" Target="mailto:daniel.prietoalhambra@ndorms.ox.ac.uk" TargetMode="External" /><Relationship Type="http://schemas.openxmlformats.org/officeDocument/2006/relationships/hyperlink" Id="rId20" Target="mailto:james.weaver@ndorms.ox.ac.uk" TargetMode="External" /><Relationship Type="http://schemas.openxmlformats.org/officeDocument/2006/relationships/hyperlink" Id="rId24" Target="mailto:jswerdel@its.jnj.com" TargetMode="External" /><Relationship Type="http://schemas.openxmlformats.org/officeDocument/2006/relationships/hyperlink" Id="rId23" Target="mailto:msuchard@ucla.edu" TargetMode="External" /><Relationship Type="http://schemas.openxmlformats.org/officeDocument/2006/relationships/hyperlink" Id="rId21" Target="mailto:ryan@ohdsi.org" TargetMode="External" /><Relationship Type="http://schemas.openxmlformats.org/officeDocument/2006/relationships/hyperlink" Id="rId22" Target="mailto:victoria.strauss@cs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2023-03-01T20:33:37Z</dcterms:created>
  <dcterms:modified xsi:type="dcterms:W3CDTF">2023-03-01T20:33:37Z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Protocol.bib</vt:lpwstr>
  </property>
  <property fmtid="{D5CDD505-2E9C-101B-9397-08002B2CF9AE}" pid="3" name="csl">
    <vt:lpwstr>jamia.csl</vt:lpwstr>
  </property>
  <property fmtid="{D5CDD505-2E9C-101B-9397-08002B2CF9AE}" pid="4" name="fontsize">
    <vt:lpwstr>10pt</vt:lpwstr>
  </property>
  <property fmtid="{D5CDD505-2E9C-101B-9397-08002B2CF9AE}" pid="5" name="geometry">
    <vt:lpwstr>margin=1in</vt:lpwstr>
  </property>
  <property fmtid="{D5CDD505-2E9C-101B-9397-08002B2CF9AE}" pid="6" name="header-includes">
    <vt:lpwstr/>
  </property>
  <property fmtid="{D5CDD505-2E9C-101B-9397-08002B2CF9AE}" pid="7" name="link-citations">
    <vt:lpwstr>True</vt:lpwstr>
  </property>
  <property fmtid="{D5CDD505-2E9C-101B-9397-08002B2CF9AE}" pid="8" name="longtable">
    <vt:lpwstr>True</vt:lpwstr>
  </property>
  <property fmtid="{D5CDD505-2E9C-101B-9397-08002B2CF9AE}" pid="9" name="mainfont">
    <vt:lpwstr>Arial</vt:lpwstr>
  </property>
  <property fmtid="{D5CDD505-2E9C-101B-9397-08002B2CF9AE}" pid="10" name="output">
    <vt:lpwstr/>
  </property>
  <property fmtid="{D5CDD505-2E9C-101B-9397-08002B2CF9AE}" pid="11" name="params">
    <vt:lpwstr/>
  </property>
  <property fmtid="{D5CDD505-2E9C-101B-9397-08002B2CF9AE}" pid="12" name="subtitle">
    <vt:lpwstr>Version: 1</vt:lpwstr>
  </property>
</Properties>
</file>