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09D75" w14:textId="739226BB" w:rsidR="005757A4" w:rsidRDefault="00B537F5" w:rsidP="005757A4">
      <w:pPr>
        <w:pStyle w:val="Heading1"/>
      </w:pPr>
      <w:r>
        <w:t xml:space="preserve"> </w:t>
      </w:r>
      <w:r w:rsidR="005757A4">
        <w:t>Introduction</w:t>
      </w:r>
    </w:p>
    <w:p w14:paraId="2E557157" w14:textId="1B62863D" w:rsidR="005757A4" w:rsidRDefault="005757A4" w:rsidP="005757A4">
      <w:r w:rsidRPr="00C62ECB">
        <w:t>International comparisons show that the United States spends much more on health care and has poorer health outcomes than other advanced economies</w:t>
      </w:r>
      <w:r>
        <w:t>.</w:t>
      </w:r>
      <w:r>
        <w:rPr>
          <w:rStyle w:val="EndnoteReference"/>
        </w:rPr>
        <w:endnoteReference w:id="1"/>
      </w:r>
      <w:r w:rsidRPr="00C73A63">
        <w:rPr>
          <w:rStyle w:val="EndnoteReference"/>
        </w:rPr>
        <w:t xml:space="preserve">, </w:t>
      </w:r>
      <w:r>
        <w:rPr>
          <w:rStyle w:val="EndnoteReference"/>
        </w:rPr>
        <w:endnoteReference w:id="2"/>
      </w:r>
      <w:r w:rsidRPr="00C62ECB">
        <w:t xml:space="preserve"> </w:t>
      </w:r>
      <w:r>
        <w:t xml:space="preserve">While many important issues </w:t>
      </w:r>
      <w:r w:rsidR="000608ED">
        <w:t xml:space="preserve">are </w:t>
      </w:r>
      <w:r>
        <w:t xml:space="preserve">involved in such comparisons, improving outcomes and resource use are key goals in the US and throughout the world, now and in the future. </w:t>
      </w:r>
    </w:p>
    <w:p w14:paraId="1EE9D64C" w14:textId="3DF1F79E" w:rsidR="005757A4" w:rsidRDefault="005757A4" w:rsidP="005757A4">
      <w:r>
        <w:t>A</w:t>
      </w:r>
      <w:r w:rsidRPr="008E0627">
        <w:t xml:space="preserve"> key </w:t>
      </w:r>
      <w:r>
        <w:t xml:space="preserve">intellectual </w:t>
      </w:r>
      <w:r w:rsidRPr="008E0627">
        <w:t xml:space="preserve">milestone </w:t>
      </w:r>
      <w:r>
        <w:t>in health care in the 20</w:t>
      </w:r>
      <w:r w:rsidRPr="00A57897">
        <w:rPr>
          <w:vertAlign w:val="superscript"/>
        </w:rPr>
        <w:t>th</w:t>
      </w:r>
      <w:r>
        <w:t xml:space="preserve"> century </w:t>
      </w:r>
      <w:r w:rsidRPr="008E0627">
        <w:t xml:space="preserve">was the </w:t>
      </w:r>
      <w:r w:rsidR="00F20418">
        <w:t xml:space="preserve">recognition </w:t>
      </w:r>
      <w:r w:rsidRPr="008E0627">
        <w:t xml:space="preserve">that </w:t>
      </w:r>
      <w:r>
        <w:t xml:space="preserve">clinician experience </w:t>
      </w:r>
      <w:r w:rsidR="009540D7">
        <w:t xml:space="preserve">alone </w:t>
      </w:r>
      <w:r>
        <w:t xml:space="preserve">as </w:t>
      </w:r>
      <w:r w:rsidR="00FE525C">
        <w:t>a guide to decision</w:t>
      </w:r>
      <w:r w:rsidR="00F77409">
        <w:t xml:space="preserve"> </w:t>
      </w:r>
      <w:r w:rsidR="00FE525C">
        <w:t xml:space="preserve">making </w:t>
      </w:r>
      <w:r>
        <w:t xml:space="preserve">is often misleading because differences in outcomes may reflect differences in pre-treatment status </w:t>
      </w:r>
      <w:r w:rsidRPr="008E0627">
        <w:t>rather than treatment</w:t>
      </w:r>
      <w:r w:rsidR="00F20418">
        <w:t xml:space="preserve"> effects</w:t>
      </w:r>
      <w:r w:rsidRPr="008E0627">
        <w:t>.</w:t>
      </w:r>
      <w:r>
        <w:t xml:space="preserve"> This </w:t>
      </w:r>
      <w:r w:rsidR="00F20418">
        <w:t xml:space="preserve">recognition </w:t>
      </w:r>
      <w:r>
        <w:t xml:space="preserve">is the foundation for evidence-based medicine as ‘… </w:t>
      </w:r>
      <w:r w:rsidRPr="00D013E3">
        <w:t>the conscientious, explicit, and judicious us</w:t>
      </w:r>
      <w:r w:rsidR="00AD7D88">
        <w:t>e</w:t>
      </w:r>
      <w:r w:rsidRPr="00D013E3">
        <w:t xml:space="preserve"> of current best evidence in making decisions about the care of individual patients.</w:t>
      </w:r>
      <w:r>
        <w:t>’</w:t>
      </w:r>
      <w:r w:rsidRPr="00547D89">
        <w:rPr>
          <w:rStyle w:val="EndnoteReference"/>
        </w:rPr>
        <w:t xml:space="preserve"> </w:t>
      </w:r>
      <w:r>
        <w:rPr>
          <w:rStyle w:val="EndnoteReference"/>
        </w:rPr>
        <w:endnoteReference w:id="3"/>
      </w:r>
      <w:r>
        <w:t xml:space="preserve"> </w:t>
      </w:r>
    </w:p>
    <w:p w14:paraId="0BCEE439" w14:textId="45AB823C" w:rsidR="005757A4" w:rsidRDefault="005757A4" w:rsidP="005757A4">
      <w:pPr>
        <w:rPr>
          <w:rStyle w:val="EndnoteReference"/>
        </w:rPr>
      </w:pPr>
      <w:r>
        <w:t>A second milestone was the Institute of Medicine</w:t>
      </w:r>
      <w:r w:rsidR="001100BB">
        <w:t>’</w:t>
      </w:r>
      <w:r>
        <w:t xml:space="preserve">s 2007 conclusion that an ongoing </w:t>
      </w:r>
      <w:r w:rsidR="001100BB">
        <w:t>“</w:t>
      </w:r>
      <w:r>
        <w:t>learning health system</w:t>
      </w:r>
      <w:r w:rsidR="001100BB">
        <w:t>”</w:t>
      </w:r>
      <w:r>
        <w:t xml:space="preserve"> </w:t>
      </w:r>
      <w:r w:rsidR="00AA1798">
        <w:t xml:space="preserve">(LHS) </w:t>
      </w:r>
      <w:r>
        <w:t xml:space="preserve">was needed to </w:t>
      </w:r>
      <w:r w:rsidR="001100BB">
        <w:t>“</w:t>
      </w:r>
      <w:r w:rsidRPr="00FC33A2">
        <w:t>generate and apply the best evidence for the collaborative healthcare choices of each patient and provider; to drive the process of discovery as a natural outgrowth of patient care; and to ensure innovation, quality, safety, and value in health care.</w:t>
      </w:r>
      <w:r w:rsidR="001100BB">
        <w:t>”</w:t>
      </w:r>
      <w:r w:rsidRPr="006376E4">
        <w:rPr>
          <w:rStyle w:val="EndnoteReference"/>
        </w:rPr>
        <w:t xml:space="preserve"> </w:t>
      </w:r>
      <w:r>
        <w:rPr>
          <w:rStyle w:val="EndnoteReference"/>
        </w:rPr>
        <w:endnoteReference w:id="4"/>
      </w:r>
      <w:r w:rsidR="00B30EFA" w:rsidRPr="00AC6F4F">
        <w:rPr>
          <w:rStyle w:val="EndnoteReference"/>
        </w:rPr>
        <w:t>,</w:t>
      </w:r>
      <w:r w:rsidR="00AC6F4F">
        <w:rPr>
          <w:rStyle w:val="EndnoteReference"/>
        </w:rPr>
        <w:endnoteReference w:id="5"/>
      </w:r>
    </w:p>
    <w:p w14:paraId="1B16248B" w14:textId="4CD3E2FA" w:rsidR="005757A4" w:rsidRDefault="005757A4" w:rsidP="005757A4">
      <w:r>
        <w:t xml:space="preserve">This paper focuses on these initiatives, discusses their status, barriers to progress, and </w:t>
      </w:r>
      <w:r w:rsidR="00A10A73">
        <w:t xml:space="preserve">proposes a </w:t>
      </w:r>
      <w:r w:rsidR="00157CD0">
        <w:t>set of requirements</w:t>
      </w:r>
      <w:r w:rsidR="002018EE">
        <w:t xml:space="preserve"> and </w:t>
      </w:r>
      <w:r w:rsidR="000B09CF">
        <w:t>methodology</w:t>
      </w:r>
      <w:r w:rsidR="008C4095">
        <w:t xml:space="preserve"> for a project and a plan to </w:t>
      </w:r>
      <w:r>
        <w:t>accelerate progress</w:t>
      </w:r>
      <w:r w:rsidR="00E42325">
        <w:t xml:space="preserve">. </w:t>
      </w:r>
    </w:p>
    <w:p w14:paraId="3B84A710" w14:textId="77777777" w:rsidR="005757A4" w:rsidRDefault="005757A4" w:rsidP="005757A4">
      <w:pPr>
        <w:pStyle w:val="Heading1"/>
      </w:pPr>
      <w:r>
        <w:t>Current Status</w:t>
      </w:r>
    </w:p>
    <w:p w14:paraId="74961031" w14:textId="6A7D732C" w:rsidR="005757A4" w:rsidRPr="00CF49B4" w:rsidRDefault="005757A4" w:rsidP="005757A4">
      <w:pPr>
        <w:rPr>
          <w:rFonts w:ascii="MS Gothic" w:eastAsia="MS Gothic" w:hAnsi="MS Gothic" w:cs="MS Gothic"/>
        </w:rPr>
      </w:pPr>
      <w:r>
        <w:t>More than 40 years ago, a cardiologist could type patient characteristics into Duke University</w:t>
      </w:r>
      <w:r w:rsidR="005361B1">
        <w:t>’</w:t>
      </w:r>
      <w:r>
        <w:t>s cardiac database and see three-year survival curves for comparable patients treated with medical versus surgical therapy for coronary artery disease.</w:t>
      </w:r>
      <w:r>
        <w:rPr>
          <w:rStyle w:val="EndnoteReference"/>
        </w:rPr>
        <w:endnoteReference w:id="6"/>
      </w:r>
      <w:r>
        <w:t xml:space="preserve"> More than 30 years ago, evidence-based medicine became the paradigm for clinical decision-making worldwide.</w:t>
      </w:r>
      <w:r>
        <w:rPr>
          <w:rStyle w:val="EndnoteReference"/>
        </w:rPr>
        <w:endnoteReference w:id="7"/>
      </w:r>
      <w:r>
        <w:t xml:space="preserve"> But today, while there are many examples of progress, clinicians are all too often forced to make educated guesses. Fragments of evidence must be pieced together like pieces of a jigsaw puzzle to make </w:t>
      </w:r>
      <w:r w:rsidR="001100BB">
        <w:t>“</w:t>
      </w:r>
      <w:r>
        <w:t>evidence-based</w:t>
      </w:r>
      <w:r w:rsidR="001100BB">
        <w:t>”</w:t>
      </w:r>
      <w:r>
        <w:t xml:space="preserve"> recommendations.</w:t>
      </w:r>
      <w:r w:rsidRPr="002C09B0">
        <w:rPr>
          <w:rStyle w:val="EndnoteReference"/>
        </w:rPr>
        <w:t xml:space="preserve"> </w:t>
      </w:r>
      <w:r>
        <w:rPr>
          <w:rStyle w:val="EndnoteReference"/>
        </w:rPr>
        <w:endnoteReference w:id="8"/>
      </w:r>
      <w:r w:rsidR="00BB6A32">
        <w:rPr>
          <w:rStyle w:val="EndnoteReference"/>
        </w:rPr>
        <w:t xml:space="preserve">, </w:t>
      </w:r>
      <w:r>
        <w:rPr>
          <w:rStyle w:val="EndnoteReference"/>
        </w:rPr>
        <w:endnoteReference w:id="9"/>
      </w:r>
      <w:r>
        <w:t xml:space="preserve"> </w:t>
      </w:r>
      <w:r w:rsidRPr="00822D0F">
        <w:t>Guidelines are typically developed for the “average” patient with a single condition, making them difficult to apply to those with multimorbidity or unique circumstances.</w:t>
      </w:r>
      <w:r>
        <w:rPr>
          <w:rStyle w:val="EndnoteReference"/>
        </w:rPr>
        <w:endnoteReference w:id="10"/>
      </w:r>
      <w:r w:rsidRPr="0050634A">
        <w:rPr>
          <w:rStyle w:val="EndnoteReference"/>
        </w:rPr>
        <w:t xml:space="preserve">, </w:t>
      </w:r>
      <w:r>
        <w:rPr>
          <w:rStyle w:val="EndnoteReference"/>
        </w:rPr>
        <w:endnoteReference w:id="11"/>
      </w:r>
      <w:r>
        <w:rPr>
          <w:rStyle w:val="EndnoteReference"/>
        </w:rPr>
        <w:t xml:space="preserve"> </w:t>
      </w:r>
      <w:r w:rsidRPr="00822D0F">
        <w:t xml:space="preserve">Additionally, the evidence base is often incomplete, with </w:t>
      </w:r>
      <w:r>
        <w:t xml:space="preserve">few if any </w:t>
      </w:r>
      <w:r w:rsidRPr="00822D0F">
        <w:t xml:space="preserve">high-quality </w:t>
      </w:r>
      <w:r>
        <w:t xml:space="preserve">studies </w:t>
      </w:r>
      <w:r w:rsidRPr="00822D0F">
        <w:t xml:space="preserve">for many </w:t>
      </w:r>
      <w:r w:rsidR="006174A7">
        <w:t>clinical</w:t>
      </w:r>
      <w:r w:rsidRPr="00822D0F">
        <w:t xml:space="preserve"> decisions.</w:t>
      </w:r>
      <w:r>
        <w:rPr>
          <w:rStyle w:val="EndnoteReference"/>
        </w:rPr>
        <w:endnoteReference w:id="12"/>
      </w:r>
      <w:r w:rsidRPr="00822D0F">
        <w:t xml:space="preserve"> As a result, clinicians must integrate </w:t>
      </w:r>
      <w:r>
        <w:t xml:space="preserve">limited evidence </w:t>
      </w:r>
      <w:r w:rsidRPr="00822D0F">
        <w:t>with their own expertise and patient values to provide truly individualized care.</w:t>
      </w:r>
      <w:r w:rsidRPr="0050634A">
        <w:rPr>
          <w:rStyle w:val="EndnoteReference"/>
        </w:rPr>
        <w:endnoteReference w:id="13"/>
      </w:r>
      <w:r w:rsidRPr="0050634A">
        <w:rPr>
          <w:rStyle w:val="EndnoteReference"/>
        </w:rPr>
        <w:t xml:space="preserve">, </w:t>
      </w:r>
      <w:r>
        <w:rPr>
          <w:rStyle w:val="EndnoteReference"/>
        </w:rPr>
        <w:endnoteReference w:id="14"/>
      </w:r>
      <w:r>
        <w:rPr>
          <w:rStyle w:val="EndnoteReference"/>
        </w:rPr>
        <w:t xml:space="preserve"> </w:t>
      </w:r>
      <w:r w:rsidR="002E0FF8">
        <w:t>E</w:t>
      </w:r>
      <w:r w:rsidRPr="00822D0F">
        <w:t xml:space="preserve">vidence also </w:t>
      </w:r>
      <w:r>
        <w:t xml:space="preserve">is </w:t>
      </w:r>
      <w:r w:rsidRPr="00822D0F">
        <w:t>fragmented across disease-specific guidelines, forcing clinicians to synthesize disparate recommendations when treating complex patients</w:t>
      </w:r>
      <w:r w:rsidR="0033549A">
        <w:t>, potentially risking polypharmacy and adverse interactions</w:t>
      </w:r>
      <w:r w:rsidR="00E00A6A" w:rsidRPr="00822D0F">
        <w:t>.</w:t>
      </w:r>
      <w:r w:rsidR="00E00A6A">
        <w:rPr>
          <w:rStyle w:val="EndnoteReference"/>
        </w:rPr>
        <w:endnoteReference w:id="15"/>
      </w:r>
    </w:p>
    <w:p w14:paraId="3BF82D8C" w14:textId="0A25976C" w:rsidR="005757A4" w:rsidRDefault="00556680" w:rsidP="005757A4">
      <w:r>
        <w:t>Similarly,</w:t>
      </w:r>
      <w:r w:rsidR="005757A4" w:rsidRPr="00C62ECB">
        <w:t xml:space="preserve"> </w:t>
      </w:r>
      <w:r w:rsidR="00084ADB">
        <w:t xml:space="preserve">almost </w:t>
      </w:r>
      <w:r w:rsidR="00332E6F">
        <w:t xml:space="preserve">twenty </w:t>
      </w:r>
      <w:r w:rsidR="005757A4" w:rsidRPr="00C62ECB">
        <w:t>years after its initial launch, the LHS model is not yet a fully operational, end-to-end reality at an institutional level. Some health care systems have implemented some of its elements, but achieving a true, continuously improving LHS across entire healthcare systems is still a work in progress. It is, still, more of an aspirational model.</w:t>
      </w:r>
      <w:r w:rsidR="005757A4">
        <w:rPr>
          <w:rStyle w:val="EndnoteReference"/>
        </w:rPr>
        <w:endnoteReference w:id="16"/>
      </w:r>
      <w:r w:rsidR="005757A4" w:rsidRPr="00921E46">
        <w:rPr>
          <w:rStyle w:val="EndnoteReference"/>
        </w:rPr>
        <w:t>,</w:t>
      </w:r>
      <w:r w:rsidR="005757A4">
        <w:t xml:space="preserve"> </w:t>
      </w:r>
      <w:r w:rsidR="005757A4">
        <w:rPr>
          <w:rStyle w:val="EndnoteReference"/>
        </w:rPr>
        <w:endnoteReference w:id="17"/>
      </w:r>
      <w:r w:rsidR="005757A4" w:rsidRPr="00416133">
        <w:rPr>
          <w:rStyle w:val="EndnoteReference"/>
        </w:rPr>
        <w:t xml:space="preserve">, </w:t>
      </w:r>
      <w:r w:rsidR="005757A4">
        <w:rPr>
          <w:rStyle w:val="EndnoteReference"/>
        </w:rPr>
        <w:endnoteReference w:id="18"/>
      </w:r>
    </w:p>
    <w:p w14:paraId="3AF8368A" w14:textId="77777777" w:rsidR="005757A4" w:rsidRDefault="005757A4" w:rsidP="005757A4">
      <w:pPr>
        <w:pStyle w:val="Heading1"/>
      </w:pPr>
      <w:r>
        <w:t>Barriers</w:t>
      </w:r>
    </w:p>
    <w:p w14:paraId="5F512E70" w14:textId="321E79AF" w:rsidR="005757A4" w:rsidRDefault="005757A4" w:rsidP="005757A4">
      <w:r w:rsidRPr="0064232E">
        <w:t xml:space="preserve">How can we make </w:t>
      </w:r>
      <w:r>
        <w:t xml:space="preserve">learning health systems and </w:t>
      </w:r>
      <w:r w:rsidRPr="0064232E">
        <w:t xml:space="preserve">evidence-based health care </w:t>
      </w:r>
      <w:r>
        <w:t xml:space="preserve">an everyday reality </w:t>
      </w:r>
      <w:r w:rsidRPr="0064232E">
        <w:t xml:space="preserve">rather </w:t>
      </w:r>
      <w:r>
        <w:t xml:space="preserve">than something that is </w:t>
      </w:r>
      <w:r w:rsidRPr="0064232E">
        <w:t xml:space="preserve">always fifteen years </w:t>
      </w:r>
      <w:r>
        <w:t xml:space="preserve">to twenty </w:t>
      </w:r>
      <w:r w:rsidRPr="0064232E">
        <w:t>into the future, as has been the case for nuclear fusion? Unlike the case of nuclear fusion, the barriers are not technological.</w:t>
      </w:r>
      <w:r>
        <w:t xml:space="preserve"> The necessary technologies already exist and have been demonstrated in many settings.</w:t>
      </w:r>
    </w:p>
    <w:p w14:paraId="486F6484" w14:textId="4CB2F118" w:rsidR="005757A4" w:rsidRPr="00521EE8" w:rsidRDefault="00332E6F" w:rsidP="00450C3A">
      <w:r>
        <w:t>Electronic health record (</w:t>
      </w:r>
      <w:r w:rsidR="00450C3A">
        <w:t>EHR</w:t>
      </w:r>
      <w:r>
        <w:t>)</w:t>
      </w:r>
      <w:r w:rsidR="005757A4" w:rsidRPr="00521EE8">
        <w:t xml:space="preserve"> data is being generated and aggregated at scale. Every day, thousands of healthcare institutions generate vast amounts of </w:t>
      </w:r>
      <w:r w:rsidR="00450C3A">
        <w:t>EH</w:t>
      </w:r>
      <w:r w:rsidR="00A52251">
        <w:t xml:space="preserve">R </w:t>
      </w:r>
      <w:r w:rsidR="005757A4" w:rsidRPr="00521EE8">
        <w:t xml:space="preserve">data. This data is increasingly being standardized and aggregated into common data models like OMOP and PCORnet, making it </w:t>
      </w:r>
      <w:r w:rsidR="005757A4" w:rsidRPr="00521EE8">
        <w:lastRenderedPageBreak/>
        <w:t>readily available for research and analytics</w:t>
      </w:r>
      <w:r w:rsidR="00FD1E97">
        <w:t>.</w:t>
      </w:r>
      <w:r w:rsidR="005757A4" w:rsidRPr="00AB4334">
        <w:rPr>
          <w:rStyle w:val="EndnoteReference"/>
        </w:rPr>
        <w:endnoteReference w:id="19"/>
      </w:r>
      <w:r w:rsidR="005757A4" w:rsidRPr="00AB4334">
        <w:rPr>
          <w:rStyle w:val="EndnoteReference"/>
        </w:rPr>
        <w:t xml:space="preserve">, </w:t>
      </w:r>
      <w:r w:rsidR="005757A4">
        <w:rPr>
          <w:rStyle w:val="EndnoteReference"/>
        </w:rPr>
        <w:endnoteReference w:id="20"/>
      </w:r>
      <w:r w:rsidR="00FD1E97">
        <w:t xml:space="preserve"> </w:t>
      </w:r>
      <w:r w:rsidR="005757A4" w:rsidRPr="00521EE8">
        <w:t>Large-scale datasets from these networks have already enabled observational studies, comparative effectiveness research, and predictive modeling at unprecedented scales</w:t>
      </w:r>
      <w:r w:rsidR="00FD1E97">
        <w:t>.</w:t>
      </w:r>
      <w:r w:rsidR="005757A4">
        <w:rPr>
          <w:rStyle w:val="EndnoteReference"/>
        </w:rPr>
        <w:endnoteReference w:id="21"/>
      </w:r>
      <w:r w:rsidR="002963E3">
        <w:t xml:space="preserve"> </w:t>
      </w:r>
      <w:r w:rsidR="00DC4499">
        <w:t>O</w:t>
      </w:r>
      <w:r w:rsidR="005757A4" w:rsidRPr="00521EE8">
        <w:t>ver the past two decades, more than 31,500 EHR-based studies have been published globally</w:t>
      </w:r>
      <w:r w:rsidR="00DC4499">
        <w:t>.</w:t>
      </w:r>
      <w:r w:rsidR="005757A4">
        <w:rPr>
          <w:rStyle w:val="EndnoteReference"/>
        </w:rPr>
        <w:endnoteReference w:id="22"/>
      </w:r>
      <w:r w:rsidR="005757A4" w:rsidRPr="00521EE8">
        <w:t xml:space="preserve"> Additionally, major research and commercial networks house hundreds of millions of unique patient records</w:t>
      </w:r>
      <w:r w:rsidR="00D75CE1">
        <w:t>.</w:t>
      </w:r>
      <w:r w:rsidR="005757A4" w:rsidRPr="00AB4334">
        <w:rPr>
          <w:rStyle w:val="EndnoteReference"/>
        </w:rPr>
        <w:endnoteReference w:id="23"/>
      </w:r>
      <w:r w:rsidR="005757A4" w:rsidRPr="00AB4334">
        <w:rPr>
          <w:rStyle w:val="EndnoteReference"/>
        </w:rPr>
        <w:t xml:space="preserve">, </w:t>
      </w:r>
      <w:r w:rsidR="005757A4" w:rsidRPr="00AB4334">
        <w:rPr>
          <w:rStyle w:val="EndnoteReference"/>
        </w:rPr>
        <w:endnoteReference w:id="24"/>
      </w:r>
      <w:r w:rsidR="005757A4" w:rsidRPr="00521EE8">
        <w:t xml:space="preserve"> These figures </w:t>
      </w:r>
      <w:r w:rsidR="005757A4">
        <w:t xml:space="preserve">show </w:t>
      </w:r>
      <w:r w:rsidR="00B626A0">
        <w:t xml:space="preserve">data availability is not a </w:t>
      </w:r>
      <w:r w:rsidR="005757A4" w:rsidRPr="00521EE8">
        <w:t xml:space="preserve">primary barrier </w:t>
      </w:r>
      <w:r w:rsidR="00D13203">
        <w:t xml:space="preserve">to making a </w:t>
      </w:r>
      <w:r w:rsidR="005757A4" w:rsidRPr="00521EE8">
        <w:t xml:space="preserve">learning health system </w:t>
      </w:r>
      <w:r w:rsidR="00D13203">
        <w:t>an everyday reality</w:t>
      </w:r>
      <w:r w:rsidR="005757A4" w:rsidRPr="00521EE8">
        <w:t>.</w:t>
      </w:r>
    </w:p>
    <w:p w14:paraId="63BB3EE1" w14:textId="5FE61502" w:rsidR="00661049" w:rsidRDefault="00D75CE1" w:rsidP="00256FA6">
      <w:pPr>
        <w:rPr>
          <w:rStyle w:val="EndnoteReference"/>
        </w:rPr>
      </w:pPr>
      <w:r>
        <w:t>A</w:t>
      </w:r>
      <w:r w:rsidR="005757A4">
        <w:t xml:space="preserve">nalytic capability </w:t>
      </w:r>
      <w:r>
        <w:t xml:space="preserve">also </w:t>
      </w:r>
      <w:r w:rsidR="005757A4">
        <w:t xml:space="preserve">is not a </w:t>
      </w:r>
      <w:r>
        <w:t xml:space="preserve">primary </w:t>
      </w:r>
      <w:r w:rsidR="005757A4">
        <w:t xml:space="preserve">barrier. </w:t>
      </w:r>
      <w:r w:rsidR="005757A4" w:rsidRPr="00521EE8">
        <w:t>A broad range of advanced statistical and machine learning methods have been developed for use with EHR data. Causal inference techniques, such as target trial emulation and inverse probability weighting, enable researchers to derive real-world evidence that can complement randomized controlled trials</w:t>
      </w:r>
      <w:r w:rsidR="00265072">
        <w:t>.</w:t>
      </w:r>
      <w:r w:rsidR="005757A4" w:rsidRPr="00AB4334">
        <w:rPr>
          <w:rStyle w:val="EndnoteReference"/>
        </w:rPr>
        <w:endnoteReference w:id="25"/>
      </w:r>
      <w:r w:rsidR="005757A4" w:rsidRPr="00AB4334">
        <w:rPr>
          <w:rStyle w:val="EndnoteReference"/>
        </w:rPr>
        <w:t xml:space="preserve">, </w:t>
      </w:r>
      <w:r w:rsidR="005757A4" w:rsidRPr="00AB4334">
        <w:rPr>
          <w:rStyle w:val="EndnoteReference"/>
        </w:rPr>
        <w:endnoteReference w:id="26"/>
      </w:r>
      <w:r w:rsidR="005757A4" w:rsidRPr="00521EE8">
        <w:t xml:space="preserve"> Machine learning models have been </w:t>
      </w:r>
      <w:r w:rsidR="005757A4">
        <w:t xml:space="preserve">used with </w:t>
      </w:r>
      <w:r w:rsidR="005757A4" w:rsidRPr="00521EE8">
        <w:t>EHR data to support risk prediction and improve diagnostic accuracy</w:t>
      </w:r>
      <w:r w:rsidR="00265072">
        <w:t>.</w:t>
      </w:r>
      <w:r w:rsidR="005757A4">
        <w:rPr>
          <w:rStyle w:val="EndnoteReference"/>
        </w:rPr>
        <w:endnoteReference w:id="27"/>
      </w:r>
      <w:r w:rsidR="00265072">
        <w:t xml:space="preserve"> </w:t>
      </w:r>
      <w:r w:rsidR="005757A4" w:rsidRPr="00521EE8">
        <w:t>All-by-all analysis has emerged as a powerful approach to discover novel associations between clinical variables, enabling large-scale hypothesis generation across the full spectrum of coded medical concepts</w:t>
      </w:r>
      <w:r w:rsidR="0080314C">
        <w:t>.</w:t>
      </w:r>
      <w:r w:rsidR="005757A4">
        <w:rPr>
          <w:rStyle w:val="EndnoteReference"/>
        </w:rPr>
        <w:endnoteReference w:id="28"/>
      </w:r>
      <w:r w:rsidR="0080314C">
        <w:t xml:space="preserve"> </w:t>
      </w:r>
      <w:r w:rsidR="00482FB8" w:rsidRPr="00482FB8">
        <w:t xml:space="preserve">Additionally, distributed model-building </w:t>
      </w:r>
      <w:r w:rsidR="00BB5679">
        <w:t xml:space="preserve">has </w:t>
      </w:r>
      <w:r w:rsidR="00482FB8" w:rsidRPr="00482FB8">
        <w:t>been demonstrated in selected use cases</w:t>
      </w:r>
      <w:r w:rsidR="00A2301B">
        <w:t xml:space="preserve"> thereby </w:t>
      </w:r>
      <w:r w:rsidR="00482FB8" w:rsidRPr="00482FB8">
        <w:t>reduc</w:t>
      </w:r>
      <w:r w:rsidR="00A2301B">
        <w:t>ing</w:t>
      </w:r>
      <w:r w:rsidR="00482FB8" w:rsidRPr="00482FB8">
        <w:t xml:space="preserve"> security risks associated with centralized </w:t>
      </w:r>
      <w:r w:rsidR="00ED773A">
        <w:t xml:space="preserve">pooling </w:t>
      </w:r>
      <w:r w:rsidR="00A2301B">
        <w:t>of multi-inst</w:t>
      </w:r>
      <w:r w:rsidR="00ED773A">
        <w:t>itution data</w:t>
      </w:r>
      <w:r w:rsidR="00482FB8" w:rsidRPr="00482FB8">
        <w:t>.</w:t>
      </w:r>
      <w:r w:rsidR="00FD2E14" w:rsidRPr="00FF62CA">
        <w:rPr>
          <w:rStyle w:val="EndnoteReference"/>
        </w:rPr>
        <w:endnoteReference w:id="29"/>
      </w:r>
      <w:r w:rsidR="00FD2E14" w:rsidRPr="00FF62CA">
        <w:rPr>
          <w:rStyle w:val="EndnoteReference"/>
        </w:rPr>
        <w:t xml:space="preserve">, </w:t>
      </w:r>
      <w:r w:rsidR="00FD2E14" w:rsidRPr="00FF62CA">
        <w:rPr>
          <w:rStyle w:val="EndnoteReference"/>
        </w:rPr>
        <w:endnoteReference w:id="30"/>
      </w:r>
      <w:r w:rsidR="00FD2E14" w:rsidRPr="00FF62CA">
        <w:rPr>
          <w:rStyle w:val="EndnoteReference"/>
        </w:rPr>
        <w:t>,</w:t>
      </w:r>
      <w:r w:rsidR="00FF62CA">
        <w:rPr>
          <w:rStyle w:val="EndnoteReference"/>
        </w:rPr>
        <w:t xml:space="preserve"> </w:t>
      </w:r>
      <w:r w:rsidR="00156627" w:rsidRPr="00FF62CA">
        <w:rPr>
          <w:rStyle w:val="EndnoteReference"/>
        </w:rPr>
        <w:endnoteReference w:id="31"/>
      </w:r>
      <w:r w:rsidR="00CA2947" w:rsidRPr="00FF62CA">
        <w:rPr>
          <w:rStyle w:val="EndnoteReference"/>
        </w:rPr>
        <w:t>,</w:t>
      </w:r>
      <w:r w:rsidR="00FF62CA">
        <w:rPr>
          <w:rStyle w:val="EndnoteReference"/>
        </w:rPr>
        <w:t xml:space="preserve"> </w:t>
      </w:r>
      <w:r w:rsidR="00CA2947" w:rsidRPr="00FF62CA">
        <w:rPr>
          <w:rStyle w:val="EndnoteReference"/>
        </w:rPr>
        <w:endnoteReference w:id="32"/>
      </w:r>
      <w:r w:rsidR="000E4EC4" w:rsidRPr="00FF62CA">
        <w:rPr>
          <w:rStyle w:val="EndnoteReference"/>
        </w:rPr>
        <w:t>,</w:t>
      </w:r>
      <w:r w:rsidR="00FF62CA">
        <w:rPr>
          <w:rStyle w:val="EndnoteReference"/>
        </w:rPr>
        <w:t xml:space="preserve"> </w:t>
      </w:r>
      <w:r w:rsidR="00EB35C4" w:rsidRPr="00FF62CA">
        <w:rPr>
          <w:rStyle w:val="EndnoteReference"/>
        </w:rPr>
        <w:endnoteReference w:id="33"/>
      </w:r>
      <w:r w:rsidR="007F1568">
        <w:rPr>
          <w:rStyle w:val="EndnoteReference"/>
        </w:rPr>
        <w:t xml:space="preserve"> </w:t>
      </w:r>
    </w:p>
    <w:p w14:paraId="166890AE" w14:textId="79B76ED2" w:rsidR="00A85938" w:rsidRDefault="008F50CA" w:rsidP="005757A4">
      <w:r>
        <w:t>What then might be the barrier to progress?</w:t>
      </w:r>
      <w:r w:rsidR="000B7C22">
        <w:t xml:space="preserve"> </w:t>
      </w:r>
      <w:r w:rsidR="005757A4">
        <w:t xml:space="preserve">The key barrier </w:t>
      </w:r>
      <w:r w:rsidR="000B7C22">
        <w:t xml:space="preserve">might well be </w:t>
      </w:r>
      <w:r w:rsidR="005757A4">
        <w:t xml:space="preserve">the </w:t>
      </w:r>
      <w:r w:rsidR="001100BB">
        <w:t>“</w:t>
      </w:r>
      <w:r w:rsidR="005757A4">
        <w:t>research mindset</w:t>
      </w:r>
      <w:r w:rsidR="00E42325">
        <w:t>,”</w:t>
      </w:r>
      <w:r w:rsidR="00CF7B69">
        <w:t xml:space="preserve"> a mindset that dominates the field.</w:t>
      </w:r>
      <w:r w:rsidR="005757A4">
        <w:t xml:space="preserve"> To be clear, this way of thinking has been enormously successful. But building a learning health system that can support everyday clinical care across the entire range of health problems and health care is a different task than answering a research question for publication. </w:t>
      </w:r>
    </w:p>
    <w:p w14:paraId="0557E861" w14:textId="22CF2FB2" w:rsidR="005757A4" w:rsidRDefault="005757A4" w:rsidP="005757A4">
      <w:r>
        <w:t xml:space="preserve">To the best of our knowledge, all existing work to support evidence-based medicine and learning health systems involves </w:t>
      </w:r>
      <w:r w:rsidRPr="005E0CB3">
        <w:t>answering discrete, highly specific research questions</w:t>
      </w:r>
      <w:r w:rsidRPr="0050654C">
        <w:t xml:space="preserve">. Medicine </w:t>
      </w:r>
      <w:r>
        <w:t xml:space="preserve">involves </w:t>
      </w:r>
      <w:r w:rsidRPr="0050654C">
        <w:t xml:space="preserve">a high degree of specificity. If attention is not paid to minute details, </w:t>
      </w:r>
      <w:r>
        <w:t xml:space="preserve">clinical care and </w:t>
      </w:r>
      <w:r w:rsidRPr="0050654C">
        <w:t xml:space="preserve">study conclusions could easily be wrong. </w:t>
      </w:r>
      <w:r w:rsidRPr="005E0CB3">
        <w:rPr>
          <w:i/>
          <w:iCs/>
        </w:rPr>
        <w:t xml:space="preserve">One-at-a-time research is </w:t>
      </w:r>
      <w:r>
        <w:rPr>
          <w:i/>
          <w:iCs/>
        </w:rPr>
        <w:t xml:space="preserve">essential for </w:t>
      </w:r>
      <w:r w:rsidRPr="005E0CB3">
        <w:rPr>
          <w:i/>
          <w:iCs/>
        </w:rPr>
        <w:t>successful</w:t>
      </w:r>
      <w:r>
        <w:rPr>
          <w:i/>
          <w:iCs/>
        </w:rPr>
        <w:t xml:space="preserve">, </w:t>
      </w:r>
      <w:r w:rsidRPr="005E0CB3">
        <w:rPr>
          <w:i/>
          <w:iCs/>
        </w:rPr>
        <w:t>timely</w:t>
      </w:r>
      <w:r>
        <w:rPr>
          <w:i/>
          <w:iCs/>
        </w:rPr>
        <w:t>, and on-budget</w:t>
      </w:r>
      <w:r w:rsidRPr="005E0CB3">
        <w:rPr>
          <w:i/>
          <w:iCs/>
        </w:rPr>
        <w:t xml:space="preserve"> completion of </w:t>
      </w:r>
      <w:r w:rsidR="00C855C2">
        <w:rPr>
          <w:i/>
          <w:iCs/>
        </w:rPr>
        <w:t xml:space="preserve">many </w:t>
      </w:r>
      <w:r w:rsidRPr="005E0CB3">
        <w:rPr>
          <w:i/>
          <w:iCs/>
        </w:rPr>
        <w:t>projects</w:t>
      </w:r>
      <w:r w:rsidRPr="0050654C">
        <w:t xml:space="preserve">. </w:t>
      </w:r>
      <w:r>
        <w:t xml:space="preserve">But if you need to build the capability to answer thousands or hundreds of thousands of questions, the one-at-a-time approach is exponentially more costly, more time consuming, and will </w:t>
      </w:r>
      <w:r w:rsidR="00EC2AF4">
        <w:t xml:space="preserve">ultimately </w:t>
      </w:r>
      <w:r>
        <w:t>fail.</w:t>
      </w:r>
    </w:p>
    <w:p w14:paraId="187A8EC2" w14:textId="6248296F" w:rsidR="005757A4" w:rsidRDefault="005757A4" w:rsidP="005757A4">
      <w:r>
        <w:t xml:space="preserve">This tendency to focus on one-at-a-time research is further reinforced by the history and culture of modern medicine. Over the past hundred years, medical practice, medical literature, and medical research have developed as a complex web of many disease-specific or specialty-specific communities, each with their own language and set of concepts. That approach was optimal until recently. There was little need for standardizing concepts, vocabularies, and methodologies across diseases, organ systems, or specialty domains when the output of research was embodied by text on paper or presentations at conferences and used primarily by specialized practitioners and researchers. There was no need to make concepts and metrics </w:t>
      </w:r>
      <w:r w:rsidR="001100BB">
        <w:t>“</w:t>
      </w:r>
      <w:r>
        <w:t>interoperable</w:t>
      </w:r>
      <w:r w:rsidR="001100BB">
        <w:t>”</w:t>
      </w:r>
      <w:r>
        <w:t xml:space="preserve"> prior to the advent of EHRs and large databases integrating clinical data on millions of people encompassing a comprehensive set of health problems and clinical modalities.</w:t>
      </w:r>
    </w:p>
    <w:p w14:paraId="30C360D3" w14:textId="650C44F1" w:rsidR="005757A4" w:rsidRDefault="005757A4" w:rsidP="005757A4">
      <w:r>
        <w:t xml:space="preserve">Now, we risk creating an unmanageable, unknowable, and costly </w:t>
      </w:r>
      <w:r w:rsidR="001100BB">
        <w:t>“</w:t>
      </w:r>
      <w:r w:rsidR="001C4680">
        <w:t>T</w:t>
      </w:r>
      <w:r>
        <w:t>ower of Babel</w:t>
      </w:r>
      <w:r w:rsidR="001100BB">
        <w:t>”</w:t>
      </w:r>
      <w:r>
        <w:t xml:space="preserve"> with the flood of information made possible by new technology, unless we develop analytics that are use-case, and condition and treatment agnostic. Moreover, as has always been true, </w:t>
      </w:r>
      <w:r w:rsidR="00005116">
        <w:t>patients</w:t>
      </w:r>
      <w:r>
        <w:t xml:space="preserve"> can have any set or combination of illnesses, risks, and treatments, and so analytics or research findings must fully account for such situations. This can be achieved by only building an analytic system from the ground up in a use-case, condition, and treatment agnostic manner.</w:t>
      </w:r>
    </w:p>
    <w:p w14:paraId="526648E8" w14:textId="31A4B8D3" w:rsidR="005757A4" w:rsidRDefault="005757A4" w:rsidP="005757A4">
      <w:r>
        <w:t xml:space="preserve">Of course, clinical issues are highly specific. But rather than having different data structures or concepts for different clinical domains, unique characteristics </w:t>
      </w:r>
      <w:r w:rsidR="000C2541">
        <w:t xml:space="preserve">of </w:t>
      </w:r>
      <w:r w:rsidR="00EC4D43">
        <w:t>illnesses and treatments</w:t>
      </w:r>
      <w:r w:rsidR="000C2541">
        <w:t xml:space="preserve"> can be </w:t>
      </w:r>
      <w:r w:rsidR="000C2541">
        <w:lastRenderedPageBreak/>
        <w:t xml:space="preserve">fully </w:t>
      </w:r>
      <w:r>
        <w:t>represented by patient-specific values that populate rows and columns in a set of condition</w:t>
      </w:r>
      <w:r w:rsidR="000D6A1D">
        <w:t>-</w:t>
      </w:r>
      <w:r>
        <w:t xml:space="preserve">, treatment agnostic data structures, </w:t>
      </w:r>
      <w:r w:rsidR="001E3C0E">
        <w:t>concepts</w:t>
      </w:r>
      <w:r>
        <w:t>, and methodologies. This, in turn, will support mass-production of clinically valid inferences based on application of knowledge to real-world clinical situations.</w:t>
      </w:r>
    </w:p>
    <w:p w14:paraId="7A51048B" w14:textId="2E8F8269" w:rsidR="005757A4" w:rsidRPr="0030641B" w:rsidRDefault="00141304" w:rsidP="005757A4">
      <w:pPr>
        <w:pStyle w:val="Heading1"/>
        <w:rPr>
          <w:rStyle w:val="EndnoteReference"/>
        </w:rPr>
      </w:pPr>
      <w:r>
        <w:t xml:space="preserve">Requirements for a </w:t>
      </w:r>
      <w:r w:rsidR="00294EE6">
        <w:t>Comprehensive Health Care Analytic System</w:t>
      </w:r>
    </w:p>
    <w:p w14:paraId="11283BE4" w14:textId="61C3C8BB" w:rsidR="005757A4" w:rsidRDefault="001100BB" w:rsidP="005757A4">
      <w:pPr>
        <w:rPr>
          <w:bCs/>
        </w:rPr>
      </w:pPr>
      <w:r>
        <w:t>“</w:t>
      </w:r>
      <w:r w:rsidR="005757A4">
        <w:t>P</w:t>
      </w:r>
      <w:r w:rsidR="005757A4" w:rsidRPr="00184956">
        <w:t>atients, doctors, nurses, payers, public health officials, and other government agencies all need better</w:t>
      </w:r>
      <w:r w:rsidR="002C29CC">
        <w:t xml:space="preserve">, </w:t>
      </w:r>
      <w:r w:rsidR="005757A4" w:rsidRPr="00184956">
        <w:t>more timely</w:t>
      </w:r>
      <w:r w:rsidR="005757A4">
        <w:t xml:space="preserve"> </w:t>
      </w:r>
      <w:r w:rsidR="005757A4" w:rsidRPr="00184956">
        <w:t xml:space="preserve">… information if we are to improve. To make a measurable impact, applied clinical analytics must inform these decisions and processes on a mass scale whenever and wherever needed. That is why we need </w:t>
      </w:r>
      <w:r w:rsidR="005757A4" w:rsidRPr="005E685C">
        <w:rPr>
          <w:i/>
          <w:iCs/>
        </w:rPr>
        <w:t>an ongoing health care analytic system</w:t>
      </w:r>
      <w:r w:rsidR="005757A4" w:rsidRPr="00184956">
        <w:t>.</w:t>
      </w:r>
      <w:r w:rsidR="005757A4" w:rsidRPr="00C83C73">
        <w:rPr>
          <w:rStyle w:val="EndnoteReference"/>
        </w:rPr>
        <w:endnoteReference w:id="34"/>
      </w:r>
      <w:r w:rsidR="0061619A">
        <w:rPr>
          <w:bCs/>
        </w:rPr>
        <w:t xml:space="preserve"> </w:t>
      </w:r>
      <w:r w:rsidR="005757A4">
        <w:rPr>
          <w:bCs/>
        </w:rPr>
        <w:t xml:space="preserve">EBM and LHS must be transformed </w:t>
      </w:r>
      <w:r w:rsidR="009E082A">
        <w:rPr>
          <w:bCs/>
        </w:rPr>
        <w:t xml:space="preserve">from </w:t>
      </w:r>
      <w:r w:rsidR="005757A4">
        <w:rPr>
          <w:bCs/>
        </w:rPr>
        <w:t>goals into a working analytic system that can be used and relied upon in everyday care as a trusted source of evidence.</w:t>
      </w:r>
    </w:p>
    <w:p w14:paraId="4F8E42D0" w14:textId="77777777" w:rsidR="005757A4" w:rsidRDefault="005757A4" w:rsidP="005757A4">
      <w:r>
        <w:t>For such a system to be trusted, it must be fully transparent, easily understandable, auditable, and fully validated. Methodologies and data sources must be subject to peer review. And it must be based on methodologically sound statistical and causal inference methods.</w:t>
      </w:r>
      <w:r w:rsidRPr="00911433">
        <w:rPr>
          <w:rStyle w:val="EndnoteReference"/>
        </w:rPr>
        <w:endnoteReference w:id="35"/>
      </w:r>
      <w:r w:rsidRPr="00AB7AEA">
        <w:rPr>
          <w:rStyle w:val="EndnoteReference"/>
        </w:rPr>
        <w:t xml:space="preserve">, </w:t>
      </w:r>
      <w:r w:rsidRPr="00911433">
        <w:rPr>
          <w:rStyle w:val="EndnoteReference"/>
        </w:rPr>
        <w:endnoteReference w:id="36"/>
      </w:r>
      <w:r w:rsidRPr="0030641B">
        <w:rPr>
          <w:rStyle w:val="EndnoteReference"/>
        </w:rPr>
        <w:t xml:space="preserve">, </w:t>
      </w:r>
      <w:r w:rsidRPr="00911433">
        <w:rPr>
          <w:rStyle w:val="EndnoteReference"/>
        </w:rPr>
        <w:endnoteReference w:id="37"/>
      </w:r>
      <w:r>
        <w:t xml:space="preserve">  Moreover, as an ongoing learning system, the analytic system must be easy to maintain and update to incorporate new knowledge, new concepts, new data, and new medical technologies.</w:t>
      </w:r>
    </w:p>
    <w:p w14:paraId="1FA60D1E" w14:textId="01221BE0" w:rsidR="005757A4" w:rsidRPr="00AE307C" w:rsidRDefault="005757A4" w:rsidP="005757A4">
      <w:pPr>
        <w:rPr>
          <w:bCs/>
        </w:rPr>
      </w:pPr>
      <w:r w:rsidRPr="00AE307C">
        <w:rPr>
          <w:bCs/>
        </w:rPr>
        <w:t xml:space="preserve">While artificial intelligence (AI) can play a role, AI cannot </w:t>
      </w:r>
      <w:r>
        <w:rPr>
          <w:bCs/>
        </w:rPr>
        <w:t xml:space="preserve">be the main foundation of the system </w:t>
      </w:r>
      <w:r w:rsidR="00F94ACF">
        <w:rPr>
          <w:bCs/>
        </w:rPr>
        <w:t xml:space="preserve">simply </w:t>
      </w:r>
      <w:r>
        <w:rPr>
          <w:bCs/>
        </w:rPr>
        <w:t xml:space="preserve">because AI by itself cannot create </w:t>
      </w:r>
      <w:r w:rsidRPr="00AE307C">
        <w:rPr>
          <w:bCs/>
        </w:rPr>
        <w:t xml:space="preserve">evidence. Evidence can only be sourced from randomized clinical trials or observational studies that </w:t>
      </w:r>
      <w:r>
        <w:rPr>
          <w:bCs/>
        </w:rPr>
        <w:t xml:space="preserve">use proven </w:t>
      </w:r>
      <w:r w:rsidRPr="00AE307C">
        <w:rPr>
          <w:bCs/>
        </w:rPr>
        <w:t xml:space="preserve">methods to control </w:t>
      </w:r>
      <w:r>
        <w:rPr>
          <w:bCs/>
        </w:rPr>
        <w:t>sources of bias</w:t>
      </w:r>
      <w:r w:rsidRPr="00AE307C">
        <w:rPr>
          <w:bCs/>
        </w:rPr>
        <w:t>.</w:t>
      </w:r>
      <w:r w:rsidRPr="00911433">
        <w:rPr>
          <w:rStyle w:val="EndnoteReference"/>
        </w:rPr>
        <w:endnoteReference w:id="38"/>
      </w:r>
    </w:p>
    <w:p w14:paraId="4051EC6C" w14:textId="4E7209A5" w:rsidR="005757A4" w:rsidRDefault="00534A82" w:rsidP="005757A4">
      <w:r>
        <w:t xml:space="preserve">Note that </w:t>
      </w:r>
      <w:r w:rsidR="005757A4">
        <w:t xml:space="preserve">the system must be based on conceptual framework and data model that enables the system to provide </w:t>
      </w:r>
      <w:r w:rsidR="00587191">
        <w:t xml:space="preserve">internally consistent and </w:t>
      </w:r>
      <w:r w:rsidR="005757A4">
        <w:t xml:space="preserve">methodologically sound answers for a comprehensive range of questions. Otherwise, the resulting complexity will result in a </w:t>
      </w:r>
      <w:r w:rsidR="001100BB">
        <w:t>“</w:t>
      </w:r>
      <w:r w:rsidR="005736AD">
        <w:t>T</w:t>
      </w:r>
      <w:r w:rsidR="005757A4">
        <w:t xml:space="preserve">ower of </w:t>
      </w:r>
      <w:r w:rsidR="005736AD">
        <w:t>B</w:t>
      </w:r>
      <w:r w:rsidR="005757A4">
        <w:t>abel</w:t>
      </w:r>
      <w:r w:rsidR="001100BB">
        <w:t>”</w:t>
      </w:r>
      <w:r w:rsidR="005757A4">
        <w:t xml:space="preserve"> that cannot be </w:t>
      </w:r>
      <w:r w:rsidR="00FF4641">
        <w:t xml:space="preserve">readily </w:t>
      </w:r>
      <w:r w:rsidR="005757A4">
        <w:t>understood, audited</w:t>
      </w:r>
      <w:r w:rsidR="00DD1032">
        <w:t>,</w:t>
      </w:r>
      <w:r w:rsidR="005757A4">
        <w:t xml:space="preserve"> </w:t>
      </w:r>
      <w:r w:rsidR="002C2229">
        <w:t xml:space="preserve">and </w:t>
      </w:r>
      <w:r w:rsidR="005757A4">
        <w:t>maintained.</w:t>
      </w:r>
    </w:p>
    <w:p w14:paraId="21E7D1BD" w14:textId="1F008CB8" w:rsidR="005757A4" w:rsidRDefault="000C5F16" w:rsidP="00EE1A0B">
      <w:r>
        <w:t xml:space="preserve">To </w:t>
      </w:r>
      <w:r w:rsidR="0069774B">
        <w:t>have maximum impact</w:t>
      </w:r>
      <w:r>
        <w:t xml:space="preserve">, the system </w:t>
      </w:r>
      <w:r w:rsidR="005757A4">
        <w:t xml:space="preserve">must be </w:t>
      </w:r>
      <w:r w:rsidR="00251909">
        <w:t xml:space="preserve">designed to </w:t>
      </w:r>
      <w:r w:rsidR="0075649F">
        <w:t xml:space="preserve">provide evidence-based </w:t>
      </w:r>
      <w:r w:rsidR="005757A4">
        <w:t>answer</w:t>
      </w:r>
      <w:r w:rsidR="0075649F">
        <w:t>s</w:t>
      </w:r>
      <w:r w:rsidR="005757A4">
        <w:t xml:space="preserve"> </w:t>
      </w:r>
      <w:r w:rsidR="004E2926">
        <w:t xml:space="preserve">for </w:t>
      </w:r>
      <w:r w:rsidR="005757A4">
        <w:t xml:space="preserve">the </w:t>
      </w:r>
      <w:r w:rsidR="0040549B">
        <w:t>myriad</w:t>
      </w:r>
      <w:r w:rsidR="003A00EF">
        <w:t>s</w:t>
      </w:r>
      <w:r w:rsidR="005757A4">
        <w:t xml:space="preserve"> of questions that arise </w:t>
      </w:r>
      <w:r w:rsidR="00C44CB6">
        <w:t xml:space="preserve">in </w:t>
      </w:r>
      <w:r w:rsidR="005757A4">
        <w:t xml:space="preserve">everyday patient care and </w:t>
      </w:r>
      <w:r w:rsidR="0089263C">
        <w:t xml:space="preserve">in </w:t>
      </w:r>
      <w:r w:rsidR="00351D1B">
        <w:t>improvement initiatives at</w:t>
      </w:r>
      <w:r w:rsidR="005757A4">
        <w:t xml:space="preserve"> organizational, community, or system-wide levels.</w:t>
      </w:r>
      <w:r w:rsidR="004061DF">
        <w:t xml:space="preserve"> </w:t>
      </w:r>
      <w:r w:rsidR="00EF00A6">
        <w:fldChar w:fldCharType="begin"/>
      </w:r>
      <w:r w:rsidR="00EF00A6">
        <w:instrText xml:space="preserve"> REF _Ref192430457 \h </w:instrText>
      </w:r>
      <w:r w:rsidR="00EF00A6">
        <w:fldChar w:fldCharType="separate"/>
      </w:r>
      <w:r w:rsidR="00C92BFF">
        <w:t xml:space="preserve">Supplementary Appendix </w:t>
      </w:r>
      <w:r w:rsidR="00C92BFF">
        <w:rPr>
          <w:noProof/>
        </w:rPr>
        <w:t>1</w:t>
      </w:r>
      <w:r w:rsidR="00EF00A6">
        <w:fldChar w:fldCharType="end"/>
      </w:r>
      <w:r w:rsidR="00D95CB4">
        <w:t xml:space="preserve"> sketches out </w:t>
      </w:r>
      <w:r w:rsidR="00EE1A0B">
        <w:t xml:space="preserve">a compact set of </w:t>
      </w:r>
      <w:r w:rsidR="00172F4D">
        <w:t>b</w:t>
      </w:r>
      <w:r w:rsidR="00172F4D" w:rsidRPr="00172F4D">
        <w:t xml:space="preserve">roader, </w:t>
      </w:r>
      <w:r w:rsidR="00F0376A">
        <w:t xml:space="preserve">more </w:t>
      </w:r>
      <w:r w:rsidR="00172F4D" w:rsidRPr="00172F4D">
        <w:t>abstract</w:t>
      </w:r>
      <w:r w:rsidR="007B6353">
        <w:t>,</w:t>
      </w:r>
      <w:r w:rsidR="00172F4D" w:rsidRPr="00172F4D">
        <w:t xml:space="preserve"> </w:t>
      </w:r>
      <w:r w:rsidR="00F0376A">
        <w:t>high-level</w:t>
      </w:r>
      <w:r w:rsidR="00172F4D" w:rsidRPr="00172F4D">
        <w:t xml:space="preserve"> </w:t>
      </w:r>
      <w:r w:rsidR="007B6353" w:rsidRPr="00172F4D">
        <w:t>questions</w:t>
      </w:r>
      <w:r w:rsidR="007B6353">
        <w:t xml:space="preserve"> </w:t>
      </w:r>
      <w:r w:rsidR="00172F4D" w:rsidRPr="00172F4D">
        <w:t xml:space="preserve">that serve as templates for more specific, detailed </w:t>
      </w:r>
      <w:r w:rsidR="00F0376A">
        <w:t>questions that must be answered, and shows how these questions</w:t>
      </w:r>
      <w:r w:rsidR="00B124AD">
        <w:t xml:space="preserve"> can be answered, using the concepts, methodologies</w:t>
      </w:r>
      <w:r w:rsidR="004E025A">
        <w:t>, components, and data structures</w:t>
      </w:r>
      <w:r w:rsidR="00B124AD">
        <w:t xml:space="preserve"> described in this paper</w:t>
      </w:r>
      <w:r w:rsidR="004143BA">
        <w:t xml:space="preserve">. </w:t>
      </w:r>
      <w:r w:rsidR="00FC7FC4">
        <w:t>T</w:t>
      </w:r>
      <w:r w:rsidR="00727FB0">
        <w:t xml:space="preserve">his </w:t>
      </w:r>
      <w:r w:rsidR="00FC7FC4">
        <w:t>a</w:t>
      </w:r>
      <w:r w:rsidR="00727FB0">
        <w:t xml:space="preserve">ppendix </w:t>
      </w:r>
      <w:r w:rsidR="00FC7FC4">
        <w:t xml:space="preserve">also </w:t>
      </w:r>
      <w:r w:rsidR="007A4613">
        <w:t xml:space="preserve">describes how </w:t>
      </w:r>
      <w:r w:rsidR="00A1437C">
        <w:t xml:space="preserve">these </w:t>
      </w:r>
      <w:r w:rsidR="007A4613">
        <w:t>capabilities can be incrementally enhanced</w:t>
      </w:r>
      <w:r w:rsidR="00FC7FC4">
        <w:t>.</w:t>
      </w:r>
    </w:p>
    <w:p w14:paraId="556605B8" w14:textId="4427DE87" w:rsidR="005757A4" w:rsidRDefault="005757A4" w:rsidP="005757A4">
      <w:pPr>
        <w:pStyle w:val="Heading1"/>
      </w:pPr>
      <w:r>
        <w:t xml:space="preserve">Conceptual </w:t>
      </w:r>
      <w:r w:rsidR="00DE2FE8">
        <w:t>and Analytic Frameworks</w:t>
      </w:r>
    </w:p>
    <w:p w14:paraId="53C880A4" w14:textId="56D0ED52" w:rsidR="00B00F5B" w:rsidRDefault="0045257D" w:rsidP="0033656A">
      <w:r>
        <w:t>T</w:t>
      </w:r>
      <w:r w:rsidR="007B75BA">
        <w:t>o improve outcomes</w:t>
      </w:r>
      <w:r w:rsidR="006C1469">
        <w:t>,</w:t>
      </w:r>
      <w:r w:rsidR="007B75BA">
        <w:t xml:space="preserve"> </w:t>
      </w:r>
      <w:r w:rsidR="00B36136">
        <w:t xml:space="preserve">we need to understand how and why suboptimal </w:t>
      </w:r>
      <w:r w:rsidR="00310A98">
        <w:t xml:space="preserve">care and suboptimal </w:t>
      </w:r>
      <w:r w:rsidR="00B36136">
        <w:t>outcomes occur</w:t>
      </w:r>
      <w:r w:rsidR="00504A21">
        <w:t xml:space="preserve">. </w:t>
      </w:r>
      <w:r w:rsidR="00310A98">
        <w:t xml:space="preserve">For this, we need </w:t>
      </w:r>
      <w:r w:rsidR="00C017E2">
        <w:t xml:space="preserve">an </w:t>
      </w:r>
      <w:r w:rsidR="00E93D4D">
        <w:t xml:space="preserve">updated </w:t>
      </w:r>
      <w:r w:rsidR="009F359C">
        <w:t xml:space="preserve">and expanded </w:t>
      </w:r>
      <w:r w:rsidR="00B922DB" w:rsidRPr="00462D94">
        <w:t>version of Donabedian</w:t>
      </w:r>
      <w:r w:rsidR="00B922DB" w:rsidRPr="00462D94">
        <w:rPr>
          <w:rFonts w:cs="Aptos"/>
        </w:rPr>
        <w:t>’</w:t>
      </w:r>
      <w:r w:rsidR="00B922DB" w:rsidRPr="00462D94">
        <w:t xml:space="preserve">s </w:t>
      </w:r>
      <w:r w:rsidR="00B922DB">
        <w:rPr>
          <w:rFonts w:cs="Aptos"/>
        </w:rPr>
        <w:t>“</w:t>
      </w:r>
      <w:r w:rsidR="00B922DB" w:rsidRPr="00462D94">
        <w:t>structure, process, outcome</w:t>
      </w:r>
      <w:r w:rsidR="00B922DB" w:rsidRPr="00462D94">
        <w:rPr>
          <w:rFonts w:cs="Aptos"/>
        </w:rPr>
        <w:t>”</w:t>
      </w:r>
      <w:r w:rsidR="00B922DB" w:rsidRPr="00462D94">
        <w:t xml:space="preserve"> (SPO) paradigm</w:t>
      </w:r>
      <w:r w:rsidR="00B922DB">
        <w:rPr>
          <w:rStyle w:val="EndnoteReference"/>
        </w:rPr>
        <w:endnoteReference w:id="39"/>
      </w:r>
      <w:r w:rsidR="00B922DB" w:rsidRPr="00462D94">
        <w:t>.</w:t>
      </w:r>
      <w:r w:rsidR="00165978">
        <w:t xml:space="preserve"> </w:t>
      </w:r>
      <w:r w:rsidR="008E0AF9">
        <w:t xml:space="preserve">Two </w:t>
      </w:r>
      <w:r w:rsidR="00B00F5B">
        <w:t xml:space="preserve">major changes are </w:t>
      </w:r>
      <w:r w:rsidR="00E93D4D">
        <w:t xml:space="preserve">included </w:t>
      </w:r>
      <w:r w:rsidR="00B00F5B">
        <w:t xml:space="preserve">in this </w:t>
      </w:r>
      <w:r w:rsidR="009F359C">
        <w:t>version</w:t>
      </w:r>
      <w:r w:rsidR="00B00F5B">
        <w:t>.</w:t>
      </w:r>
    </w:p>
    <w:p w14:paraId="711DB9B8" w14:textId="093DC608" w:rsidR="00A76F7B" w:rsidRDefault="00B922DB" w:rsidP="00C20613">
      <w:r>
        <w:t xml:space="preserve">The </w:t>
      </w:r>
      <w:r w:rsidR="00AE771B">
        <w:t xml:space="preserve">new </w:t>
      </w:r>
      <w:r>
        <w:t xml:space="preserve">version </w:t>
      </w:r>
      <w:r w:rsidR="00CD1E07">
        <w:t xml:space="preserve">of Donabedian’s 1966 </w:t>
      </w:r>
      <w:r w:rsidR="00506305">
        <w:t>framework</w:t>
      </w:r>
      <w:r w:rsidR="00CD1E07">
        <w:t xml:space="preserve"> </w:t>
      </w:r>
      <w:r>
        <w:t xml:space="preserve">incorporates a broader range of “actors” by including patients, families, communities, provider organizations, health insurers, government, and others, a broader range of actions, including self-care by patients and families, and finally a broader range of root causes, including social factors that impact on a patient’s self-care and ability to access clinical care. </w:t>
      </w:r>
      <w:r w:rsidR="00F15FD1">
        <w:t xml:space="preserve">The range of relevant actors (and actions) varies depending on the context and health problems involved. </w:t>
      </w:r>
      <w:r w:rsidR="0023175F">
        <w:t>(</w:t>
      </w:r>
      <w:r w:rsidR="00F15FD1">
        <w:t>For example, in an ICU, the primary actors are the ICU team. At the other extreme, f</w:t>
      </w:r>
      <w:r w:rsidR="00F15FD1" w:rsidRPr="00263474">
        <w:t xml:space="preserve">or most preventive care and </w:t>
      </w:r>
      <w:r w:rsidR="00F15FD1">
        <w:t xml:space="preserve">care for </w:t>
      </w:r>
      <w:r w:rsidR="00F15FD1" w:rsidRPr="00263474">
        <w:t xml:space="preserve">chronic conditions, patients and families </w:t>
      </w:r>
      <w:r w:rsidR="00F15FD1">
        <w:t xml:space="preserve">must </w:t>
      </w:r>
      <w:r w:rsidR="00F15FD1" w:rsidRPr="00263474">
        <w:t>take the lead since they spend 99% of their time outside the doctor’s office—at home, work, or elsewhere</w:t>
      </w:r>
      <w:r w:rsidR="00C20613">
        <w:t xml:space="preserve">. </w:t>
      </w:r>
      <w:r w:rsidR="002F3D2D">
        <w:t xml:space="preserve">For other contexts and problems, other actors </w:t>
      </w:r>
      <w:r w:rsidR="006D34CA">
        <w:t xml:space="preserve">and actions </w:t>
      </w:r>
      <w:r w:rsidR="002F3D2D">
        <w:t xml:space="preserve">are </w:t>
      </w:r>
      <w:r w:rsidR="002E51B0">
        <w:t>relevant,</w:t>
      </w:r>
      <w:r w:rsidR="00D74BC7">
        <w:t xml:space="preserve"> for example </w:t>
      </w:r>
      <w:r w:rsidR="00A71DC2">
        <w:t xml:space="preserve">home health </w:t>
      </w:r>
      <w:r w:rsidR="00CE39E6">
        <w:t>nurses for at home</w:t>
      </w:r>
      <w:r w:rsidR="00986828">
        <w:t xml:space="preserve"> </w:t>
      </w:r>
      <w:r w:rsidR="001971EF">
        <w:t xml:space="preserve">care </w:t>
      </w:r>
      <w:r w:rsidR="00986828">
        <w:t xml:space="preserve">or public health agencies </w:t>
      </w:r>
      <w:r w:rsidR="00C370F9">
        <w:t>for communicable disease</w:t>
      </w:r>
      <w:r w:rsidR="002F3D2D">
        <w:t>.</w:t>
      </w:r>
      <w:r w:rsidR="002A3DBC">
        <w:t>)</w:t>
      </w:r>
      <w:r w:rsidR="002F3D2D">
        <w:t xml:space="preserve"> </w:t>
      </w:r>
    </w:p>
    <w:p w14:paraId="486B4791" w14:textId="7574EC41" w:rsidR="00D9266E" w:rsidRDefault="004016A7" w:rsidP="0033656A">
      <w:r>
        <w:lastRenderedPageBreak/>
        <w:t>T</w:t>
      </w:r>
      <w:r w:rsidR="00987AAB">
        <w:t xml:space="preserve">his </w:t>
      </w:r>
      <w:r w:rsidR="005B7C38">
        <w:t xml:space="preserve">new SPO framework </w:t>
      </w:r>
      <w:r>
        <w:t xml:space="preserve">also adds </w:t>
      </w:r>
      <w:r w:rsidR="005B7C38">
        <w:t>a “generic process of care model</w:t>
      </w:r>
      <w:r w:rsidR="00944E81">
        <w:t>,”</w:t>
      </w:r>
      <w:r w:rsidR="00A03801">
        <w:t xml:space="preserve"> </w:t>
      </w:r>
      <w:r w:rsidR="00C847D6">
        <w:t xml:space="preserve">that specifies a sequence of </w:t>
      </w:r>
      <w:r w:rsidR="00B25F44">
        <w:t xml:space="preserve">high-level </w:t>
      </w:r>
      <w:r w:rsidR="00C847D6">
        <w:t>steps that must be completed successfully on a timely basis</w:t>
      </w:r>
      <w:r w:rsidR="00B25F44">
        <w:t xml:space="preserve"> for optimal outcomes. </w:t>
      </w:r>
      <w:r w:rsidR="008B0CAD">
        <w:t xml:space="preserve">The list is intended to be complete </w:t>
      </w:r>
      <w:r w:rsidR="00415FE8">
        <w:t xml:space="preserve">and comprehensive as </w:t>
      </w:r>
      <w:r w:rsidR="00186577">
        <w:t xml:space="preserve">a high-level </w:t>
      </w:r>
      <w:r w:rsidR="00415FE8">
        <w:t xml:space="preserve">outline for all health </w:t>
      </w:r>
      <w:r w:rsidR="00C13403">
        <w:t xml:space="preserve">problems. </w:t>
      </w:r>
      <w:r w:rsidR="00E47E45">
        <w:t xml:space="preserve">The specific actions </w:t>
      </w:r>
      <w:r w:rsidR="0090741A">
        <w:t>required for a process step vary by health pro</w:t>
      </w:r>
      <w:r w:rsidR="006E6462">
        <w:t>blem, and some steps may be unnecessary for some problems, but not for others</w:t>
      </w:r>
      <w:r w:rsidR="00076A53">
        <w:t xml:space="preserve">. </w:t>
      </w:r>
      <w:r w:rsidR="00877A53">
        <w:t xml:space="preserve">By standardizing the architecture of </w:t>
      </w:r>
      <w:r w:rsidR="002275EF">
        <w:t>care processes</w:t>
      </w:r>
      <w:r w:rsidR="00A30123">
        <w:t xml:space="preserve">, this </w:t>
      </w:r>
      <w:r w:rsidR="007A661B">
        <w:t xml:space="preserve">generic model enhances transparency as to what is being </w:t>
      </w:r>
      <w:r w:rsidR="00EB38B3">
        <w:t xml:space="preserve">required in complex guidelines, facilitates their automated application </w:t>
      </w:r>
      <w:r w:rsidR="00EC7529">
        <w:t>to clinical data, and facilitates analytics to identify and develop new best practices and standards of care.</w:t>
      </w:r>
      <w:r w:rsidR="002E51B0">
        <w:t xml:space="preserve"> </w:t>
      </w:r>
      <w:r w:rsidR="00963A05">
        <w:t xml:space="preserve">(See </w:t>
      </w:r>
      <w:fldSimple w:instr=" REF _Ref192430768 ">
        <w:r w:rsidR="00C92BFF">
          <w:t xml:space="preserve">Supplementary Appendix </w:t>
        </w:r>
        <w:r w:rsidR="00C92BFF">
          <w:rPr>
            <w:noProof/>
          </w:rPr>
          <w:t>2</w:t>
        </w:r>
      </w:fldSimple>
      <w:r w:rsidR="00963A05">
        <w:t>)</w:t>
      </w:r>
    </w:p>
    <w:p w14:paraId="402460E4" w14:textId="2ACC3A0A" w:rsidR="0038028C" w:rsidRDefault="002761CB" w:rsidP="0038028C">
      <w:r>
        <w:t>W</w:t>
      </w:r>
      <w:r w:rsidR="004963B0">
        <w:t xml:space="preserve">e also need </w:t>
      </w:r>
      <w:r w:rsidR="002017EC">
        <w:t>a framework for understanding modeling output in causal terms</w:t>
      </w:r>
      <w:r>
        <w:t xml:space="preserve">. </w:t>
      </w:r>
      <w:r w:rsidR="008742B0">
        <w:t>Modern causal theory provides this guide</w:t>
      </w:r>
      <w:r w:rsidR="00F6699D">
        <w:t xml:space="preserve"> by classifying </w:t>
      </w:r>
      <w:r w:rsidR="004A7588" w:rsidRPr="004A7588">
        <w:t>covariates based on how they influence causal relationships—whether by confounding, mediating, or modifying effects—and provides formal criteria to distinguish among them, guiding proper adjustment strategies.</w:t>
      </w:r>
      <w:r w:rsidR="002B7B07" w:rsidRPr="002B7B07">
        <w:rPr>
          <w:rStyle w:val="EndnoteReference"/>
        </w:rPr>
        <w:t xml:space="preserve"> </w:t>
      </w:r>
      <w:r w:rsidR="002B7B07" w:rsidRPr="00072AFC">
        <w:rPr>
          <w:rStyle w:val="EndnoteReference"/>
        </w:rPr>
        <w:endnoteReference w:id="40"/>
      </w:r>
      <w:r w:rsidR="002B7B07" w:rsidRPr="00072AFC">
        <w:rPr>
          <w:rStyle w:val="EndnoteReference"/>
        </w:rPr>
        <w:t>,</w:t>
      </w:r>
      <w:r w:rsidR="002B7B07">
        <w:t xml:space="preserve"> </w:t>
      </w:r>
      <w:r w:rsidR="002B7B07" w:rsidRPr="00072AFC">
        <w:rPr>
          <w:rStyle w:val="EndnoteReference"/>
        </w:rPr>
        <w:endnoteReference w:id="41"/>
      </w:r>
      <w:r w:rsidR="002B7B07" w:rsidRPr="00072AFC">
        <w:rPr>
          <w:rStyle w:val="EndnoteReference"/>
        </w:rPr>
        <w:t>,</w:t>
      </w:r>
      <w:r w:rsidR="002B7B07">
        <w:t xml:space="preserve"> </w:t>
      </w:r>
      <w:r w:rsidR="002B7B07" w:rsidRPr="00072AFC">
        <w:rPr>
          <w:rStyle w:val="EndnoteReference"/>
        </w:rPr>
        <w:endnoteReference w:id="42"/>
      </w:r>
      <w:r w:rsidR="002B7B07">
        <w:t xml:space="preserve"> </w:t>
      </w:r>
      <w:r w:rsidR="004A7588" w:rsidRPr="004A7588">
        <w:t xml:space="preserve"> </w:t>
      </w:r>
      <w:r w:rsidR="0038028C" w:rsidRPr="00882983">
        <w:t>(</w:t>
      </w:r>
      <w:r w:rsidR="00282417">
        <w:fldChar w:fldCharType="begin"/>
      </w:r>
      <w:r w:rsidR="00282417">
        <w:instrText xml:space="preserve"> REF _Ref193140195 \h </w:instrText>
      </w:r>
      <w:r w:rsidR="00282417">
        <w:fldChar w:fldCharType="separate"/>
      </w:r>
      <w:r w:rsidR="00282417">
        <w:t xml:space="preserve">Supplementary Appendix </w:t>
      </w:r>
      <w:r w:rsidR="00282417">
        <w:rPr>
          <w:noProof/>
        </w:rPr>
        <w:t>5</w:t>
      </w:r>
      <w:r w:rsidR="00282417">
        <w:fldChar w:fldCharType="end"/>
      </w:r>
      <w:r w:rsidR="00C2108F">
        <w:t xml:space="preserve"> </w:t>
      </w:r>
      <w:r w:rsidR="0038028C" w:rsidRPr="00882983">
        <w:t xml:space="preserve">for further </w:t>
      </w:r>
      <w:r w:rsidR="00B84F4E">
        <w:t>details</w:t>
      </w:r>
      <w:r w:rsidR="0038028C" w:rsidRPr="00882983">
        <w:t>.)</w:t>
      </w:r>
    </w:p>
    <w:p w14:paraId="499D5CF8" w14:textId="62DA5580" w:rsidR="005757A4" w:rsidRDefault="00ED0F91" w:rsidP="00ED0F91">
      <w:pPr>
        <w:pStyle w:val="Heading1"/>
      </w:pPr>
      <w:r>
        <w:t>Key</w:t>
      </w:r>
      <w:r w:rsidR="00DD6AD5">
        <w:t xml:space="preserve"> </w:t>
      </w:r>
      <w:r w:rsidR="00CE6B20">
        <w:t xml:space="preserve">System </w:t>
      </w:r>
      <w:r>
        <w:t>Components</w:t>
      </w:r>
    </w:p>
    <w:p w14:paraId="315DEF43" w14:textId="2652D0AE" w:rsidR="00350CF8" w:rsidRDefault="00AF32A6" w:rsidP="007425EF">
      <w:r>
        <w:t>F</w:t>
      </w:r>
      <w:r w:rsidR="001929D5" w:rsidRPr="001929D5">
        <w:t>or a comprehensive system</w:t>
      </w:r>
      <w:r w:rsidR="00177785">
        <w:t xml:space="preserve">, </w:t>
      </w:r>
      <w:r w:rsidR="007B1905">
        <w:t xml:space="preserve">hundreds, if not </w:t>
      </w:r>
      <w:r w:rsidR="00177785">
        <w:t>thou</w:t>
      </w:r>
      <w:r w:rsidR="00915B5E">
        <w:t>sands</w:t>
      </w:r>
      <w:r w:rsidR="007B1905">
        <w:t>,</w:t>
      </w:r>
      <w:r w:rsidR="00915B5E">
        <w:t xml:space="preserve"> of </w:t>
      </w:r>
      <w:r w:rsidR="00C3422F" w:rsidRPr="00C3422F">
        <w:t>explanatory, causal</w:t>
      </w:r>
      <w:r w:rsidR="00ED2E9D">
        <w:t>, and predictive</w:t>
      </w:r>
      <w:r w:rsidR="00C3422F" w:rsidRPr="00C3422F">
        <w:t xml:space="preserve"> </w:t>
      </w:r>
      <w:r w:rsidR="004002A1">
        <w:t xml:space="preserve">models </w:t>
      </w:r>
      <w:r w:rsidR="005E0EDB">
        <w:t xml:space="preserve">must be mass-produced on a </w:t>
      </w:r>
      <w:r w:rsidR="00DE0888">
        <w:t xml:space="preserve">methodologically </w:t>
      </w:r>
      <w:r w:rsidR="00ED6869">
        <w:t xml:space="preserve">sound, </w:t>
      </w:r>
      <w:r w:rsidR="008F7467" w:rsidRPr="008F7467">
        <w:t>comprehensive</w:t>
      </w:r>
      <w:r w:rsidR="00ED6869">
        <w:t>,</w:t>
      </w:r>
      <w:r w:rsidR="00BE28E0">
        <w:t xml:space="preserve"> and </w:t>
      </w:r>
      <w:r w:rsidR="008F7467" w:rsidRPr="008F7467">
        <w:t>internally consistent</w:t>
      </w:r>
      <w:r w:rsidR="00BE28E0">
        <w:t xml:space="preserve"> </w:t>
      </w:r>
      <w:r w:rsidR="00DE2749">
        <w:t>basis</w:t>
      </w:r>
      <w:r w:rsidR="004143BA">
        <w:t xml:space="preserve">. </w:t>
      </w:r>
      <w:r w:rsidR="00370A8E">
        <w:t>How can this be done</w:t>
      </w:r>
      <w:r w:rsidR="00E42325" w:rsidRPr="008F7467">
        <w:t>?</w:t>
      </w:r>
      <w:r w:rsidR="00E42325">
        <w:t xml:space="preserve"> </w:t>
      </w:r>
      <w:r w:rsidR="000A1FA6" w:rsidRPr="00EC4925">
        <w:rPr>
          <w:i/>
          <w:iCs/>
        </w:rPr>
        <w:t xml:space="preserve">The key is to combine observational data with </w:t>
      </w:r>
      <w:r w:rsidR="00F62BCD">
        <w:rPr>
          <w:i/>
          <w:iCs/>
        </w:rPr>
        <w:t xml:space="preserve">‘machine-readable’ </w:t>
      </w:r>
      <w:r w:rsidR="000A1FA6" w:rsidRPr="00EC4925">
        <w:rPr>
          <w:i/>
          <w:iCs/>
        </w:rPr>
        <w:t xml:space="preserve">clinical knowledge to </w:t>
      </w:r>
      <w:r w:rsidR="004E37E5">
        <w:rPr>
          <w:i/>
          <w:iCs/>
        </w:rPr>
        <w:t xml:space="preserve">build </w:t>
      </w:r>
      <w:r w:rsidR="000A1FA6" w:rsidRPr="00EC4925">
        <w:rPr>
          <w:i/>
          <w:iCs/>
        </w:rPr>
        <w:t>data files that anticipate, standardize, and automate SPO-based analysis and modeling</w:t>
      </w:r>
      <w:r w:rsidR="000A1FA6" w:rsidRPr="000A1FA6">
        <w:t xml:space="preserve">. </w:t>
      </w:r>
    </w:p>
    <w:p w14:paraId="56C0F3DB" w14:textId="210634F8" w:rsidR="00D96846" w:rsidRPr="005E676E" w:rsidRDefault="00371946" w:rsidP="007425EF">
      <w:r>
        <w:t xml:space="preserve">The </w:t>
      </w:r>
      <w:r w:rsidRPr="00371946">
        <w:rPr>
          <w:i/>
          <w:iCs/>
        </w:rPr>
        <w:t>’analytic patient history’</w:t>
      </w:r>
      <w:r>
        <w:rPr>
          <w:i/>
          <w:iCs/>
        </w:rPr>
        <w:t xml:space="preserve"> </w:t>
      </w:r>
      <w:r w:rsidRPr="00793F73">
        <w:t xml:space="preserve">is </w:t>
      </w:r>
      <w:r w:rsidR="00CE6B20">
        <w:t xml:space="preserve">one </w:t>
      </w:r>
      <w:r w:rsidR="00067292">
        <w:t xml:space="preserve">of three key </w:t>
      </w:r>
      <w:r w:rsidR="00CE6B20">
        <w:t xml:space="preserve">system </w:t>
      </w:r>
      <w:r w:rsidR="00067292">
        <w:t>components</w:t>
      </w:r>
      <w:r w:rsidR="004143BA">
        <w:t xml:space="preserve">. </w:t>
      </w:r>
      <w:r w:rsidR="00067292">
        <w:t xml:space="preserve">This history </w:t>
      </w:r>
      <w:r w:rsidR="002275EF" w:rsidRPr="00793F73">
        <w:t>is a set</w:t>
      </w:r>
      <w:r w:rsidRPr="00793F73">
        <w:t xml:space="preserve"> of data tables that </w:t>
      </w:r>
      <w:r w:rsidR="00595407" w:rsidRPr="00793F73">
        <w:t>integrates clinical knowledge with observational data</w:t>
      </w:r>
      <w:r w:rsidR="000015B6" w:rsidRPr="00793F73">
        <w:t xml:space="preserve"> and serves as input for automated model building</w:t>
      </w:r>
      <w:r w:rsidR="00793F73" w:rsidRPr="00793F73">
        <w:t>.</w:t>
      </w:r>
      <w:r w:rsidR="00793F73">
        <w:t xml:space="preserve"> </w:t>
      </w:r>
      <w:r w:rsidR="00D25F13">
        <w:t xml:space="preserve">One </w:t>
      </w:r>
      <w:r w:rsidR="00DC220C">
        <w:t xml:space="preserve">set </w:t>
      </w:r>
      <w:r w:rsidR="00D25F13">
        <w:t xml:space="preserve">of </w:t>
      </w:r>
      <w:r w:rsidR="005E676E">
        <w:t xml:space="preserve">tables </w:t>
      </w:r>
      <w:r w:rsidR="00DF14CE">
        <w:t>tracks changes in a person’s health problems</w:t>
      </w:r>
      <w:r w:rsidR="00CB2FD1">
        <w:t xml:space="preserve"> </w:t>
      </w:r>
      <w:r w:rsidR="00F61B92">
        <w:t xml:space="preserve">while </w:t>
      </w:r>
      <w:r w:rsidR="008A22C0">
        <w:t>a second set</w:t>
      </w:r>
      <w:r w:rsidR="00F61B92">
        <w:t xml:space="preserve"> maps all care for a </w:t>
      </w:r>
      <w:r w:rsidR="003D111D">
        <w:t xml:space="preserve">health </w:t>
      </w:r>
      <w:r w:rsidR="00F61B92">
        <w:t xml:space="preserve">problem (including self-care) into a </w:t>
      </w:r>
      <w:r w:rsidR="003D111D">
        <w:t xml:space="preserve">sequence </w:t>
      </w:r>
      <w:r w:rsidR="00046A5A">
        <w:t xml:space="preserve">of </w:t>
      </w:r>
      <w:r w:rsidR="00A2448F">
        <w:t xml:space="preserve">process of care </w:t>
      </w:r>
      <w:r w:rsidR="00046A5A">
        <w:t>steps</w:t>
      </w:r>
      <w:r w:rsidR="00BF7620">
        <w:t xml:space="preserve"> with a</w:t>
      </w:r>
      <w:r w:rsidR="00282BC8">
        <w:t>n identified</w:t>
      </w:r>
      <w:r w:rsidR="003336DD">
        <w:t xml:space="preserve"> </w:t>
      </w:r>
      <w:r w:rsidR="001100BB">
        <w:t>“</w:t>
      </w:r>
      <w:r w:rsidR="00BF7620">
        <w:t>best practice</w:t>
      </w:r>
      <w:r w:rsidR="001100BB">
        <w:t>”</w:t>
      </w:r>
      <w:r w:rsidR="00BF7620">
        <w:t xml:space="preserve"> for each </w:t>
      </w:r>
      <w:r w:rsidR="005C229A">
        <w:t>(if known)</w:t>
      </w:r>
      <w:r w:rsidR="00E42325">
        <w:t xml:space="preserve">. </w:t>
      </w:r>
      <w:r w:rsidR="003C722F">
        <w:t>Together these tables can</w:t>
      </w:r>
      <w:r w:rsidR="005C229A">
        <w:t xml:space="preserve"> </w:t>
      </w:r>
      <w:r w:rsidR="00BF7620">
        <w:t xml:space="preserve">identify </w:t>
      </w:r>
      <w:r w:rsidR="00F61B92">
        <w:t xml:space="preserve">all variances between actual and recommended care </w:t>
      </w:r>
      <w:r w:rsidR="00254914">
        <w:t xml:space="preserve">and the resulting health </w:t>
      </w:r>
      <w:r w:rsidR="00AA2887">
        <w:t>impact</w:t>
      </w:r>
      <w:r w:rsidR="00AF07DD">
        <w:t xml:space="preserve"> </w:t>
      </w:r>
      <w:r w:rsidR="00F61B92">
        <w:t xml:space="preserve">for </w:t>
      </w:r>
      <w:r w:rsidR="00F61B92" w:rsidRPr="00A6033B">
        <w:rPr>
          <w:i/>
          <w:iCs/>
        </w:rPr>
        <w:t>each problem and step</w:t>
      </w:r>
      <w:r w:rsidR="00E42325">
        <w:rPr>
          <w:i/>
          <w:iCs/>
        </w:rPr>
        <w:t xml:space="preserve">. </w:t>
      </w:r>
      <w:r w:rsidR="00385B53" w:rsidRPr="00385B53">
        <w:t>A third</w:t>
      </w:r>
      <w:r w:rsidR="00385B53">
        <w:rPr>
          <w:i/>
          <w:iCs/>
        </w:rPr>
        <w:t xml:space="preserve"> </w:t>
      </w:r>
      <w:r w:rsidR="00385B53">
        <w:t xml:space="preserve">set of </w:t>
      </w:r>
      <w:r w:rsidR="00F1553F">
        <w:t xml:space="preserve">tables </w:t>
      </w:r>
      <w:r w:rsidR="00385B53">
        <w:t>identifies patient-</w:t>
      </w:r>
      <w:r w:rsidR="00F1553F">
        <w:t xml:space="preserve"> and clinician-related </w:t>
      </w:r>
      <w:r w:rsidR="00385B53">
        <w:t xml:space="preserve">factors </w:t>
      </w:r>
      <w:r w:rsidR="007425EF">
        <w:t>(“root causes) that are barriers to optimal care</w:t>
      </w:r>
      <w:r w:rsidR="00E42325">
        <w:t xml:space="preserve">. </w:t>
      </w:r>
      <w:r w:rsidR="00E467AC">
        <w:t xml:space="preserve">When </w:t>
      </w:r>
      <w:r w:rsidR="004F5F24">
        <w:t xml:space="preserve">used together </w:t>
      </w:r>
      <w:r w:rsidR="00E467AC">
        <w:t xml:space="preserve">these tables </w:t>
      </w:r>
      <w:r w:rsidR="004F5F24">
        <w:t xml:space="preserve">can </w:t>
      </w:r>
      <w:r w:rsidR="0095215D">
        <w:t xml:space="preserve">identify </w:t>
      </w:r>
      <w:r w:rsidR="00BC5B67">
        <w:t xml:space="preserve">the </w:t>
      </w:r>
      <w:r w:rsidR="0095215D">
        <w:t xml:space="preserve">root causes responsible for suboptimal processes </w:t>
      </w:r>
      <w:r w:rsidR="00EA233F">
        <w:t xml:space="preserve">that result in </w:t>
      </w:r>
      <w:r w:rsidR="0095215D">
        <w:t>suboptimal outcomes.</w:t>
      </w:r>
      <w:r w:rsidR="001924B8">
        <w:t xml:space="preserve"> </w:t>
      </w:r>
      <w:r w:rsidR="00A64A08">
        <w:t xml:space="preserve">(See </w:t>
      </w:r>
      <w:r w:rsidR="00A64A08">
        <w:fldChar w:fldCharType="begin"/>
      </w:r>
      <w:r w:rsidR="00A64A08">
        <w:instrText xml:space="preserve"> REF _Ref192430993 \h </w:instrText>
      </w:r>
      <w:r w:rsidR="00A64A08">
        <w:fldChar w:fldCharType="separate"/>
      </w:r>
      <w:r w:rsidR="00C92BFF">
        <w:t xml:space="preserve">Supplementary Appendix </w:t>
      </w:r>
      <w:r w:rsidR="00C92BFF">
        <w:rPr>
          <w:noProof/>
        </w:rPr>
        <w:t>6</w:t>
      </w:r>
      <w:r w:rsidR="00A64A08">
        <w:fldChar w:fldCharType="end"/>
      </w:r>
      <w:r w:rsidR="00A64A08">
        <w:t>, “Analytic Patient History”.)</w:t>
      </w:r>
    </w:p>
    <w:p w14:paraId="166F12F1" w14:textId="5E0F4D42" w:rsidR="00C73B48" w:rsidRDefault="004308E0" w:rsidP="00F61B92">
      <w:r>
        <w:t xml:space="preserve">Categories of suboptimal outcomes </w:t>
      </w:r>
      <w:r w:rsidR="00422842">
        <w:t xml:space="preserve">that can be identified </w:t>
      </w:r>
      <w:r>
        <w:t xml:space="preserve">include: (1) new conditions that could have been prevented, (2) symptoms, or disabilities resulting from an illness or injury that could have been shortened in duration or better controlled, (3) acute exacerbations or progression in disease stage that could have been prevented, and (4) complications of illness or treatment that could have been prevented. </w:t>
      </w:r>
      <w:r w:rsidR="005A795A">
        <w:t>Categories of suboptimal resource use</w:t>
      </w:r>
      <w:r w:rsidR="00A13CC2" w:rsidRPr="00A13CC2">
        <w:t xml:space="preserve"> include: (1) care required due to preventable adverse outcomes, (2) costlier treatments when safer, equally effective alternatives exist, and (3) care with little or no benefit. The data tables also help identify (1) diagnostic delays and errors and (2) cascading complications and their impact on health and resource use.</w:t>
      </w:r>
    </w:p>
    <w:p w14:paraId="3DF1EAAB" w14:textId="71BF942F" w:rsidR="005757A4" w:rsidRDefault="005757A4" w:rsidP="005757A4">
      <w:r>
        <w:t xml:space="preserve">Through this approach, a comprehensive set of </w:t>
      </w:r>
      <w:r w:rsidR="00C9084B">
        <w:t xml:space="preserve">avoidable </w:t>
      </w:r>
      <w:r>
        <w:t xml:space="preserve">adverse outcomes </w:t>
      </w:r>
      <w:r w:rsidR="00C9084B">
        <w:t>can be identified at a patient, cohort, or population level along with causative suboptimal processes and patient and clinician-related root causes</w:t>
      </w:r>
      <w:r w:rsidR="00A4646F">
        <w:t>.</w:t>
      </w:r>
      <w:r w:rsidR="001C4DE1">
        <w:t xml:space="preserve"> </w:t>
      </w:r>
      <w:r>
        <w:t>This information, in turn, can be used to identify care improvement priorities</w:t>
      </w:r>
      <w:r w:rsidR="008E0AF0">
        <w:t xml:space="preserve"> and </w:t>
      </w:r>
      <w:r w:rsidR="001100BB">
        <w:t>“</w:t>
      </w:r>
      <w:r w:rsidR="008E0AF0">
        <w:t>corrective interventions</w:t>
      </w:r>
      <w:r w:rsidR="006A54C5">
        <w:t>.”</w:t>
      </w:r>
      <w:r>
        <w:t xml:space="preserve"> Moreover, the resulting data set would be well-organized to accelerate </w:t>
      </w:r>
      <w:r w:rsidR="00FE3D6D">
        <w:t>the development</w:t>
      </w:r>
      <w:r>
        <w:t xml:space="preserve"> of </w:t>
      </w:r>
      <w:r w:rsidR="00AA0A50">
        <w:t xml:space="preserve">new </w:t>
      </w:r>
      <w:r w:rsidR="004A1AB2">
        <w:t>bes</w:t>
      </w:r>
      <w:r w:rsidR="00D02E43">
        <w:t>t</w:t>
      </w:r>
      <w:r w:rsidR="00686453">
        <w:t>-</w:t>
      </w:r>
      <w:r w:rsidR="00D02E43">
        <w:t>practice</w:t>
      </w:r>
      <w:r>
        <w:t xml:space="preserve"> standards to fill the highest priority gaps. </w:t>
      </w:r>
      <w:r w:rsidRPr="00882983">
        <w:t xml:space="preserve">(See </w:t>
      </w:r>
      <w:fldSimple w:instr=" REF _Ref192430834 ">
        <w:r w:rsidR="00C92BFF">
          <w:t xml:space="preserve">Supplementary Appendix </w:t>
        </w:r>
        <w:r w:rsidR="00C92BFF">
          <w:rPr>
            <w:noProof/>
          </w:rPr>
          <w:t>3</w:t>
        </w:r>
      </w:fldSimple>
      <w:r w:rsidR="008C7DFA">
        <w:t xml:space="preserve"> </w:t>
      </w:r>
      <w:r w:rsidRPr="00882983">
        <w:t xml:space="preserve">for further discussion </w:t>
      </w:r>
      <w:r>
        <w:t xml:space="preserve">on </w:t>
      </w:r>
      <w:r w:rsidRPr="00882983">
        <w:t>prioritization.)</w:t>
      </w:r>
    </w:p>
    <w:p w14:paraId="69EE112C" w14:textId="61E6EEA8" w:rsidR="00374F7F" w:rsidRDefault="00FE6782" w:rsidP="00B60F1E">
      <w:r>
        <w:rPr>
          <w:i/>
          <w:iCs/>
        </w:rPr>
        <w:t xml:space="preserve">A set of </w:t>
      </w:r>
      <w:r w:rsidR="00A3218D" w:rsidRPr="00FE6782">
        <w:rPr>
          <w:i/>
          <w:iCs/>
        </w:rPr>
        <w:t>‘</w:t>
      </w:r>
      <w:r>
        <w:rPr>
          <w:i/>
          <w:iCs/>
        </w:rPr>
        <w:t>m</w:t>
      </w:r>
      <w:r w:rsidR="00A3218D" w:rsidRPr="00FE6782">
        <w:rPr>
          <w:i/>
          <w:iCs/>
        </w:rPr>
        <w:t>achine-readable’ clinical knowledge</w:t>
      </w:r>
      <w:r w:rsidR="00D54C6F" w:rsidRPr="00FE6782">
        <w:rPr>
          <w:i/>
          <w:iCs/>
        </w:rPr>
        <w:t xml:space="preserve"> </w:t>
      </w:r>
      <w:r w:rsidR="00DC6151" w:rsidRPr="00FE6782">
        <w:rPr>
          <w:i/>
          <w:iCs/>
        </w:rPr>
        <w:t xml:space="preserve">is </w:t>
      </w:r>
      <w:r w:rsidR="00CE6B20">
        <w:rPr>
          <w:i/>
          <w:iCs/>
        </w:rPr>
        <w:t xml:space="preserve">a second </w:t>
      </w:r>
      <w:r w:rsidR="00DC333D">
        <w:rPr>
          <w:i/>
          <w:iCs/>
        </w:rPr>
        <w:t>key</w:t>
      </w:r>
      <w:r w:rsidR="00E61D1D">
        <w:rPr>
          <w:i/>
          <w:iCs/>
        </w:rPr>
        <w:t xml:space="preserve"> component</w:t>
      </w:r>
      <w:r w:rsidR="004143BA">
        <w:rPr>
          <w:i/>
          <w:iCs/>
        </w:rPr>
        <w:t xml:space="preserve">. </w:t>
      </w:r>
      <w:r w:rsidR="00503955">
        <w:t xml:space="preserve">Four </w:t>
      </w:r>
      <w:r w:rsidR="00C15D0E" w:rsidRPr="00C15D0E">
        <w:t xml:space="preserve">types of </w:t>
      </w:r>
      <w:r w:rsidR="002F78DE">
        <w:t xml:space="preserve">knowledge </w:t>
      </w:r>
      <w:r w:rsidR="003F6CBC" w:rsidRPr="004516F8">
        <w:rPr>
          <w:i/>
          <w:iCs/>
        </w:rPr>
        <w:t>relation</w:t>
      </w:r>
      <w:r w:rsidR="006D77D9" w:rsidRPr="004516F8">
        <w:rPr>
          <w:i/>
          <w:iCs/>
        </w:rPr>
        <w:t>ships</w:t>
      </w:r>
      <w:r w:rsidR="006D77D9">
        <w:t xml:space="preserve"> </w:t>
      </w:r>
      <w:r w:rsidR="00C15D0E" w:rsidRPr="00C15D0E">
        <w:t xml:space="preserve">are </w:t>
      </w:r>
      <w:r w:rsidR="007409C1">
        <w:t>needed</w:t>
      </w:r>
      <w:r w:rsidR="00BD501C">
        <w:t xml:space="preserve"> for constructing the </w:t>
      </w:r>
      <w:r w:rsidR="00C00166">
        <w:t>analytic patient history</w:t>
      </w:r>
      <w:r w:rsidR="00C15D0E" w:rsidRPr="00C15D0E">
        <w:t xml:space="preserve">: </w:t>
      </w:r>
      <w:r w:rsidR="00C15D0E" w:rsidRPr="00A71D7F">
        <w:rPr>
          <w:i/>
          <w:iCs/>
        </w:rPr>
        <w:t>causal</w:t>
      </w:r>
      <w:r w:rsidR="00C15D0E" w:rsidRPr="00C15D0E">
        <w:t xml:space="preserve"> (e.g., </w:t>
      </w:r>
      <w:r w:rsidR="00C15D0E" w:rsidRPr="00C15D0E">
        <w:lastRenderedPageBreak/>
        <w:t xml:space="preserve">pneumonia can cause sepsis), </w:t>
      </w:r>
      <w:r w:rsidR="00C15D0E" w:rsidRPr="00A71D7F">
        <w:rPr>
          <w:i/>
          <w:iCs/>
        </w:rPr>
        <w:t>recognized use</w:t>
      </w:r>
      <w:r w:rsidR="00C15D0E" w:rsidRPr="00C15D0E">
        <w:t xml:space="preserve"> (e.g., a chest X-ray </w:t>
      </w:r>
      <w:r w:rsidR="009F31AA">
        <w:t>can be</w:t>
      </w:r>
      <w:r w:rsidR="00C15D0E" w:rsidRPr="00C15D0E">
        <w:t xml:space="preserve"> used to diagnose pneumonia), </w:t>
      </w:r>
      <w:r w:rsidR="009E2FD0" w:rsidRPr="008A3420">
        <w:rPr>
          <w:i/>
          <w:iCs/>
        </w:rPr>
        <w:t xml:space="preserve">principal </w:t>
      </w:r>
      <w:r w:rsidR="00EE7AF7" w:rsidRPr="008A3420">
        <w:rPr>
          <w:i/>
          <w:iCs/>
        </w:rPr>
        <w:t>/</w:t>
      </w:r>
      <w:r w:rsidR="009E2FD0" w:rsidRPr="008A3420">
        <w:rPr>
          <w:i/>
          <w:iCs/>
        </w:rPr>
        <w:t xml:space="preserve"> </w:t>
      </w:r>
      <w:r w:rsidR="00EE7AF7" w:rsidRPr="008A3420">
        <w:rPr>
          <w:i/>
          <w:iCs/>
        </w:rPr>
        <w:t>supporting</w:t>
      </w:r>
      <w:r w:rsidR="001B0539" w:rsidRPr="008A3420">
        <w:rPr>
          <w:i/>
          <w:iCs/>
        </w:rPr>
        <w:t xml:space="preserve"> service</w:t>
      </w:r>
      <w:r w:rsidR="001B0539">
        <w:t xml:space="preserve"> </w:t>
      </w:r>
      <w:r w:rsidR="00C15D0E" w:rsidRPr="00C15D0E">
        <w:t>(e.g., anesthesia is a supporting service for surgery)</w:t>
      </w:r>
      <w:r w:rsidR="00374F7F">
        <w:t xml:space="preserve">, and </w:t>
      </w:r>
      <w:r w:rsidR="00374F7F" w:rsidRPr="001D4BEC">
        <w:rPr>
          <w:i/>
          <w:iCs/>
        </w:rPr>
        <w:t>clinical best practice</w:t>
      </w:r>
      <w:r w:rsidR="00F707C2">
        <w:t xml:space="preserve"> (e.g., routine use of some type</w:t>
      </w:r>
      <w:r w:rsidR="00A01C96">
        <w:t xml:space="preserve"> prophylaxis to prevent venous thrombosis after hip</w:t>
      </w:r>
      <w:r w:rsidR="009B39FF">
        <w:t xml:space="preserve"> replacement).</w:t>
      </w:r>
    </w:p>
    <w:p w14:paraId="48ADB6BF" w14:textId="591C80D1" w:rsidR="00F47B63" w:rsidRDefault="004C6C3F" w:rsidP="00B60F1E">
      <w:r w:rsidRPr="006B5EBB">
        <w:t xml:space="preserve">While some </w:t>
      </w:r>
      <w:r w:rsidR="00302D24">
        <w:t xml:space="preserve">limited </w:t>
      </w:r>
      <w:r w:rsidRPr="006B5EBB">
        <w:t xml:space="preserve">resources </w:t>
      </w:r>
      <w:r w:rsidR="003728A8">
        <w:t>exist</w:t>
      </w:r>
      <w:r w:rsidRPr="006B5EBB">
        <w:t xml:space="preserve">, </w:t>
      </w:r>
      <w:r w:rsidR="00E735A7">
        <w:t xml:space="preserve">we are unaware of </w:t>
      </w:r>
      <w:r w:rsidR="00273314">
        <w:t xml:space="preserve">a </w:t>
      </w:r>
      <w:r w:rsidR="00573A30">
        <w:t xml:space="preserve">publicly available </w:t>
      </w:r>
      <w:r w:rsidR="00A01F91">
        <w:t>resource that encodes these relationships in machine-readable form that is both systematic and comprehensive</w:t>
      </w:r>
      <w:r w:rsidRPr="006B5EBB">
        <w:t>.</w:t>
      </w:r>
      <w:r w:rsidR="00697EB0">
        <w:rPr>
          <w:rStyle w:val="EndnoteReference"/>
        </w:rPr>
        <w:endnoteReference w:id="43"/>
      </w:r>
      <w:r w:rsidR="00B75F72">
        <w:t xml:space="preserve"> </w:t>
      </w:r>
      <w:r w:rsidR="004E3500">
        <w:t>T</w:t>
      </w:r>
      <w:r w:rsidR="002C5359" w:rsidRPr="002C5359">
        <w:t xml:space="preserve">his gap can be rapidly </w:t>
      </w:r>
      <w:r w:rsidR="00FA3093">
        <w:t xml:space="preserve">filled </w:t>
      </w:r>
      <w:r w:rsidR="002C5359" w:rsidRPr="002C5359">
        <w:t>by mining observational data to develop a comprehensive list of 'candidate relationships.' These can then be reviewed for completeness and validity using large language models on a mass production basis. In our previous studies (unpublished data), we have developed and tested this approach</w:t>
      </w:r>
      <w:r w:rsidR="004143BA" w:rsidRPr="002C5359">
        <w:t>.</w:t>
      </w:r>
      <w:r w:rsidR="004143BA">
        <w:t xml:space="preserve"> </w:t>
      </w:r>
      <w:r w:rsidR="009D0168">
        <w:t>C</w:t>
      </w:r>
      <w:r w:rsidR="00403CD8">
        <w:t xml:space="preserve">ausal discovery methods </w:t>
      </w:r>
      <w:r w:rsidR="004143BA">
        <w:t>can also</w:t>
      </w:r>
      <w:r w:rsidR="00FD2A24">
        <w:t xml:space="preserve"> </w:t>
      </w:r>
      <w:r w:rsidR="009D0168">
        <w:t>be used</w:t>
      </w:r>
      <w:r w:rsidR="004143BA">
        <w:t xml:space="preserve">. </w:t>
      </w:r>
      <w:r w:rsidR="00510FA3">
        <w:t>Additional</w:t>
      </w:r>
      <w:r w:rsidR="00F32E84">
        <w:t xml:space="preserve">ly, relationships can be validated by an </w:t>
      </w:r>
      <w:r w:rsidR="0000231B">
        <w:t xml:space="preserve">expert </w:t>
      </w:r>
      <w:r w:rsidR="00780992">
        <w:t>review</w:t>
      </w:r>
      <w:r w:rsidR="00F26687" w:rsidRPr="00F26687">
        <w:t xml:space="preserve"> process akin to Wikipedia's crowdsourced editing model</w:t>
      </w:r>
      <w:r w:rsidR="004143BA">
        <w:t xml:space="preserve">. </w:t>
      </w:r>
    </w:p>
    <w:p w14:paraId="78D2CF49" w14:textId="49E91061" w:rsidR="008D4FF7" w:rsidRDefault="00DE2B69" w:rsidP="00B60F1E">
      <w:r>
        <w:t xml:space="preserve">Indeed, providing </w:t>
      </w:r>
      <w:r w:rsidR="00D10A9F">
        <w:t xml:space="preserve">a comprehensive </w:t>
      </w:r>
      <w:r w:rsidR="00DB7A45">
        <w:t xml:space="preserve">and publicly accessible </w:t>
      </w:r>
      <w:r w:rsidR="00D10A9F">
        <w:t xml:space="preserve">set of clinical knowledge relationships </w:t>
      </w:r>
      <w:r w:rsidR="000154C0">
        <w:t xml:space="preserve">would be a key deliverable for a project to build </w:t>
      </w:r>
      <w:r w:rsidR="00F47B63">
        <w:t>the proposed comprehensive health care analytic system.</w:t>
      </w:r>
      <w:r w:rsidR="00624F9F">
        <w:t xml:space="preserve"> </w:t>
      </w:r>
      <w:r w:rsidR="00E339AD">
        <w:t xml:space="preserve">This knowledge database would be linked to other components of the system and would thereby allow identification of key knowledge </w:t>
      </w:r>
      <w:r w:rsidR="00AE17CE">
        <w:t>gaps,</w:t>
      </w:r>
      <w:r w:rsidR="00D10961">
        <w:t xml:space="preserve"> and their </w:t>
      </w:r>
      <w:r w:rsidR="00CD162D">
        <w:t xml:space="preserve">systematic </w:t>
      </w:r>
      <w:r w:rsidR="00D10961">
        <w:t xml:space="preserve">prioritization of closing </w:t>
      </w:r>
      <w:r w:rsidR="00CD162D">
        <w:t xml:space="preserve">identified gaps </w:t>
      </w:r>
      <w:r w:rsidR="00D10961">
        <w:t xml:space="preserve">in terms of potential </w:t>
      </w:r>
      <w:r w:rsidR="00CD162D">
        <w:t>favorable impact on health outcomes and resource use</w:t>
      </w:r>
      <w:r w:rsidR="004143BA">
        <w:t xml:space="preserve">. </w:t>
      </w:r>
    </w:p>
    <w:p w14:paraId="0FC14F67" w14:textId="5F107AD8" w:rsidR="006D78B2" w:rsidRDefault="00C310B1" w:rsidP="000E2E8D">
      <w:r>
        <w:t xml:space="preserve">We further envision that this </w:t>
      </w:r>
      <w:r w:rsidR="000E2E8D">
        <w:t xml:space="preserve">knowledge </w:t>
      </w:r>
      <w:r>
        <w:t xml:space="preserve">repository </w:t>
      </w:r>
      <w:r w:rsidR="001273E0">
        <w:t xml:space="preserve">would include additional categories of </w:t>
      </w:r>
      <w:r w:rsidR="00F67A70">
        <w:t>relationships between concept pairs</w:t>
      </w:r>
      <w:r w:rsidR="00FA7541">
        <w:t>, such as semantic relationships</w:t>
      </w:r>
      <w:r w:rsidR="00681296">
        <w:t xml:space="preserve">, and </w:t>
      </w:r>
      <w:r w:rsidR="000E2E8D">
        <w:t xml:space="preserve">would also include </w:t>
      </w:r>
      <w:r w:rsidR="00586519">
        <w:t>classification of covariates</w:t>
      </w:r>
      <w:r w:rsidR="00701264">
        <w:t xml:space="preserve"> </w:t>
      </w:r>
      <w:r w:rsidR="009874C7">
        <w:t xml:space="preserve">using the typology developed as part of modern causal theory. </w:t>
      </w:r>
      <w:r w:rsidR="00B64C9F">
        <w:t xml:space="preserve">(See </w:t>
      </w:r>
      <w:fldSimple w:instr=" REF _Ref192430834 ">
        <w:r w:rsidR="00C92BFF">
          <w:t xml:space="preserve">Supplementary Appendix </w:t>
        </w:r>
        <w:r w:rsidR="00C92BFF">
          <w:rPr>
            <w:noProof/>
          </w:rPr>
          <w:t>3</w:t>
        </w:r>
      </w:fldSimple>
      <w:r w:rsidR="00B64C9F">
        <w:t xml:space="preserve"> for further details on the proposed knowledge repository.)</w:t>
      </w:r>
    </w:p>
    <w:p w14:paraId="0ABF6B1A" w14:textId="76DD75D2" w:rsidR="001F096F" w:rsidRDefault="001F096F" w:rsidP="00B60F1E">
      <w:r w:rsidRPr="00A35ED2">
        <w:rPr>
          <w:i/>
          <w:iCs/>
        </w:rPr>
        <w:t xml:space="preserve">A third </w:t>
      </w:r>
      <w:r w:rsidR="00DC37CB" w:rsidRPr="00A35ED2">
        <w:rPr>
          <w:i/>
          <w:iCs/>
        </w:rPr>
        <w:t>system</w:t>
      </w:r>
      <w:r w:rsidRPr="00A35ED2">
        <w:rPr>
          <w:i/>
          <w:iCs/>
        </w:rPr>
        <w:t xml:space="preserve"> component </w:t>
      </w:r>
      <w:r w:rsidR="00650589" w:rsidRPr="00A35ED2">
        <w:rPr>
          <w:i/>
          <w:iCs/>
        </w:rPr>
        <w:t xml:space="preserve">is </w:t>
      </w:r>
      <w:r w:rsidR="00C004F9">
        <w:rPr>
          <w:i/>
          <w:iCs/>
        </w:rPr>
        <w:t xml:space="preserve">a </w:t>
      </w:r>
      <w:r w:rsidR="005350B0" w:rsidRPr="00A35ED2">
        <w:rPr>
          <w:i/>
          <w:iCs/>
        </w:rPr>
        <w:t>set of</w:t>
      </w:r>
      <w:r w:rsidR="00650589" w:rsidRPr="00A35ED2">
        <w:rPr>
          <w:i/>
          <w:iCs/>
        </w:rPr>
        <w:t xml:space="preserve"> automated processes </w:t>
      </w:r>
      <w:r w:rsidR="00B91136" w:rsidRPr="00A35ED2">
        <w:rPr>
          <w:i/>
          <w:iCs/>
        </w:rPr>
        <w:t>that build a comprehensive set of causal</w:t>
      </w:r>
      <w:r w:rsidR="00B87A4E" w:rsidRPr="00A35ED2">
        <w:rPr>
          <w:i/>
          <w:iCs/>
        </w:rPr>
        <w:t xml:space="preserve"> </w:t>
      </w:r>
      <w:r w:rsidR="00B91136" w:rsidRPr="00A35ED2">
        <w:rPr>
          <w:i/>
          <w:iCs/>
        </w:rPr>
        <w:t>and predictive models</w:t>
      </w:r>
      <w:r w:rsidR="00B87A4E">
        <w:t xml:space="preserve"> needed</w:t>
      </w:r>
      <w:r w:rsidR="00F61100">
        <w:t xml:space="preserve"> to improve outcomes on </w:t>
      </w:r>
      <w:r w:rsidR="005350B0">
        <w:t>an</w:t>
      </w:r>
      <w:r w:rsidR="00F61100">
        <w:t xml:space="preserve"> individual and systematic basis</w:t>
      </w:r>
      <w:r w:rsidR="00161B7C">
        <w:t>.</w:t>
      </w:r>
    </w:p>
    <w:p w14:paraId="46E78AAD" w14:textId="5D1B5EEC" w:rsidR="005757A4" w:rsidRDefault="005757A4" w:rsidP="005757A4">
      <w:pPr>
        <w:pStyle w:val="Heading1"/>
      </w:pPr>
      <w:r>
        <w:t>Accelerating Progress</w:t>
      </w:r>
    </w:p>
    <w:p w14:paraId="317663C2" w14:textId="25DDD1A2" w:rsidR="009F7A20" w:rsidRDefault="009F7A20" w:rsidP="005757A4">
      <w:r>
        <w:t>The OMOP common data model has similarities</w:t>
      </w:r>
      <w:r>
        <w:rPr>
          <w:rStyle w:val="EndnoteReference"/>
        </w:rPr>
        <w:endnoteReference w:id="44"/>
      </w:r>
    </w:p>
    <w:p w14:paraId="3BBFE937" w14:textId="2658A31D" w:rsidR="005757A4" w:rsidRDefault="005757A4" w:rsidP="005757A4">
      <w:r>
        <w:t>To follow</w:t>
      </w:r>
    </w:p>
    <w:p w14:paraId="7F943CC1" w14:textId="77777777" w:rsidR="005757A4" w:rsidRDefault="005757A4" w:rsidP="005757A4">
      <w:pPr>
        <w:pStyle w:val="Heading1"/>
      </w:pPr>
      <w:r>
        <w:t>Next Steps</w:t>
      </w:r>
    </w:p>
    <w:p w14:paraId="74EBC08E" w14:textId="77777777" w:rsidR="005757A4" w:rsidRPr="00E65820" w:rsidRDefault="005757A4" w:rsidP="005757A4">
      <w:r>
        <w:t>To follow</w:t>
      </w:r>
    </w:p>
    <w:p w14:paraId="1346FEF3" w14:textId="77777777" w:rsidR="005757A4" w:rsidRDefault="005757A4" w:rsidP="005757A4">
      <w:pPr>
        <w:pStyle w:val="Heading1"/>
      </w:pPr>
      <w:r>
        <w:t>Conclusions</w:t>
      </w:r>
    </w:p>
    <w:p w14:paraId="31E76747" w14:textId="77777777" w:rsidR="006E648C" w:rsidRDefault="005757A4" w:rsidP="005757A4">
      <w:r>
        <w:t>To follow</w:t>
      </w:r>
    </w:p>
    <w:p w14:paraId="4A4A6AD0" w14:textId="77777777" w:rsidR="00376025" w:rsidRDefault="00376025" w:rsidP="005757A4"/>
    <w:p w14:paraId="0B1B3127" w14:textId="42D3233E" w:rsidR="00376025" w:rsidRDefault="00376025" w:rsidP="005757A4">
      <w:pPr>
        <w:sectPr w:rsidR="00376025" w:rsidSect="005757A4">
          <w:footerReference w:type="default" r:id="rId8"/>
          <w:endnotePr>
            <w:numFmt w:val="decimal"/>
          </w:endnotePr>
          <w:pgSz w:w="12240" w:h="15840"/>
          <w:pgMar w:top="1440" w:right="1440" w:bottom="1440" w:left="1440" w:header="720" w:footer="720" w:gutter="0"/>
          <w:cols w:space="720"/>
          <w:docGrid w:linePitch="360"/>
        </w:sectPr>
      </w:pPr>
    </w:p>
    <w:p w14:paraId="3BF36085" w14:textId="659C3318" w:rsidR="001C75D2" w:rsidRDefault="00565EB1" w:rsidP="00757002">
      <w:pPr>
        <w:pStyle w:val="Heading1"/>
        <w:rPr>
          <w:noProof/>
        </w:rPr>
      </w:pPr>
      <w:bookmarkStart w:id="0" w:name="_Ref192430457"/>
      <w:r>
        <w:lastRenderedPageBreak/>
        <w:t xml:space="preserve">Supplementary Appendix </w:t>
      </w:r>
      <w:fldSimple w:instr=" SEQ Supplementary_Appendix \* ARABIC ">
        <w:r w:rsidR="00C92BFF">
          <w:rPr>
            <w:noProof/>
          </w:rPr>
          <w:t>1</w:t>
        </w:r>
      </w:fldSimple>
      <w:bookmarkEnd w:id="0"/>
    </w:p>
    <w:p w14:paraId="0D4C94F9" w14:textId="2FADDC91" w:rsidR="00565EB1" w:rsidRDefault="00A8561B" w:rsidP="00F8451A">
      <w:pPr>
        <w:pStyle w:val="Heading2"/>
      </w:pPr>
      <w:r>
        <w:rPr>
          <w:noProof/>
        </w:rPr>
        <w:t xml:space="preserve">Analytic </w:t>
      </w:r>
      <w:r>
        <w:t>Capability Requirements</w:t>
      </w:r>
    </w:p>
    <w:p w14:paraId="513DF0DD" w14:textId="0DC9C32D" w:rsidR="00376025" w:rsidRDefault="00376025" w:rsidP="00D425A6">
      <w:pPr>
        <w:pStyle w:val="Heading1"/>
        <w:rPr>
          <w:noProof/>
        </w:rPr>
      </w:pPr>
      <w:bookmarkStart w:id="1" w:name="_Ref192430768"/>
      <w:r>
        <w:t xml:space="preserve">Supplementary Appendix </w:t>
      </w:r>
      <w:fldSimple w:instr=" SEQ Supplementary_Appendix \* ARABIC ">
        <w:r w:rsidR="00C92BFF">
          <w:rPr>
            <w:noProof/>
          </w:rPr>
          <w:t>2</w:t>
        </w:r>
      </w:fldSimple>
      <w:bookmarkEnd w:id="1"/>
    </w:p>
    <w:p w14:paraId="2194E38E" w14:textId="77777777" w:rsidR="00D425A6" w:rsidRPr="008C2439" w:rsidRDefault="00D425A6" w:rsidP="00D425A6">
      <w:pPr>
        <w:pStyle w:val="Heading2"/>
        <w:rPr>
          <w:rFonts w:ascii="Times New Roman" w:eastAsia="Times New Roman" w:hAnsi="Times New Roman" w:cs="Times New Roman"/>
          <w:kern w:val="0"/>
          <w:sz w:val="24"/>
          <w:szCs w:val="24"/>
        </w:rPr>
      </w:pPr>
      <w:r>
        <w:rPr>
          <w:rFonts w:eastAsia="Times New Roman"/>
        </w:rPr>
        <w:t>Process of Care Models</w:t>
      </w:r>
    </w:p>
    <w:p w14:paraId="67EA8DEF" w14:textId="77777777" w:rsidR="00D425A6" w:rsidRPr="008C2439" w:rsidRDefault="00D425A6" w:rsidP="00D425A6">
      <w:pPr>
        <w:spacing w:before="60" w:after="20"/>
        <w:rPr>
          <w:rFonts w:ascii="Times New Roman" w:eastAsia="Times New Roman" w:hAnsi="Times New Roman" w:cs="Times New Roman"/>
          <w:kern w:val="0"/>
          <w:sz w:val="24"/>
          <w:szCs w:val="24"/>
          <w14:ligatures w14:val="none"/>
        </w:rPr>
      </w:pPr>
      <w:r w:rsidRPr="007B3D38">
        <w:rPr>
          <w:rFonts w:ascii="Calibri" w:eastAsia="Times New Roman" w:hAnsi="Calibri" w:cs="Times New Roman"/>
          <w:b/>
          <w:bCs/>
          <w:color w:val="000000" w:themeColor="text1"/>
          <w:kern w:val="24"/>
          <w:sz w:val="24"/>
          <w:szCs w:val="24"/>
          <w14:ligatures w14:val="none"/>
        </w:rPr>
        <w:t>Process Steps for a New or Ongoing Health Problem</w:t>
      </w:r>
    </w:p>
    <w:p w14:paraId="2C53F160" w14:textId="77777777" w:rsidR="00D425A6" w:rsidRPr="008C2439" w:rsidRDefault="00D425A6" w:rsidP="00D425A6">
      <w:pPr>
        <w:pStyle w:val="Bullet1"/>
        <w:rPr>
          <w:rFonts w:ascii="Times New Roman" w:hAnsi="Times New Roman"/>
          <w:kern w:val="0"/>
          <w:szCs w:val="24"/>
        </w:rPr>
      </w:pPr>
      <w:r w:rsidRPr="008C2439">
        <w:t>Initial access to care</w:t>
      </w:r>
    </w:p>
    <w:p w14:paraId="2B5FCAC4" w14:textId="77777777" w:rsidR="00D425A6" w:rsidRPr="008C2439" w:rsidRDefault="00D425A6" w:rsidP="00D425A6">
      <w:pPr>
        <w:pStyle w:val="Bullet1"/>
        <w:rPr>
          <w:rFonts w:ascii="Times New Roman" w:hAnsi="Times New Roman"/>
          <w:kern w:val="0"/>
          <w:szCs w:val="24"/>
        </w:rPr>
      </w:pPr>
      <w:r w:rsidRPr="008C2439">
        <w:t xml:space="preserve">Diagnosing the problem (testing and </w:t>
      </w:r>
      <w:r>
        <w:t>/</w:t>
      </w:r>
      <w:r w:rsidRPr="008C2439">
        <w:t>or referral, if needed)</w:t>
      </w:r>
    </w:p>
    <w:p w14:paraId="14F28158" w14:textId="77777777" w:rsidR="00D425A6" w:rsidRPr="008C2439" w:rsidRDefault="00D425A6" w:rsidP="00D425A6">
      <w:pPr>
        <w:pStyle w:val="Bullet1"/>
        <w:rPr>
          <w:rFonts w:ascii="Times New Roman" w:hAnsi="Times New Roman"/>
          <w:kern w:val="0"/>
          <w:szCs w:val="24"/>
        </w:rPr>
      </w:pPr>
      <w:r w:rsidRPr="008C2439">
        <w:t xml:space="preserve">Identifying the cause of the problem </w:t>
      </w:r>
    </w:p>
    <w:p w14:paraId="3658D307" w14:textId="77777777" w:rsidR="00D425A6" w:rsidRPr="008C2439" w:rsidRDefault="00D425A6" w:rsidP="00D425A6">
      <w:pPr>
        <w:pStyle w:val="Bullet1"/>
        <w:rPr>
          <w:rFonts w:ascii="Times New Roman" w:hAnsi="Times New Roman"/>
          <w:kern w:val="0"/>
          <w:szCs w:val="24"/>
        </w:rPr>
      </w:pPr>
      <w:r w:rsidRPr="008C2439">
        <w:t>Recommending and planning treatment, educating patients</w:t>
      </w:r>
    </w:p>
    <w:p w14:paraId="08A48704" w14:textId="77777777" w:rsidR="00D425A6" w:rsidRPr="008C2439" w:rsidRDefault="00D425A6" w:rsidP="00D425A6">
      <w:pPr>
        <w:pStyle w:val="Bullet1"/>
        <w:rPr>
          <w:rFonts w:ascii="Times New Roman" w:hAnsi="Times New Roman"/>
          <w:kern w:val="0"/>
          <w:szCs w:val="24"/>
        </w:rPr>
      </w:pPr>
      <w:r w:rsidRPr="008C2439">
        <w:t>Carrying out treatment (by clinician or patient at home)</w:t>
      </w:r>
    </w:p>
    <w:p w14:paraId="2ADC6545" w14:textId="77777777" w:rsidR="00D425A6" w:rsidRPr="008C2439" w:rsidRDefault="00D425A6" w:rsidP="00D425A6">
      <w:pPr>
        <w:pStyle w:val="Bullet1"/>
        <w:rPr>
          <w:rFonts w:ascii="Times New Roman" w:hAnsi="Times New Roman"/>
          <w:kern w:val="0"/>
          <w:szCs w:val="24"/>
        </w:rPr>
      </w:pPr>
      <w:r w:rsidRPr="008C2439">
        <w:t>Follow-up, monitoring, and re-evaluation, if needed</w:t>
      </w:r>
    </w:p>
    <w:p w14:paraId="6425C01C" w14:textId="77777777" w:rsidR="00D425A6" w:rsidRPr="008C2439" w:rsidRDefault="00D425A6" w:rsidP="00D425A6">
      <w:pPr>
        <w:pStyle w:val="Bullet1"/>
        <w:rPr>
          <w:rFonts w:ascii="Times New Roman" w:hAnsi="Times New Roman"/>
          <w:kern w:val="0"/>
          <w:szCs w:val="24"/>
        </w:rPr>
      </w:pPr>
      <w:r w:rsidRPr="008C2439">
        <w:t>Screening and prevention of complications</w:t>
      </w:r>
    </w:p>
    <w:p w14:paraId="1747ED48" w14:textId="77777777" w:rsidR="00D425A6" w:rsidRPr="008C2439" w:rsidRDefault="00D425A6" w:rsidP="00D425A6">
      <w:pPr>
        <w:pStyle w:val="Bullet1"/>
        <w:rPr>
          <w:rFonts w:ascii="Times New Roman" w:hAnsi="Times New Roman"/>
          <w:kern w:val="0"/>
          <w:szCs w:val="24"/>
        </w:rPr>
      </w:pPr>
      <w:r w:rsidRPr="008C2439">
        <w:t>Continuing or revising treatment, if needed</w:t>
      </w:r>
    </w:p>
    <w:p w14:paraId="3D66A757" w14:textId="77777777" w:rsidR="00D425A6" w:rsidRPr="008C2439" w:rsidRDefault="00D425A6" w:rsidP="00D425A6">
      <w:pPr>
        <w:pStyle w:val="Bullet1"/>
        <w:rPr>
          <w:rFonts w:ascii="Times New Roman" w:hAnsi="Times New Roman"/>
          <w:kern w:val="0"/>
          <w:szCs w:val="24"/>
        </w:rPr>
      </w:pPr>
      <w:r w:rsidRPr="008C2439">
        <w:t>Rehabilitation or restoration, if needed</w:t>
      </w:r>
    </w:p>
    <w:p w14:paraId="262E99B0" w14:textId="77777777" w:rsidR="00D425A6" w:rsidRDefault="00D425A6" w:rsidP="00D425A6"/>
    <w:p w14:paraId="64CAA9AF" w14:textId="77777777" w:rsidR="00D425A6" w:rsidRPr="008C2439" w:rsidRDefault="00D425A6" w:rsidP="00D425A6">
      <w:r>
        <w:rPr>
          <w:b/>
          <w:bCs/>
        </w:rPr>
        <w:t>Process Steps for a Complex or High-Risk Treatment</w:t>
      </w:r>
    </w:p>
    <w:p w14:paraId="4DDC99FB" w14:textId="77777777" w:rsidR="00D425A6" w:rsidRPr="008C2439" w:rsidRDefault="00D425A6" w:rsidP="00D425A6">
      <w:pPr>
        <w:pStyle w:val="Bullet1"/>
        <w:spacing w:after="0"/>
      </w:pPr>
      <w:r w:rsidRPr="008C2439">
        <w:t>Pre-treatment evaluation and planning -</w:t>
      </w:r>
    </w:p>
    <w:p w14:paraId="230C123E" w14:textId="77777777" w:rsidR="00D425A6" w:rsidRPr="008C2439" w:rsidRDefault="00D425A6" w:rsidP="00D425A6">
      <w:pPr>
        <w:pStyle w:val="Bullet2"/>
        <w:ind w:left="720"/>
      </w:pPr>
      <w:r w:rsidRPr="008C2439">
        <w:t>Evaluation and tests to confirm need and optimal approach for treatment.</w:t>
      </w:r>
    </w:p>
    <w:p w14:paraId="2124A91F" w14:textId="77777777" w:rsidR="00D425A6" w:rsidRPr="008C2439" w:rsidRDefault="00D425A6" w:rsidP="00D425A6">
      <w:pPr>
        <w:pStyle w:val="Bullet2"/>
        <w:ind w:left="720"/>
      </w:pPr>
      <w:r w:rsidRPr="008C2439">
        <w:rPr>
          <w:i/>
          <w:iCs/>
        </w:rPr>
        <w:t>Evaluation and tests to assess operative risk due to unrelated co-existing conditions.</w:t>
      </w:r>
    </w:p>
    <w:p w14:paraId="1678C083" w14:textId="77777777" w:rsidR="00D425A6" w:rsidRPr="008C2439" w:rsidRDefault="00D425A6" w:rsidP="00D425A6">
      <w:pPr>
        <w:pStyle w:val="Bullet1"/>
        <w:spacing w:after="0"/>
      </w:pPr>
      <w:r w:rsidRPr="008C2439">
        <w:t>Intra-treatment care -</w:t>
      </w:r>
    </w:p>
    <w:p w14:paraId="317E288C" w14:textId="77777777" w:rsidR="00D425A6" w:rsidRDefault="00D425A6" w:rsidP="00D425A6">
      <w:pPr>
        <w:pStyle w:val="Bullet2"/>
        <w:ind w:left="720"/>
      </w:pPr>
      <w:r>
        <w:t>The principal component of the treatment itself, e.g., coronary artery grafting</w:t>
      </w:r>
    </w:p>
    <w:p w14:paraId="4FE65D39" w14:textId="77777777" w:rsidR="00D425A6" w:rsidRPr="008C2439" w:rsidRDefault="00D425A6" w:rsidP="00D425A6">
      <w:pPr>
        <w:pStyle w:val="Bullet2"/>
        <w:ind w:left="720"/>
      </w:pPr>
      <w:r w:rsidRPr="008C2439">
        <w:t>Supporting components of the treatment itself, such as anesthesia, facility services, or supplies</w:t>
      </w:r>
    </w:p>
    <w:p w14:paraId="53932FCB" w14:textId="77777777" w:rsidR="00D425A6" w:rsidRPr="008C2439" w:rsidRDefault="00D425A6" w:rsidP="00D425A6">
      <w:pPr>
        <w:pStyle w:val="Bullet2"/>
        <w:ind w:left="720"/>
      </w:pPr>
      <w:r w:rsidRPr="008C2439">
        <w:rPr>
          <w:i/>
          <w:iCs/>
        </w:rPr>
        <w:t xml:space="preserve">Tests, monitoring, and supportive care to manage </w:t>
      </w:r>
      <w:r w:rsidRPr="008C2439">
        <w:rPr>
          <w:b/>
          <w:bCs/>
          <w:i/>
          <w:iCs/>
        </w:rPr>
        <w:t>expected adverse effects</w:t>
      </w:r>
      <w:r w:rsidRPr="008C2439">
        <w:rPr>
          <w:i/>
          <w:iCs/>
        </w:rPr>
        <w:t xml:space="preserve"> of treatment.</w:t>
      </w:r>
    </w:p>
    <w:p w14:paraId="509D61A7" w14:textId="77777777" w:rsidR="00D425A6" w:rsidRPr="008C2439" w:rsidRDefault="00D425A6" w:rsidP="00D425A6">
      <w:pPr>
        <w:pStyle w:val="Bullet2"/>
        <w:ind w:left="720"/>
      </w:pPr>
      <w:r w:rsidRPr="008C2439">
        <w:rPr>
          <w:i/>
          <w:iCs/>
        </w:rPr>
        <w:t>Tests to identify our services to prevent potential treatment complications.</w:t>
      </w:r>
    </w:p>
    <w:p w14:paraId="40B81484" w14:textId="77777777" w:rsidR="00D425A6" w:rsidRPr="008C2439" w:rsidRDefault="00D425A6" w:rsidP="00D425A6">
      <w:pPr>
        <w:pStyle w:val="Bullet1"/>
        <w:spacing w:after="0"/>
      </w:pPr>
      <w:r w:rsidRPr="008C2439">
        <w:t>Post-treatment care -</w:t>
      </w:r>
    </w:p>
    <w:p w14:paraId="70F7E56A" w14:textId="77777777" w:rsidR="00D425A6" w:rsidRPr="008C2439" w:rsidRDefault="00D425A6" w:rsidP="00D425A6">
      <w:pPr>
        <w:pStyle w:val="Bullet2"/>
        <w:ind w:left="720"/>
      </w:pPr>
      <w:r w:rsidRPr="008C2439">
        <w:t>Evaluation and tests to monitor and manage recovery.</w:t>
      </w:r>
    </w:p>
    <w:p w14:paraId="71290F10" w14:textId="77777777" w:rsidR="00D425A6" w:rsidRPr="008C2439" w:rsidRDefault="00D425A6" w:rsidP="00D425A6">
      <w:pPr>
        <w:pStyle w:val="Bullet2"/>
        <w:ind w:left="720"/>
      </w:pPr>
      <w:r w:rsidRPr="008C2439">
        <w:rPr>
          <w:i/>
          <w:iCs/>
        </w:rPr>
        <w:t xml:space="preserve">Post-op care of expected adverse effects of treatment, such as care of post-op pain or surgical wounds. </w:t>
      </w:r>
    </w:p>
    <w:p w14:paraId="4F33C6E2" w14:textId="77777777" w:rsidR="00D425A6" w:rsidRPr="008C2439" w:rsidRDefault="00D425A6" w:rsidP="00D425A6">
      <w:pPr>
        <w:pStyle w:val="Bullet2"/>
        <w:ind w:left="720"/>
      </w:pPr>
      <w:r w:rsidRPr="008C2439">
        <w:rPr>
          <w:i/>
          <w:iCs/>
        </w:rPr>
        <w:t>Tests to identify our services to prevent treatment complications.</w:t>
      </w:r>
    </w:p>
    <w:p w14:paraId="10619F80" w14:textId="77777777" w:rsidR="00D425A6" w:rsidRPr="008C2439" w:rsidRDefault="00D425A6" w:rsidP="00D425A6">
      <w:pPr>
        <w:pStyle w:val="Bullet2"/>
        <w:ind w:left="720"/>
      </w:pPr>
      <w:r w:rsidRPr="008C2439">
        <w:t>Rehabilitation for restoration of function</w:t>
      </w:r>
    </w:p>
    <w:p w14:paraId="0AF2037A" w14:textId="5338AACC" w:rsidR="00B51EAF" w:rsidRDefault="003A59AC" w:rsidP="00CA484D">
      <w:pPr>
        <w:pStyle w:val="Heading1"/>
        <w:rPr>
          <w:noProof/>
        </w:rPr>
      </w:pPr>
      <w:bookmarkStart w:id="2" w:name="_Ref192430834"/>
      <w:r>
        <w:t xml:space="preserve">Supplementary Appendix </w:t>
      </w:r>
      <w:fldSimple w:instr=" SEQ Supplementary_Appendix \* ARABIC ">
        <w:r w:rsidR="00C92BFF">
          <w:rPr>
            <w:noProof/>
          </w:rPr>
          <w:t>3</w:t>
        </w:r>
      </w:fldSimple>
      <w:bookmarkEnd w:id="2"/>
    </w:p>
    <w:p w14:paraId="654C350B" w14:textId="639915B8" w:rsidR="00B51EAF" w:rsidRDefault="00CA484D" w:rsidP="00896408">
      <w:pPr>
        <w:pStyle w:val="Heading2"/>
      </w:pPr>
      <w:r>
        <w:t>Prioritization</w:t>
      </w:r>
    </w:p>
    <w:p w14:paraId="379BE686" w14:textId="579AF318" w:rsidR="00896408" w:rsidRDefault="00896408" w:rsidP="00896408">
      <w:pPr>
        <w:pStyle w:val="Heading1"/>
        <w:rPr>
          <w:noProof/>
        </w:rPr>
      </w:pPr>
      <w:r>
        <w:t xml:space="preserve">Supplementary Appendix </w:t>
      </w:r>
      <w:fldSimple w:instr=" SEQ Supplementary_Appendix \* ARABIC ">
        <w:r w:rsidR="00C92BFF">
          <w:rPr>
            <w:noProof/>
          </w:rPr>
          <w:t>4</w:t>
        </w:r>
      </w:fldSimple>
    </w:p>
    <w:p w14:paraId="72E7825C" w14:textId="573ACEBA" w:rsidR="00896408" w:rsidRDefault="00583977" w:rsidP="00896408">
      <w:pPr>
        <w:pStyle w:val="Heading2"/>
      </w:pPr>
      <w:r>
        <w:t>Clinical Knowledge Repository</w:t>
      </w:r>
    </w:p>
    <w:p w14:paraId="25AF7164" w14:textId="5CA0FD75" w:rsidR="00896408" w:rsidRPr="00B51EAF" w:rsidRDefault="00896408" w:rsidP="00B51EAF">
      <w:pPr>
        <w:sectPr w:rsidR="00896408" w:rsidRPr="00B51EAF" w:rsidSect="005757A4">
          <w:endnotePr>
            <w:numFmt w:val="decimal"/>
          </w:endnotePr>
          <w:pgSz w:w="12240" w:h="15840"/>
          <w:pgMar w:top="1440" w:right="1440" w:bottom="1440" w:left="1440" w:header="720" w:footer="720" w:gutter="0"/>
          <w:cols w:space="720"/>
          <w:docGrid w:linePitch="360"/>
        </w:sectPr>
      </w:pPr>
    </w:p>
    <w:p w14:paraId="13AB4A39" w14:textId="77777777" w:rsidR="00D05387" w:rsidRDefault="00D05387" w:rsidP="00D05387">
      <w:pPr>
        <w:spacing w:after="160" w:line="278" w:lineRule="auto"/>
        <w:rPr>
          <w:rFonts w:ascii="Calibri" w:eastAsia="Times New Roman" w:hAnsi="Calibri" w:cs="Arial"/>
          <w:b/>
          <w:bCs/>
          <w:color w:val="0D0D0D"/>
          <w:kern w:val="24"/>
          <w:sz w:val="32"/>
          <w:szCs w:val="32"/>
          <w14:ligatures w14:val="none"/>
        </w:rPr>
      </w:pPr>
    </w:p>
    <w:tbl>
      <w:tblPr>
        <w:tblStyle w:val="TableGrid"/>
        <w:tblW w:w="13104" w:type="dxa"/>
        <w:jc w:val="center"/>
        <w:tblLayout w:type="fixed"/>
        <w:tblCellMar>
          <w:top w:w="29" w:type="dxa"/>
          <w:left w:w="72" w:type="dxa"/>
          <w:bottom w:w="29" w:type="dxa"/>
          <w:right w:w="72" w:type="dxa"/>
        </w:tblCellMar>
        <w:tblLook w:val="04A0" w:firstRow="1" w:lastRow="0" w:firstColumn="1" w:lastColumn="0" w:noHBand="0" w:noVBand="1"/>
      </w:tblPr>
      <w:tblGrid>
        <w:gridCol w:w="2304"/>
        <w:gridCol w:w="3600"/>
        <w:gridCol w:w="2160"/>
        <w:gridCol w:w="5040"/>
      </w:tblGrid>
      <w:tr w:rsidR="00D05387" w:rsidRPr="00375174" w14:paraId="1907505D" w14:textId="77777777" w:rsidTr="00EB6986">
        <w:trPr>
          <w:jc w:val="center"/>
        </w:trPr>
        <w:tc>
          <w:tcPr>
            <w:tcW w:w="13104" w:type="dxa"/>
            <w:gridSpan w:val="4"/>
            <w:vAlign w:val="center"/>
          </w:tcPr>
          <w:p w14:paraId="2D4B2F8B" w14:textId="2BD7FCB9" w:rsidR="00D05387" w:rsidRDefault="00D05387" w:rsidP="00EB6986">
            <w:pPr>
              <w:pStyle w:val="Caption"/>
              <w:spacing w:after="0"/>
              <w:jc w:val="center"/>
            </w:pPr>
            <w:bookmarkStart w:id="3" w:name="_Ref193140195"/>
            <w:r>
              <w:t xml:space="preserve">Supplementary Appendix </w:t>
            </w:r>
            <w:fldSimple w:instr=" SEQ Supplementary_Appendix \* ARABIC ">
              <w:r w:rsidR="00C92BFF">
                <w:rPr>
                  <w:noProof/>
                </w:rPr>
                <w:t>5</w:t>
              </w:r>
            </w:fldSimple>
            <w:bookmarkEnd w:id="3"/>
          </w:p>
          <w:p w14:paraId="386BC23C" w14:textId="69ABB5C9" w:rsidR="00D05387" w:rsidRPr="00375174" w:rsidRDefault="00D05387" w:rsidP="00EB6986">
            <w:pPr>
              <w:spacing w:after="0"/>
              <w:ind w:right="144"/>
              <w:jc w:val="center"/>
              <w:rPr>
                <w:b/>
                <w:bCs/>
                <w:sz w:val="18"/>
                <w:szCs w:val="18"/>
              </w:rPr>
            </w:pPr>
            <w:r>
              <w:rPr>
                <w:b/>
                <w:bCs/>
                <w:sz w:val="18"/>
                <w:szCs w:val="18"/>
              </w:rPr>
              <w:t>Comprehensive List of Covariate Types</w:t>
            </w:r>
          </w:p>
        </w:tc>
      </w:tr>
      <w:tr w:rsidR="00D05387" w:rsidRPr="00375174" w14:paraId="7A15CB7F" w14:textId="77777777" w:rsidTr="00EB6986">
        <w:trPr>
          <w:jc w:val="center"/>
        </w:trPr>
        <w:tc>
          <w:tcPr>
            <w:tcW w:w="2304" w:type="dxa"/>
            <w:vAlign w:val="center"/>
          </w:tcPr>
          <w:p w14:paraId="48A2CE16" w14:textId="77777777" w:rsidR="00D05387" w:rsidRPr="00375174" w:rsidRDefault="00D05387" w:rsidP="00EB6986">
            <w:pPr>
              <w:spacing w:after="0"/>
              <w:ind w:right="144"/>
              <w:jc w:val="center"/>
              <w:rPr>
                <w:b/>
                <w:bCs/>
                <w:sz w:val="18"/>
                <w:szCs w:val="18"/>
              </w:rPr>
            </w:pPr>
            <w:r w:rsidRPr="00375174">
              <w:rPr>
                <w:b/>
                <w:bCs/>
                <w:sz w:val="18"/>
                <w:szCs w:val="18"/>
              </w:rPr>
              <w:t>Covariate Type</w:t>
            </w:r>
          </w:p>
        </w:tc>
        <w:tc>
          <w:tcPr>
            <w:tcW w:w="3600" w:type="dxa"/>
            <w:vAlign w:val="center"/>
          </w:tcPr>
          <w:p w14:paraId="28C8F4B7" w14:textId="77777777" w:rsidR="00D05387" w:rsidRPr="00375174" w:rsidRDefault="00D05387" w:rsidP="00EB6986">
            <w:pPr>
              <w:spacing w:after="0"/>
              <w:ind w:right="144"/>
              <w:jc w:val="center"/>
              <w:rPr>
                <w:b/>
                <w:bCs/>
                <w:sz w:val="18"/>
                <w:szCs w:val="18"/>
              </w:rPr>
            </w:pPr>
            <w:r w:rsidRPr="00375174">
              <w:rPr>
                <w:b/>
                <w:bCs/>
                <w:sz w:val="18"/>
                <w:szCs w:val="18"/>
              </w:rPr>
              <w:t>Definition</w:t>
            </w:r>
          </w:p>
        </w:tc>
        <w:tc>
          <w:tcPr>
            <w:tcW w:w="2160" w:type="dxa"/>
            <w:vAlign w:val="center"/>
          </w:tcPr>
          <w:p w14:paraId="4060D856" w14:textId="77777777" w:rsidR="00D05387" w:rsidRPr="00375174" w:rsidRDefault="00D05387" w:rsidP="00EB6986">
            <w:pPr>
              <w:spacing w:after="0"/>
              <w:ind w:right="144"/>
              <w:jc w:val="center"/>
              <w:rPr>
                <w:b/>
                <w:bCs/>
                <w:sz w:val="18"/>
                <w:szCs w:val="18"/>
              </w:rPr>
            </w:pPr>
            <w:r w:rsidRPr="00375174">
              <w:rPr>
                <w:b/>
                <w:bCs/>
                <w:sz w:val="18"/>
                <w:szCs w:val="18"/>
              </w:rPr>
              <w:t>Representation</w:t>
            </w:r>
          </w:p>
        </w:tc>
        <w:tc>
          <w:tcPr>
            <w:tcW w:w="5040" w:type="dxa"/>
            <w:vAlign w:val="center"/>
          </w:tcPr>
          <w:p w14:paraId="5E583C7F" w14:textId="77777777" w:rsidR="00D05387" w:rsidRPr="00375174" w:rsidRDefault="00D05387" w:rsidP="00EB6986">
            <w:pPr>
              <w:spacing w:after="0"/>
              <w:ind w:right="144"/>
              <w:jc w:val="center"/>
              <w:rPr>
                <w:b/>
                <w:bCs/>
                <w:sz w:val="18"/>
                <w:szCs w:val="18"/>
              </w:rPr>
            </w:pPr>
            <w:r w:rsidRPr="00375174">
              <w:rPr>
                <w:b/>
                <w:bCs/>
                <w:sz w:val="18"/>
                <w:szCs w:val="18"/>
              </w:rPr>
              <w:t>Example (All Related to Heart Disease O)</w:t>
            </w:r>
          </w:p>
        </w:tc>
      </w:tr>
      <w:tr w:rsidR="00D05387" w:rsidRPr="00375174" w14:paraId="76809696" w14:textId="77777777" w:rsidTr="00EB6986">
        <w:trPr>
          <w:jc w:val="center"/>
        </w:trPr>
        <w:tc>
          <w:tcPr>
            <w:tcW w:w="2304" w:type="dxa"/>
            <w:vAlign w:val="center"/>
          </w:tcPr>
          <w:p w14:paraId="312CAE8A" w14:textId="77777777" w:rsidR="00D05387" w:rsidRPr="00375174" w:rsidRDefault="00D05387" w:rsidP="00EB6986">
            <w:pPr>
              <w:spacing w:after="0"/>
              <w:ind w:right="144"/>
              <w:rPr>
                <w:sz w:val="18"/>
                <w:szCs w:val="18"/>
              </w:rPr>
            </w:pPr>
            <w:r w:rsidRPr="00375174">
              <w:rPr>
                <w:sz w:val="18"/>
                <w:szCs w:val="18"/>
              </w:rPr>
              <w:t>Direct Cause</w:t>
            </w:r>
          </w:p>
        </w:tc>
        <w:tc>
          <w:tcPr>
            <w:tcW w:w="3600" w:type="dxa"/>
            <w:vAlign w:val="center"/>
          </w:tcPr>
          <w:p w14:paraId="1A30B116" w14:textId="77777777" w:rsidR="00D05387" w:rsidRPr="00375174" w:rsidRDefault="00D05387" w:rsidP="00EB6986">
            <w:pPr>
              <w:spacing w:after="0"/>
              <w:ind w:right="144"/>
              <w:rPr>
                <w:sz w:val="18"/>
                <w:szCs w:val="18"/>
              </w:rPr>
            </w:pPr>
            <w:r w:rsidRPr="00375174">
              <w:rPr>
                <w:sz w:val="18"/>
                <w:szCs w:val="18"/>
              </w:rPr>
              <w:t>has a direct causal effect on the outcome.</w:t>
            </w:r>
          </w:p>
        </w:tc>
        <w:tc>
          <w:tcPr>
            <w:tcW w:w="2160" w:type="dxa"/>
            <w:vAlign w:val="center"/>
          </w:tcPr>
          <w:p w14:paraId="5906615F" w14:textId="77777777" w:rsidR="00D05387" w:rsidRPr="00375174" w:rsidRDefault="00D05387" w:rsidP="00EB6986">
            <w:pPr>
              <w:spacing w:after="0"/>
              <w:ind w:right="144"/>
              <w:jc w:val="center"/>
              <w:rPr>
                <w:sz w:val="18"/>
                <w:szCs w:val="18"/>
              </w:rPr>
            </w:pPr>
            <w:r w:rsidRPr="00375174">
              <w:rPr>
                <w:sz w:val="18"/>
                <w:szCs w:val="18"/>
              </w:rPr>
              <w:t>Z → O</w:t>
            </w:r>
          </w:p>
        </w:tc>
        <w:tc>
          <w:tcPr>
            <w:tcW w:w="5040" w:type="dxa"/>
            <w:vAlign w:val="center"/>
          </w:tcPr>
          <w:p w14:paraId="64D2652F" w14:textId="77777777" w:rsidR="00D05387" w:rsidRPr="00375174" w:rsidRDefault="00D05387" w:rsidP="00EB6986">
            <w:pPr>
              <w:spacing w:after="0"/>
              <w:ind w:right="144"/>
              <w:rPr>
                <w:sz w:val="18"/>
                <w:szCs w:val="18"/>
              </w:rPr>
            </w:pPr>
            <w:r w:rsidRPr="00375174">
              <w:rPr>
                <w:sz w:val="18"/>
                <w:szCs w:val="18"/>
              </w:rPr>
              <w:t>Smoking (Z) directly increases the risk of heart disease (O).</w:t>
            </w:r>
          </w:p>
        </w:tc>
      </w:tr>
      <w:tr w:rsidR="00D05387" w:rsidRPr="00375174" w14:paraId="5E6F40FF" w14:textId="77777777" w:rsidTr="00EB6986">
        <w:trPr>
          <w:jc w:val="center"/>
        </w:trPr>
        <w:tc>
          <w:tcPr>
            <w:tcW w:w="2304" w:type="dxa"/>
            <w:vAlign w:val="center"/>
          </w:tcPr>
          <w:p w14:paraId="3E1DE284" w14:textId="77777777" w:rsidR="00D05387" w:rsidRPr="00375174" w:rsidRDefault="00D05387" w:rsidP="00EB6986">
            <w:pPr>
              <w:spacing w:after="0"/>
              <w:ind w:right="144"/>
              <w:rPr>
                <w:sz w:val="18"/>
                <w:szCs w:val="18"/>
              </w:rPr>
            </w:pPr>
            <w:r w:rsidRPr="00375174">
              <w:rPr>
                <w:sz w:val="18"/>
                <w:szCs w:val="18"/>
              </w:rPr>
              <w:t>Indirect Cause via a Mediator</w:t>
            </w:r>
          </w:p>
        </w:tc>
        <w:tc>
          <w:tcPr>
            <w:tcW w:w="3600" w:type="dxa"/>
            <w:vAlign w:val="center"/>
          </w:tcPr>
          <w:p w14:paraId="1B87BCB2" w14:textId="77777777" w:rsidR="00D05387" w:rsidRPr="00375174" w:rsidRDefault="00D05387" w:rsidP="00EB6986">
            <w:pPr>
              <w:spacing w:after="0"/>
              <w:ind w:right="144"/>
              <w:rPr>
                <w:sz w:val="18"/>
                <w:szCs w:val="18"/>
              </w:rPr>
            </w:pPr>
            <w:r w:rsidRPr="00375174">
              <w:rPr>
                <w:sz w:val="18"/>
                <w:szCs w:val="18"/>
              </w:rPr>
              <w:t>affects the outcome only through a mediator.</w:t>
            </w:r>
          </w:p>
        </w:tc>
        <w:tc>
          <w:tcPr>
            <w:tcW w:w="2160" w:type="dxa"/>
            <w:vAlign w:val="center"/>
          </w:tcPr>
          <w:p w14:paraId="415EAADE" w14:textId="77777777" w:rsidR="00D05387" w:rsidRPr="00375174" w:rsidRDefault="00D05387" w:rsidP="00EB6986">
            <w:pPr>
              <w:spacing w:after="0"/>
              <w:ind w:right="144"/>
              <w:jc w:val="center"/>
              <w:rPr>
                <w:sz w:val="18"/>
                <w:szCs w:val="18"/>
              </w:rPr>
            </w:pPr>
            <w:r w:rsidRPr="00375174">
              <w:rPr>
                <w:sz w:val="18"/>
                <w:szCs w:val="18"/>
              </w:rPr>
              <w:t>Z → M → O</w:t>
            </w:r>
          </w:p>
        </w:tc>
        <w:tc>
          <w:tcPr>
            <w:tcW w:w="5040" w:type="dxa"/>
            <w:vAlign w:val="center"/>
          </w:tcPr>
          <w:p w14:paraId="67CDD4F2" w14:textId="77777777" w:rsidR="00D05387" w:rsidRPr="00375174" w:rsidRDefault="00D05387" w:rsidP="00EB6986">
            <w:pPr>
              <w:spacing w:after="0"/>
              <w:ind w:right="144"/>
              <w:rPr>
                <w:sz w:val="18"/>
                <w:szCs w:val="18"/>
              </w:rPr>
            </w:pPr>
            <w:r w:rsidRPr="00375174">
              <w:rPr>
                <w:sz w:val="18"/>
                <w:szCs w:val="18"/>
              </w:rPr>
              <w:t>A sedentary lifestyle (Z) leads to weight gain (M), which in turn increases the risk of heart disease (O).</w:t>
            </w:r>
          </w:p>
        </w:tc>
      </w:tr>
      <w:tr w:rsidR="00D05387" w:rsidRPr="00375174" w14:paraId="2455C073" w14:textId="77777777" w:rsidTr="00EB6986">
        <w:trPr>
          <w:jc w:val="center"/>
        </w:trPr>
        <w:tc>
          <w:tcPr>
            <w:tcW w:w="2304" w:type="dxa"/>
            <w:vAlign w:val="center"/>
          </w:tcPr>
          <w:p w14:paraId="6D1D64DB" w14:textId="77777777" w:rsidR="00D05387" w:rsidRPr="00375174" w:rsidRDefault="00D05387" w:rsidP="00EB6986">
            <w:pPr>
              <w:spacing w:after="0"/>
              <w:ind w:right="144"/>
              <w:rPr>
                <w:sz w:val="18"/>
                <w:szCs w:val="18"/>
              </w:rPr>
            </w:pPr>
            <w:r w:rsidRPr="00375174">
              <w:rPr>
                <w:sz w:val="18"/>
                <w:szCs w:val="18"/>
              </w:rPr>
              <w:t>Mediator</w:t>
            </w:r>
          </w:p>
        </w:tc>
        <w:tc>
          <w:tcPr>
            <w:tcW w:w="3600" w:type="dxa"/>
            <w:vAlign w:val="center"/>
          </w:tcPr>
          <w:p w14:paraId="1BB306D1" w14:textId="77777777" w:rsidR="00D05387" w:rsidRPr="00375174" w:rsidRDefault="00D05387" w:rsidP="00EB6986">
            <w:pPr>
              <w:spacing w:after="0"/>
              <w:ind w:right="144"/>
              <w:rPr>
                <w:sz w:val="18"/>
                <w:szCs w:val="18"/>
              </w:rPr>
            </w:pPr>
            <w:r w:rsidRPr="00375174">
              <w:rPr>
                <w:sz w:val="18"/>
                <w:szCs w:val="18"/>
              </w:rPr>
              <w:t>transmits the effect of another cause on the outcome.</w:t>
            </w:r>
          </w:p>
        </w:tc>
        <w:tc>
          <w:tcPr>
            <w:tcW w:w="2160" w:type="dxa"/>
            <w:vAlign w:val="center"/>
          </w:tcPr>
          <w:p w14:paraId="3E195113" w14:textId="77777777" w:rsidR="00D05387" w:rsidRPr="00375174" w:rsidRDefault="00D05387" w:rsidP="00EB6986">
            <w:pPr>
              <w:spacing w:after="0"/>
              <w:ind w:right="144"/>
              <w:jc w:val="center"/>
              <w:rPr>
                <w:sz w:val="18"/>
                <w:szCs w:val="18"/>
              </w:rPr>
            </w:pPr>
            <w:r w:rsidRPr="00375174">
              <w:rPr>
                <w:sz w:val="18"/>
                <w:szCs w:val="18"/>
              </w:rPr>
              <w:t>X → Z → O</w:t>
            </w:r>
          </w:p>
        </w:tc>
        <w:tc>
          <w:tcPr>
            <w:tcW w:w="5040" w:type="dxa"/>
            <w:vAlign w:val="center"/>
          </w:tcPr>
          <w:p w14:paraId="6C4814E0" w14:textId="77777777" w:rsidR="00D05387" w:rsidRPr="00375174" w:rsidRDefault="00D05387" w:rsidP="00EB6986">
            <w:pPr>
              <w:spacing w:after="0"/>
              <w:ind w:right="144"/>
              <w:rPr>
                <w:sz w:val="18"/>
                <w:szCs w:val="18"/>
              </w:rPr>
            </w:pPr>
            <w:r w:rsidRPr="00375174">
              <w:rPr>
                <w:sz w:val="18"/>
                <w:szCs w:val="18"/>
              </w:rPr>
              <w:t>High blood pressure (Z) mediates the effect of high sodium intake (X) on heart disease (O).</w:t>
            </w:r>
          </w:p>
        </w:tc>
      </w:tr>
      <w:tr w:rsidR="00D05387" w:rsidRPr="00375174" w14:paraId="0E4162A6" w14:textId="77777777" w:rsidTr="00EB6986">
        <w:trPr>
          <w:jc w:val="center"/>
        </w:trPr>
        <w:tc>
          <w:tcPr>
            <w:tcW w:w="2304" w:type="dxa"/>
            <w:vAlign w:val="center"/>
          </w:tcPr>
          <w:p w14:paraId="08C4C4FC" w14:textId="77777777" w:rsidR="00D05387" w:rsidRPr="00375174" w:rsidRDefault="00D05387" w:rsidP="00EB6986">
            <w:pPr>
              <w:spacing w:after="0"/>
              <w:ind w:right="144"/>
              <w:rPr>
                <w:sz w:val="18"/>
                <w:szCs w:val="18"/>
              </w:rPr>
            </w:pPr>
            <w:r w:rsidRPr="00375174">
              <w:rPr>
                <w:sz w:val="18"/>
                <w:szCs w:val="18"/>
              </w:rPr>
              <w:t>Moderator</w:t>
            </w:r>
          </w:p>
        </w:tc>
        <w:tc>
          <w:tcPr>
            <w:tcW w:w="3600" w:type="dxa"/>
            <w:vAlign w:val="center"/>
          </w:tcPr>
          <w:p w14:paraId="7FC5BCC7" w14:textId="77777777" w:rsidR="00D05387" w:rsidRPr="00375174" w:rsidRDefault="00D05387" w:rsidP="00EB6986">
            <w:pPr>
              <w:spacing w:after="0"/>
              <w:ind w:right="144"/>
              <w:rPr>
                <w:sz w:val="18"/>
                <w:szCs w:val="18"/>
              </w:rPr>
            </w:pPr>
            <w:r w:rsidRPr="00375174">
              <w:rPr>
                <w:sz w:val="18"/>
                <w:szCs w:val="18"/>
              </w:rPr>
              <w:t>modifies the strength or direction of X on O</w:t>
            </w:r>
          </w:p>
        </w:tc>
        <w:tc>
          <w:tcPr>
            <w:tcW w:w="2160" w:type="dxa"/>
            <w:vAlign w:val="center"/>
          </w:tcPr>
          <w:p w14:paraId="5FE81833" w14:textId="77777777" w:rsidR="00D05387" w:rsidRPr="00375174" w:rsidRDefault="00D05387" w:rsidP="00EB6986">
            <w:pPr>
              <w:spacing w:after="0"/>
              <w:ind w:right="144"/>
              <w:jc w:val="center"/>
              <w:rPr>
                <w:sz w:val="18"/>
                <w:szCs w:val="18"/>
              </w:rPr>
            </w:pPr>
            <w:r w:rsidRPr="00375174">
              <w:rPr>
                <w:sz w:val="18"/>
                <w:szCs w:val="18"/>
              </w:rPr>
              <w:t>X → O, modified by Z</w:t>
            </w:r>
          </w:p>
        </w:tc>
        <w:tc>
          <w:tcPr>
            <w:tcW w:w="5040" w:type="dxa"/>
            <w:vAlign w:val="center"/>
          </w:tcPr>
          <w:p w14:paraId="65F54ABF" w14:textId="77777777" w:rsidR="00D05387" w:rsidRPr="00375174" w:rsidRDefault="00D05387" w:rsidP="00EB6986">
            <w:pPr>
              <w:spacing w:after="0"/>
              <w:ind w:right="144"/>
              <w:rPr>
                <w:sz w:val="18"/>
                <w:szCs w:val="18"/>
              </w:rPr>
            </w:pPr>
            <w:r w:rsidRPr="00375174">
              <w:rPr>
                <w:sz w:val="18"/>
                <w:szCs w:val="18"/>
              </w:rPr>
              <w:t>Older age (Z) correlates with longer duration of risk factor exposure (e.g., high cholesterol), making cumulative damage more relevant for heart disease (O).</w:t>
            </w:r>
          </w:p>
        </w:tc>
      </w:tr>
      <w:tr w:rsidR="00D05387" w:rsidRPr="00375174" w14:paraId="49D3E170" w14:textId="77777777" w:rsidTr="00EB6986">
        <w:trPr>
          <w:jc w:val="center"/>
        </w:trPr>
        <w:tc>
          <w:tcPr>
            <w:tcW w:w="2304" w:type="dxa"/>
            <w:vAlign w:val="center"/>
          </w:tcPr>
          <w:p w14:paraId="7D7224EF" w14:textId="77777777" w:rsidR="00D05387" w:rsidRPr="00375174" w:rsidRDefault="00D05387" w:rsidP="00EB6986">
            <w:pPr>
              <w:spacing w:after="0"/>
              <w:ind w:right="144"/>
              <w:rPr>
                <w:sz w:val="18"/>
                <w:szCs w:val="18"/>
              </w:rPr>
            </w:pPr>
            <w:r w:rsidRPr="00375174">
              <w:rPr>
                <w:sz w:val="18"/>
                <w:szCs w:val="18"/>
              </w:rPr>
              <w:t>Confounder</w:t>
            </w:r>
          </w:p>
        </w:tc>
        <w:tc>
          <w:tcPr>
            <w:tcW w:w="3600" w:type="dxa"/>
            <w:vAlign w:val="center"/>
          </w:tcPr>
          <w:p w14:paraId="1EFFF297" w14:textId="77777777" w:rsidR="00D05387" w:rsidRPr="00375174" w:rsidRDefault="00D05387" w:rsidP="00EB6986">
            <w:pPr>
              <w:spacing w:after="0"/>
              <w:ind w:right="144"/>
              <w:rPr>
                <w:sz w:val="18"/>
                <w:szCs w:val="18"/>
              </w:rPr>
            </w:pPr>
            <w:r w:rsidRPr="00375174">
              <w:rPr>
                <w:sz w:val="18"/>
                <w:szCs w:val="18"/>
              </w:rPr>
              <w:t>affects both the exposure and the outcome, creating a spurious association.</w:t>
            </w:r>
          </w:p>
        </w:tc>
        <w:tc>
          <w:tcPr>
            <w:tcW w:w="2160" w:type="dxa"/>
            <w:vAlign w:val="center"/>
          </w:tcPr>
          <w:p w14:paraId="5C0A57CE" w14:textId="77777777" w:rsidR="00D05387" w:rsidRPr="00375174" w:rsidRDefault="00D05387" w:rsidP="00EB6986">
            <w:pPr>
              <w:spacing w:after="0"/>
              <w:ind w:right="144"/>
              <w:jc w:val="center"/>
              <w:rPr>
                <w:sz w:val="18"/>
                <w:szCs w:val="18"/>
              </w:rPr>
            </w:pPr>
            <w:r w:rsidRPr="00375174">
              <w:rPr>
                <w:sz w:val="18"/>
                <w:szCs w:val="18"/>
              </w:rPr>
              <w:t>Z → X and Z → O</w:t>
            </w:r>
          </w:p>
        </w:tc>
        <w:tc>
          <w:tcPr>
            <w:tcW w:w="5040" w:type="dxa"/>
            <w:vAlign w:val="center"/>
          </w:tcPr>
          <w:p w14:paraId="13D76895" w14:textId="77777777" w:rsidR="00D05387" w:rsidRPr="00375174" w:rsidRDefault="00D05387" w:rsidP="00EB6986">
            <w:pPr>
              <w:spacing w:after="0"/>
              <w:ind w:right="144"/>
              <w:rPr>
                <w:sz w:val="18"/>
                <w:szCs w:val="18"/>
              </w:rPr>
            </w:pPr>
            <w:r w:rsidRPr="00375174">
              <w:rPr>
                <w:sz w:val="18"/>
                <w:szCs w:val="18"/>
              </w:rPr>
              <w:t>Dietary habits (Z) influence both physical activity levels (X) and heart disease risk (O), potentially confounding the relationship between exercise and heart disease.</w:t>
            </w:r>
          </w:p>
        </w:tc>
      </w:tr>
      <w:tr w:rsidR="00D05387" w:rsidRPr="00375174" w14:paraId="08552F3D" w14:textId="77777777" w:rsidTr="00EB6986">
        <w:trPr>
          <w:jc w:val="center"/>
        </w:trPr>
        <w:tc>
          <w:tcPr>
            <w:tcW w:w="2304" w:type="dxa"/>
            <w:vAlign w:val="center"/>
          </w:tcPr>
          <w:p w14:paraId="607C6033" w14:textId="77777777" w:rsidR="00D05387" w:rsidRPr="00375174" w:rsidRDefault="00D05387" w:rsidP="00EB6986">
            <w:pPr>
              <w:spacing w:after="0"/>
              <w:ind w:right="144"/>
              <w:rPr>
                <w:sz w:val="18"/>
                <w:szCs w:val="18"/>
              </w:rPr>
            </w:pPr>
            <w:r w:rsidRPr="00375174">
              <w:rPr>
                <w:sz w:val="18"/>
                <w:szCs w:val="18"/>
              </w:rPr>
              <w:t>Collider</w:t>
            </w:r>
            <w:r>
              <w:rPr>
                <w:sz w:val="18"/>
                <w:szCs w:val="18"/>
              </w:rPr>
              <w:t>*</w:t>
            </w:r>
          </w:p>
        </w:tc>
        <w:tc>
          <w:tcPr>
            <w:tcW w:w="3600" w:type="dxa"/>
            <w:vAlign w:val="center"/>
          </w:tcPr>
          <w:p w14:paraId="1E836E8E" w14:textId="5D0A3D03" w:rsidR="00D05387" w:rsidRPr="00375174" w:rsidRDefault="00D05387" w:rsidP="00EB6986">
            <w:pPr>
              <w:spacing w:after="0"/>
              <w:ind w:right="144"/>
              <w:rPr>
                <w:sz w:val="18"/>
                <w:szCs w:val="18"/>
              </w:rPr>
            </w:pPr>
            <w:r w:rsidRPr="00375174">
              <w:rPr>
                <w:sz w:val="18"/>
                <w:szCs w:val="18"/>
              </w:rPr>
              <w:t xml:space="preserve">is caused by two or more independent </w:t>
            </w:r>
            <w:r w:rsidR="00506DBD" w:rsidRPr="00375174">
              <w:rPr>
                <w:sz w:val="18"/>
                <w:szCs w:val="18"/>
              </w:rPr>
              <w:t>causes</w:t>
            </w:r>
            <w:r w:rsidR="00506DBD">
              <w:rPr>
                <w:sz w:val="18"/>
                <w:szCs w:val="18"/>
              </w:rPr>
              <w:t>;</w:t>
            </w:r>
            <w:r w:rsidR="00506DBD" w:rsidRPr="00375174">
              <w:rPr>
                <w:sz w:val="18"/>
                <w:szCs w:val="18"/>
              </w:rPr>
              <w:t xml:space="preserve"> can</w:t>
            </w:r>
            <w:r w:rsidRPr="00375174">
              <w:rPr>
                <w:sz w:val="18"/>
                <w:szCs w:val="18"/>
              </w:rPr>
              <w:t xml:space="preserve"> introduce bias if adjusted for.</w:t>
            </w:r>
          </w:p>
        </w:tc>
        <w:tc>
          <w:tcPr>
            <w:tcW w:w="2160" w:type="dxa"/>
            <w:vAlign w:val="center"/>
          </w:tcPr>
          <w:p w14:paraId="3334F1E3" w14:textId="77777777" w:rsidR="00D05387" w:rsidRPr="00375174" w:rsidRDefault="00D05387" w:rsidP="00EB6986">
            <w:pPr>
              <w:spacing w:after="0"/>
              <w:ind w:right="144"/>
              <w:jc w:val="center"/>
              <w:rPr>
                <w:sz w:val="18"/>
                <w:szCs w:val="18"/>
              </w:rPr>
            </w:pPr>
            <w:r w:rsidRPr="00375174">
              <w:rPr>
                <w:sz w:val="18"/>
                <w:szCs w:val="18"/>
              </w:rPr>
              <w:t>X → Z ← O</w:t>
            </w:r>
          </w:p>
        </w:tc>
        <w:tc>
          <w:tcPr>
            <w:tcW w:w="5040" w:type="dxa"/>
            <w:vAlign w:val="center"/>
          </w:tcPr>
          <w:p w14:paraId="11306311" w14:textId="77777777" w:rsidR="00D05387" w:rsidRPr="00375174" w:rsidRDefault="00D05387" w:rsidP="00EB6986">
            <w:pPr>
              <w:spacing w:after="0"/>
              <w:ind w:right="144"/>
              <w:rPr>
                <w:sz w:val="18"/>
                <w:szCs w:val="18"/>
              </w:rPr>
            </w:pPr>
            <w:r w:rsidRPr="00375174">
              <w:rPr>
                <w:sz w:val="18"/>
                <w:szCs w:val="18"/>
              </w:rPr>
              <w:t>Genetic predisposition (Z) is influenced by both family history (X) and environmental factors (O). Adjusting for Z can create a spurious association between X and O.</w:t>
            </w:r>
          </w:p>
        </w:tc>
      </w:tr>
      <w:tr w:rsidR="00D05387" w:rsidRPr="00375174" w14:paraId="355851E0" w14:textId="77777777" w:rsidTr="00EB6986">
        <w:trPr>
          <w:jc w:val="center"/>
        </w:trPr>
        <w:tc>
          <w:tcPr>
            <w:tcW w:w="2304" w:type="dxa"/>
            <w:vAlign w:val="center"/>
          </w:tcPr>
          <w:p w14:paraId="4701E325" w14:textId="77777777" w:rsidR="00D05387" w:rsidRPr="00375174" w:rsidRDefault="00D05387" w:rsidP="00EB6986">
            <w:pPr>
              <w:spacing w:after="0"/>
              <w:ind w:right="144"/>
              <w:rPr>
                <w:sz w:val="18"/>
                <w:szCs w:val="18"/>
              </w:rPr>
            </w:pPr>
            <w:r w:rsidRPr="00375174">
              <w:rPr>
                <w:sz w:val="18"/>
                <w:szCs w:val="18"/>
              </w:rPr>
              <w:t>Independent Cause</w:t>
            </w:r>
          </w:p>
        </w:tc>
        <w:tc>
          <w:tcPr>
            <w:tcW w:w="3600" w:type="dxa"/>
            <w:vAlign w:val="center"/>
          </w:tcPr>
          <w:p w14:paraId="2E73CDD2" w14:textId="77777777" w:rsidR="00D05387" w:rsidRPr="00375174" w:rsidRDefault="00D05387" w:rsidP="00EB6986">
            <w:pPr>
              <w:spacing w:after="0"/>
              <w:ind w:right="144"/>
              <w:rPr>
                <w:sz w:val="18"/>
                <w:szCs w:val="18"/>
              </w:rPr>
            </w:pPr>
            <w:r w:rsidRPr="00375174">
              <w:rPr>
                <w:sz w:val="18"/>
                <w:szCs w:val="18"/>
              </w:rPr>
              <w:t>affects the outcome but is unrelated to other variables in the model.</w:t>
            </w:r>
          </w:p>
        </w:tc>
        <w:tc>
          <w:tcPr>
            <w:tcW w:w="2160" w:type="dxa"/>
            <w:vAlign w:val="center"/>
          </w:tcPr>
          <w:p w14:paraId="2BABC0CA" w14:textId="77777777" w:rsidR="00D05387" w:rsidRPr="00375174" w:rsidRDefault="00D05387" w:rsidP="00EB6986">
            <w:pPr>
              <w:spacing w:after="0"/>
              <w:ind w:right="144"/>
              <w:jc w:val="center"/>
              <w:rPr>
                <w:sz w:val="18"/>
                <w:szCs w:val="18"/>
              </w:rPr>
            </w:pPr>
            <w:r w:rsidRPr="00375174">
              <w:rPr>
                <w:sz w:val="18"/>
                <w:szCs w:val="18"/>
              </w:rPr>
              <w:t>Z → O, but Z ≠ X</w:t>
            </w:r>
          </w:p>
        </w:tc>
        <w:tc>
          <w:tcPr>
            <w:tcW w:w="5040" w:type="dxa"/>
            <w:vAlign w:val="center"/>
          </w:tcPr>
          <w:p w14:paraId="770FD481" w14:textId="1677FE18" w:rsidR="00D05387" w:rsidRPr="00375174" w:rsidRDefault="00D05387" w:rsidP="00EB6986">
            <w:pPr>
              <w:spacing w:after="0"/>
              <w:ind w:right="144"/>
              <w:rPr>
                <w:sz w:val="18"/>
                <w:szCs w:val="18"/>
              </w:rPr>
            </w:pPr>
            <w:r w:rsidRPr="00375174">
              <w:rPr>
                <w:sz w:val="18"/>
                <w:szCs w:val="18"/>
              </w:rPr>
              <w:t>Air pollution (Z) independently increases heart disease risk (O</w:t>
            </w:r>
            <w:r w:rsidR="005350B0" w:rsidRPr="00375174">
              <w:rPr>
                <w:sz w:val="18"/>
                <w:szCs w:val="18"/>
              </w:rPr>
              <w:t>) but</w:t>
            </w:r>
            <w:r w:rsidRPr="00375174">
              <w:rPr>
                <w:sz w:val="18"/>
                <w:szCs w:val="18"/>
              </w:rPr>
              <w:t xml:space="preserve"> is unrelated to dietary sodium intake (X).</w:t>
            </w:r>
          </w:p>
        </w:tc>
      </w:tr>
      <w:tr w:rsidR="00D05387" w:rsidRPr="00375174" w14:paraId="5C64A618" w14:textId="77777777" w:rsidTr="00EB6986">
        <w:trPr>
          <w:jc w:val="center"/>
        </w:trPr>
        <w:tc>
          <w:tcPr>
            <w:tcW w:w="2304" w:type="dxa"/>
            <w:vAlign w:val="center"/>
          </w:tcPr>
          <w:p w14:paraId="1849BF57" w14:textId="77777777" w:rsidR="00D05387" w:rsidRPr="00375174" w:rsidRDefault="00D05387" w:rsidP="00EB6986">
            <w:pPr>
              <w:spacing w:after="0"/>
              <w:ind w:right="144"/>
              <w:rPr>
                <w:sz w:val="18"/>
                <w:szCs w:val="18"/>
              </w:rPr>
            </w:pPr>
            <w:r w:rsidRPr="00375174">
              <w:rPr>
                <w:sz w:val="18"/>
                <w:szCs w:val="18"/>
              </w:rPr>
              <w:t>Proxy Variable</w:t>
            </w:r>
          </w:p>
        </w:tc>
        <w:tc>
          <w:tcPr>
            <w:tcW w:w="3600" w:type="dxa"/>
            <w:vAlign w:val="center"/>
          </w:tcPr>
          <w:p w14:paraId="603E3296" w14:textId="77777777" w:rsidR="00D05387" w:rsidRPr="00375174" w:rsidRDefault="00D05387" w:rsidP="00EB6986">
            <w:pPr>
              <w:spacing w:after="0"/>
              <w:ind w:right="144"/>
              <w:rPr>
                <w:sz w:val="18"/>
                <w:szCs w:val="18"/>
              </w:rPr>
            </w:pPr>
            <w:r w:rsidRPr="00375174">
              <w:rPr>
                <w:sz w:val="18"/>
                <w:szCs w:val="18"/>
              </w:rPr>
              <w:t xml:space="preserve">is correlated with an unmeasured cause of the outcome but has no causal effect </w:t>
            </w:r>
          </w:p>
        </w:tc>
        <w:tc>
          <w:tcPr>
            <w:tcW w:w="2160" w:type="dxa"/>
            <w:vAlign w:val="center"/>
          </w:tcPr>
          <w:p w14:paraId="4D27975B" w14:textId="77777777" w:rsidR="00D05387" w:rsidRPr="00375174" w:rsidRDefault="00D05387" w:rsidP="00EB6986">
            <w:pPr>
              <w:spacing w:after="0"/>
              <w:ind w:right="144"/>
              <w:jc w:val="center"/>
              <w:rPr>
                <w:sz w:val="18"/>
                <w:szCs w:val="18"/>
              </w:rPr>
            </w:pPr>
            <w:r w:rsidRPr="00375174">
              <w:rPr>
                <w:sz w:val="18"/>
                <w:szCs w:val="18"/>
              </w:rPr>
              <w:t>U → Z, U → O</w:t>
            </w:r>
          </w:p>
        </w:tc>
        <w:tc>
          <w:tcPr>
            <w:tcW w:w="5040" w:type="dxa"/>
            <w:vAlign w:val="center"/>
          </w:tcPr>
          <w:p w14:paraId="02E6695C" w14:textId="77777777" w:rsidR="00D05387" w:rsidRPr="00375174" w:rsidRDefault="00D05387" w:rsidP="00EB6986">
            <w:pPr>
              <w:spacing w:after="0"/>
              <w:ind w:right="144"/>
              <w:rPr>
                <w:sz w:val="18"/>
                <w:szCs w:val="18"/>
              </w:rPr>
            </w:pPr>
            <w:r w:rsidRPr="00375174">
              <w:rPr>
                <w:sz w:val="18"/>
                <w:szCs w:val="18"/>
              </w:rPr>
              <w:t>Waist circumference (Z) is a measurable proxy for visceral fat (U), which is the true cause of heart disease (O).</w:t>
            </w:r>
          </w:p>
        </w:tc>
      </w:tr>
      <w:tr w:rsidR="00D05387" w:rsidRPr="00375174" w14:paraId="08A18FF3" w14:textId="77777777" w:rsidTr="00EB6986">
        <w:trPr>
          <w:jc w:val="center"/>
        </w:trPr>
        <w:tc>
          <w:tcPr>
            <w:tcW w:w="2304" w:type="dxa"/>
            <w:vAlign w:val="center"/>
          </w:tcPr>
          <w:p w14:paraId="1C44BEFD" w14:textId="77777777" w:rsidR="00D05387" w:rsidRPr="00375174" w:rsidRDefault="00D05387" w:rsidP="00EB6986">
            <w:pPr>
              <w:spacing w:after="0"/>
              <w:ind w:right="144"/>
              <w:rPr>
                <w:sz w:val="18"/>
                <w:szCs w:val="18"/>
              </w:rPr>
            </w:pPr>
            <w:r w:rsidRPr="00375174">
              <w:rPr>
                <w:sz w:val="18"/>
                <w:szCs w:val="18"/>
              </w:rPr>
              <w:t>Instrumental Variable</w:t>
            </w:r>
          </w:p>
        </w:tc>
        <w:tc>
          <w:tcPr>
            <w:tcW w:w="3600" w:type="dxa"/>
            <w:vAlign w:val="center"/>
          </w:tcPr>
          <w:p w14:paraId="145FB958" w14:textId="77777777" w:rsidR="00D05387" w:rsidRPr="00375174" w:rsidRDefault="00D05387" w:rsidP="00EB6986">
            <w:pPr>
              <w:spacing w:after="0"/>
              <w:ind w:right="144"/>
              <w:rPr>
                <w:sz w:val="18"/>
                <w:szCs w:val="18"/>
              </w:rPr>
            </w:pPr>
            <w:r w:rsidRPr="00375174">
              <w:rPr>
                <w:sz w:val="18"/>
                <w:szCs w:val="18"/>
              </w:rPr>
              <w:t>affects the exposure but has no direct effect on the outcome</w:t>
            </w:r>
          </w:p>
        </w:tc>
        <w:tc>
          <w:tcPr>
            <w:tcW w:w="2160" w:type="dxa"/>
            <w:vAlign w:val="center"/>
          </w:tcPr>
          <w:p w14:paraId="375618BF" w14:textId="77777777" w:rsidR="00D05387" w:rsidRPr="00375174" w:rsidRDefault="00D05387" w:rsidP="00EB6986">
            <w:pPr>
              <w:spacing w:after="0"/>
              <w:ind w:right="144"/>
              <w:jc w:val="center"/>
              <w:rPr>
                <w:sz w:val="18"/>
                <w:szCs w:val="18"/>
              </w:rPr>
            </w:pPr>
            <w:r w:rsidRPr="00375174">
              <w:rPr>
                <w:sz w:val="18"/>
                <w:szCs w:val="18"/>
              </w:rPr>
              <w:t xml:space="preserve">Z → X → O </w:t>
            </w:r>
            <w:r>
              <w:rPr>
                <w:sz w:val="18"/>
                <w:szCs w:val="18"/>
              </w:rPr>
              <w:br/>
            </w:r>
            <w:r w:rsidRPr="00375174">
              <w:rPr>
                <w:sz w:val="18"/>
                <w:szCs w:val="18"/>
              </w:rPr>
              <w:t>(No direct Z → O path.)</w:t>
            </w:r>
          </w:p>
        </w:tc>
        <w:tc>
          <w:tcPr>
            <w:tcW w:w="5040" w:type="dxa"/>
            <w:vAlign w:val="center"/>
          </w:tcPr>
          <w:p w14:paraId="7D001E91" w14:textId="77777777" w:rsidR="00D05387" w:rsidRPr="00375174" w:rsidRDefault="00D05387" w:rsidP="00EB6986">
            <w:pPr>
              <w:spacing w:after="0"/>
              <w:ind w:right="144"/>
              <w:rPr>
                <w:sz w:val="18"/>
                <w:szCs w:val="18"/>
              </w:rPr>
            </w:pPr>
            <w:r w:rsidRPr="00375174">
              <w:rPr>
                <w:sz w:val="18"/>
                <w:szCs w:val="18"/>
              </w:rPr>
              <w:t>Genetic variation (Z) influences cholesterol levels (X) but does not directly cause heart disease (O). Used for causal estimation.</w:t>
            </w:r>
          </w:p>
        </w:tc>
      </w:tr>
    </w:tbl>
    <w:p w14:paraId="391C06B7" w14:textId="77777777" w:rsidR="00D05387" w:rsidRDefault="00D05387" w:rsidP="00D05387">
      <w:pPr>
        <w:spacing w:after="160" w:line="278" w:lineRule="auto"/>
        <w:rPr>
          <w:rFonts w:ascii="Calibri" w:eastAsia="Times New Roman" w:hAnsi="Calibri" w:cs="Arial"/>
          <w:b/>
          <w:bCs/>
          <w:color w:val="0D0D0D"/>
          <w:kern w:val="24"/>
          <w:sz w:val="32"/>
          <w:szCs w:val="32"/>
          <w14:ligatures w14:val="none"/>
        </w:rPr>
      </w:pPr>
      <w:r>
        <w:rPr>
          <w:rFonts w:ascii="Calibri" w:eastAsia="Times New Roman" w:hAnsi="Calibri" w:cs="Arial"/>
          <w:b/>
          <w:bCs/>
          <w:color w:val="0D0D0D"/>
          <w:kern w:val="24"/>
          <w:sz w:val="32"/>
          <w:szCs w:val="32"/>
          <w14:ligatures w14:val="none"/>
        </w:rPr>
        <w:br w:type="page"/>
      </w:r>
    </w:p>
    <w:p w14:paraId="569DDD3F" w14:textId="77777777" w:rsidR="005757A4" w:rsidRDefault="005757A4" w:rsidP="005757A4">
      <w:r w:rsidRPr="00BA00DE">
        <w:rPr>
          <w:noProof/>
        </w:rPr>
        <w:lastRenderedPageBreak/>
        <mc:AlternateContent>
          <mc:Choice Requires="wps">
            <w:drawing>
              <wp:anchor distT="0" distB="0" distL="114300" distR="114300" simplePos="0" relativeHeight="251660288" behindDoc="0" locked="0" layoutInCell="1" allowOverlap="1" wp14:anchorId="2E285A55" wp14:editId="5D1E40B3">
                <wp:simplePos x="0" y="0"/>
                <wp:positionH relativeFrom="margin">
                  <wp:posOffset>2311400</wp:posOffset>
                </wp:positionH>
                <wp:positionV relativeFrom="paragraph">
                  <wp:posOffset>362585</wp:posOffset>
                </wp:positionV>
                <wp:extent cx="4368800" cy="403991"/>
                <wp:effectExtent l="0" t="0" r="0" b="0"/>
                <wp:wrapNone/>
                <wp:docPr id="689396234" name="TextBox 32"/>
                <wp:cNvGraphicFramePr/>
                <a:graphic xmlns:a="http://schemas.openxmlformats.org/drawingml/2006/main">
                  <a:graphicData uri="http://schemas.microsoft.com/office/word/2010/wordprocessingShape">
                    <wps:wsp>
                      <wps:cNvSpPr txBox="1"/>
                      <wps:spPr>
                        <a:xfrm>
                          <a:off x="0" y="0"/>
                          <a:ext cx="4368800" cy="403991"/>
                        </a:xfrm>
                        <a:prstGeom prst="rect">
                          <a:avLst/>
                        </a:prstGeom>
                        <a:noFill/>
                      </wps:spPr>
                      <wps:txbx>
                        <w:txbxContent>
                          <w:p w14:paraId="31A64C74" w14:textId="7108FA1B" w:rsidR="000D3393" w:rsidRDefault="008C7DFA" w:rsidP="000D3393">
                            <w:pPr>
                              <w:pStyle w:val="Caption"/>
                              <w:spacing w:after="0"/>
                              <w:jc w:val="center"/>
                            </w:pPr>
                            <w:bookmarkStart w:id="4" w:name="_Ref192430993"/>
                            <w:r>
                              <w:t xml:space="preserve">Supplementary Appendix </w:t>
                            </w:r>
                            <w:fldSimple w:instr=" SEQ Supplementary_Appendix \* ARABIC ">
                              <w:r w:rsidR="00C92BFF">
                                <w:rPr>
                                  <w:noProof/>
                                </w:rPr>
                                <w:t>6</w:t>
                              </w:r>
                            </w:fldSimple>
                            <w:bookmarkEnd w:id="4"/>
                          </w:p>
                          <w:p w14:paraId="1CBF1BB2" w14:textId="1008836B" w:rsidR="005757A4" w:rsidRPr="000D3393" w:rsidRDefault="005757A4" w:rsidP="000D3393">
                            <w:pPr>
                              <w:pStyle w:val="Caption"/>
                              <w:jc w:val="center"/>
                              <w:rPr>
                                <w:b/>
                                <w:bCs/>
                                <w:i w:val="0"/>
                                <w:iCs w:val="0"/>
                              </w:rPr>
                            </w:pPr>
                            <w:r w:rsidRPr="000D3393">
                              <w:rPr>
                                <w:rFonts w:ascii="Calibri" w:eastAsia="Calibri" w:hAnsi="Calibri"/>
                                <w:b/>
                                <w:bCs/>
                                <w:i w:val="0"/>
                                <w:iCs w:val="0"/>
                                <w:color w:val="000000"/>
                                <w:kern w:val="24"/>
                                <w:position w:val="1"/>
                                <w:sz w:val="24"/>
                                <w:szCs w:val="24"/>
                              </w:rPr>
                              <w:t>The analytic patient history</w:t>
                            </w:r>
                          </w:p>
                        </w:txbxContent>
                      </wps:txbx>
                      <wps:bodyPr wrap="square" rtlCol="0">
                        <a:noAutofit/>
                      </wps:bodyPr>
                    </wps:wsp>
                  </a:graphicData>
                </a:graphic>
                <wp14:sizeRelH relativeFrom="margin">
                  <wp14:pctWidth>0</wp14:pctWidth>
                </wp14:sizeRelH>
              </wp:anchor>
            </w:drawing>
          </mc:Choice>
          <mc:Fallback>
            <w:pict>
              <v:shapetype w14:anchorId="2E285A55" id="_x0000_t202" coordsize="21600,21600" o:spt="202" path="m,l,21600r21600,l21600,xe">
                <v:stroke joinstyle="miter"/>
                <v:path gradientshapeok="t" o:connecttype="rect"/>
              </v:shapetype>
              <v:shape id="TextBox 32" o:spid="_x0000_s1026" type="#_x0000_t202" style="position:absolute;margin-left:182pt;margin-top:28.55pt;width:344pt;height:31.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" filled="f" stroked="f">
                <v:textbox>
                  <w:txbxContent>
                    <w:p w14:paraId="31A64C74" w14:textId="7108FA1B" w:rsidR="000D3393" w:rsidRDefault="008C7DFA" w:rsidP="000D3393">
                      <w:pPr>
                        <w:pStyle w:val="Caption"/>
                        <w:spacing w:after="0"/>
                        <w:jc w:val="center"/>
                      </w:pPr>
                      <w:bookmarkStart w:id="5" w:name="_Ref192430993"/>
                      <w:r>
                        <w:t xml:space="preserve">Supplementary Appendix </w:t>
                      </w:r>
                      <w:fldSimple w:instr=" SEQ Supplementary_Appendix \* ARABIC ">
                        <w:r w:rsidR="00C92BFF">
                          <w:rPr>
                            <w:noProof/>
                          </w:rPr>
                          <w:t>6</w:t>
                        </w:r>
                      </w:fldSimple>
                      <w:bookmarkEnd w:id="5"/>
                    </w:p>
                    <w:p w14:paraId="1CBF1BB2" w14:textId="1008836B" w:rsidR="005757A4" w:rsidRPr="000D3393" w:rsidRDefault="005757A4" w:rsidP="000D3393">
                      <w:pPr>
                        <w:pStyle w:val="Caption"/>
                        <w:jc w:val="center"/>
                        <w:rPr>
                          <w:b/>
                          <w:bCs/>
                          <w:i w:val="0"/>
                          <w:iCs w:val="0"/>
                        </w:rPr>
                      </w:pPr>
                      <w:r w:rsidRPr="000D3393">
                        <w:rPr>
                          <w:rFonts w:ascii="Calibri" w:eastAsia="Calibri" w:hAnsi="Calibri"/>
                          <w:b/>
                          <w:bCs/>
                          <w:i w:val="0"/>
                          <w:iCs w:val="0"/>
                          <w:color w:val="000000"/>
                          <w:kern w:val="24"/>
                          <w:position w:val="1"/>
                          <w:sz w:val="24"/>
                          <w:szCs w:val="24"/>
                        </w:rPr>
                        <w:t>The analytic patient history</w:t>
                      </w:r>
                    </w:p>
                  </w:txbxContent>
                </v:textbox>
                <w10:wrap anchorx="margin"/>
              </v:shape>
            </w:pict>
          </mc:Fallback>
        </mc:AlternateContent>
      </w:r>
      <w:r w:rsidRPr="00BA00DE">
        <w:rPr>
          <w:noProof/>
        </w:rPr>
        <mc:AlternateContent>
          <mc:Choice Requires="wpg">
            <w:drawing>
              <wp:anchor distT="0" distB="0" distL="114300" distR="114300" simplePos="0" relativeHeight="251659264" behindDoc="0" locked="0" layoutInCell="1" allowOverlap="1" wp14:anchorId="6CA4FA5A" wp14:editId="10253B0B">
                <wp:simplePos x="0" y="0"/>
                <wp:positionH relativeFrom="margin">
                  <wp:align>center</wp:align>
                </wp:positionH>
                <wp:positionV relativeFrom="paragraph">
                  <wp:posOffset>949325</wp:posOffset>
                </wp:positionV>
                <wp:extent cx="8659368" cy="5888736"/>
                <wp:effectExtent l="19050" t="0" r="27940" b="17145"/>
                <wp:wrapTopAndBottom/>
                <wp:docPr id="998093754" name="Group 10"/>
                <wp:cNvGraphicFramePr/>
                <a:graphic xmlns:a="http://schemas.openxmlformats.org/drawingml/2006/main">
                  <a:graphicData uri="http://schemas.microsoft.com/office/word/2010/wordprocessingGroup">
                    <wpg:wgp>
                      <wpg:cNvGrpSpPr/>
                      <wpg:grpSpPr>
                        <a:xfrm>
                          <a:off x="0" y="0"/>
                          <a:ext cx="8659368" cy="5888736"/>
                          <a:chOff x="247727" y="546201"/>
                          <a:chExt cx="11443228" cy="5888734"/>
                        </a:xfrm>
                      </wpg:grpSpPr>
                      <wps:wsp>
                        <wps:cNvPr id="1220167525" name="Rectangle 1220167525"/>
                        <wps:cNvSpPr/>
                        <wps:spPr>
                          <a:xfrm>
                            <a:off x="713972" y="948536"/>
                            <a:ext cx="10968510"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2058D5B5" w14:textId="77777777" w:rsidR="005757A4" w:rsidRPr="00B9207C" w:rsidRDefault="005757A4" w:rsidP="005757A4">
                              <w:pPr>
                                <w:textAlignment w:val="baseline"/>
                                <w:rPr>
                                  <w:rFonts w:ascii="Calibri" w:eastAsia="Times New Roman" w:hAnsi="Calibri" w:cs="Calibri"/>
                                  <w:b/>
                                  <w:bCs/>
                                  <w:color w:val="0D0D0D"/>
                                  <w:kern w:val="24"/>
                                  <w:sz w:val="18"/>
                                  <w:szCs w:val="18"/>
                                  <w14:ligatures w14:val="none"/>
                                </w:rPr>
                              </w:pPr>
                              <w:r w:rsidRPr="00B9207C">
                                <w:rPr>
                                  <w:rFonts w:ascii="Calibri" w:eastAsia="Times New Roman" w:hAnsi="Calibri" w:cs="Calibri"/>
                                  <w:b/>
                                  <w:bCs/>
                                  <w:color w:val="0D0D0D"/>
                                  <w:kern w:val="24"/>
                                  <w:sz w:val="18"/>
                                  <w:szCs w:val="18"/>
                                </w:rPr>
                                <w:t xml:space="preserve">Health – </w:t>
                              </w:r>
                              <w:r w:rsidRPr="00B9207C">
                                <w:rPr>
                                  <w:rFonts w:ascii="Calibri" w:eastAsia="Times New Roman" w:hAnsi="Calibri" w:cs="Calibri"/>
                                  <w:color w:val="0D0D0D"/>
                                  <w:kern w:val="24"/>
                                  <w:sz w:val="18"/>
                                  <w:szCs w:val="18"/>
                                </w:rPr>
                                <w:t>health adjusted life expectancy reflecting impact of health problems on longevity and daily well-being at a given point in time</w:t>
                              </w:r>
                              <w:r w:rsidRPr="00B9207C">
                                <w:rPr>
                                  <w:rFonts w:ascii="Calibri" w:eastAsia="Times New Roman" w:hAnsi="Calibri" w:cs="Calibri"/>
                                  <w:b/>
                                  <w:bCs/>
                                  <w:color w:val="0D0D0D"/>
                                  <w:kern w:val="24"/>
                                  <w:sz w:val="18"/>
                                  <w:szCs w:val="18"/>
                                </w:rPr>
                                <w:t xml:space="preserve"> </w:t>
                              </w:r>
                            </w:p>
                          </w:txbxContent>
                        </wps:txbx>
                        <wps:bodyPr rtlCol="0" anchor="ctr"/>
                      </wps:wsp>
                      <wps:wsp>
                        <wps:cNvPr id="962712627" name="Rectangle 962712627"/>
                        <wps:cNvSpPr/>
                        <wps:spPr>
                          <a:xfrm>
                            <a:off x="1499940" y="1716114"/>
                            <a:ext cx="10180847"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49D0D6BB"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Health risk </w:t>
                              </w:r>
                              <w:r w:rsidRPr="00B9207C">
                                <w:rPr>
                                  <w:rFonts w:ascii="Calibri" w:eastAsia="Calibri" w:hAnsi="Calibri" w:cs="Calibri"/>
                                  <w:color w:val="0D0D0D"/>
                                  <w:kern w:val="24"/>
                                  <w:sz w:val="18"/>
                                  <w:szCs w:val="18"/>
                                </w:rPr>
                                <w:t>– probability of a new illness based on known risk factors, such as probability of coronary disease based on risk factors</w:t>
                              </w:r>
                            </w:p>
                          </w:txbxContent>
                        </wps:txbx>
                        <wps:bodyPr rtlCol="0" anchor="ctr"/>
                      </wps:wsp>
                      <wps:wsp>
                        <wps:cNvPr id="1023636370" name="Rectangle 1023636370"/>
                        <wps:cNvSpPr/>
                        <wps:spPr>
                          <a:xfrm>
                            <a:off x="1497437" y="2113109"/>
                            <a:ext cx="10185046"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59668BD4"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Condition </w:t>
                              </w:r>
                              <w:r w:rsidRPr="00B9207C">
                                <w:rPr>
                                  <w:rFonts w:ascii="Calibri" w:eastAsia="Calibri" w:hAnsi="Calibri" w:cs="Calibri"/>
                                  <w:color w:val="0D0D0D"/>
                                  <w:kern w:val="24"/>
                                  <w:sz w:val="18"/>
                                  <w:szCs w:val="18"/>
                                </w:rPr>
                                <w:t>– a distinct illness or injury, with start and end dates, potentially life-long</w:t>
                              </w:r>
                            </w:p>
                          </w:txbxContent>
                        </wps:txbx>
                        <wps:bodyPr rtlCol="0" anchor="ctr"/>
                      </wps:wsp>
                      <wps:wsp>
                        <wps:cNvPr id="326799802" name="Rectangle 326799802"/>
                        <wps:cNvSpPr/>
                        <wps:spPr>
                          <a:xfrm>
                            <a:off x="2542057" y="2524544"/>
                            <a:ext cx="9140426"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394EBA50" w14:textId="17012BFB"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Reported diagnosis </w:t>
                              </w:r>
                              <w:r w:rsidRPr="00B9207C">
                                <w:rPr>
                                  <w:rFonts w:ascii="Calibri" w:eastAsia="Calibri" w:hAnsi="Calibri" w:cs="Calibri"/>
                                  <w:color w:val="0D0D0D"/>
                                  <w:kern w:val="24"/>
                                  <w:sz w:val="18"/>
                                  <w:szCs w:val="18"/>
                                </w:rPr>
                                <w:t xml:space="preserve">– set of initial and subsequent </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working</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 xml:space="preserve"> diagnoses and </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correct</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 xml:space="preserve"> final diagnosis for a condition</w:t>
                              </w:r>
                              <w:r w:rsidRPr="00B9207C">
                                <w:rPr>
                                  <w:rFonts w:ascii="Calibri" w:eastAsia="Calibri" w:hAnsi="Calibri" w:cs="Calibri"/>
                                  <w:b/>
                                  <w:bCs/>
                                  <w:color w:val="0D0D0D"/>
                                  <w:kern w:val="24"/>
                                  <w:sz w:val="18"/>
                                  <w:szCs w:val="18"/>
                                </w:rPr>
                                <w:t xml:space="preserve"> </w:t>
                              </w:r>
                            </w:p>
                          </w:txbxContent>
                        </wps:txbx>
                        <wps:bodyPr rtlCol="0" anchor="ctr"/>
                      </wps:wsp>
                      <wps:wsp>
                        <wps:cNvPr id="1063897409" name="Rectangle 1063897409"/>
                        <wps:cNvSpPr/>
                        <wps:spPr>
                          <a:xfrm>
                            <a:off x="1889164" y="2934552"/>
                            <a:ext cx="9793313"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045DD726"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Condition sub-episode </w:t>
                              </w:r>
                              <w:r w:rsidRPr="00B9207C">
                                <w:rPr>
                                  <w:rFonts w:ascii="Calibri" w:eastAsia="Calibri" w:hAnsi="Calibri" w:cs="Calibri"/>
                                  <w:color w:val="0D0D0D"/>
                                  <w:kern w:val="24"/>
                                  <w:sz w:val="18"/>
                                  <w:szCs w:val="18"/>
                                </w:rPr>
                                <w:t>– a significant change in a condition over time reflecting a change in condition control, acuity, or stage</w:t>
                              </w:r>
                            </w:p>
                          </w:txbxContent>
                        </wps:txbx>
                        <wps:bodyPr rtlCol="0" anchor="ctr"/>
                      </wps:wsp>
                      <wps:wsp>
                        <wps:cNvPr id="889044980" name="Rectangle 889044980"/>
                        <wps:cNvSpPr/>
                        <wps:spPr>
                          <a:xfrm>
                            <a:off x="2280902" y="3347424"/>
                            <a:ext cx="9401580"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4B524EA3"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Clinical observations, test results, self-reported outcomes related to a condition</w:t>
                              </w:r>
                            </w:p>
                          </w:txbxContent>
                        </wps:txbx>
                        <wps:bodyPr rtlCol="0" anchor="ctr"/>
                      </wps:wsp>
                      <wps:wsp>
                        <wps:cNvPr id="1162826709" name="Rectangle 1162826709"/>
                        <wps:cNvSpPr/>
                        <wps:spPr>
                          <a:xfrm>
                            <a:off x="2277777" y="3758859"/>
                            <a:ext cx="9401580" cy="219647"/>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1986F1B1"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Condition-related symptom or complication </w:t>
                              </w:r>
                              <w:r w:rsidRPr="00B9207C">
                                <w:rPr>
                                  <w:rFonts w:ascii="Calibri" w:eastAsia="Calibri" w:hAnsi="Calibri" w:cs="Calibri"/>
                                  <w:color w:val="0D0D0D"/>
                                  <w:kern w:val="24"/>
                                  <w:sz w:val="18"/>
                                  <w:szCs w:val="18"/>
                                </w:rPr>
                                <w:t>- a symptom or a new illness or injury caused by a condition, such as sepsis caused by pneumonia</w:t>
                              </w:r>
                            </w:p>
                          </w:txbxContent>
                        </wps:txbx>
                        <wps:bodyPr rtlCol="0" anchor="ctr"/>
                      </wps:wsp>
                      <wps:wsp>
                        <wps:cNvPr id="182058417" name="Rectangle 182058417"/>
                        <wps:cNvSpPr/>
                        <wps:spPr>
                          <a:xfrm>
                            <a:off x="1492499" y="4165721"/>
                            <a:ext cx="10185046" cy="219647"/>
                          </a:xfrm>
                          <a:prstGeom prst="rect">
                            <a:avLst/>
                          </a:prstGeom>
                          <a:solidFill>
                            <a:schemeClr val="bg2">
                              <a:lumMod val="60000"/>
                              <a:lumOff val="40000"/>
                            </a:schemeClr>
                          </a:solidFill>
                          <a:ln w="3175" cap="flat" cmpd="sng" algn="ctr">
                            <a:solidFill>
                              <a:schemeClr val="tx1"/>
                            </a:solidFill>
                            <a:prstDash val="solid"/>
                            <a:miter lim="800000"/>
                          </a:ln>
                          <a:effectLst/>
                        </wps:spPr>
                        <wps:txbx>
                          <w:txbxContent>
                            <w:p w14:paraId="464D401E" w14:textId="328998BA"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Pr>
                                  <w:rFonts w:ascii="Calibri" w:eastAsia="Calibri" w:hAnsi="Calibri" w:cs="Calibri"/>
                                  <w:b/>
                                  <w:bCs/>
                                  <w:color w:val="0D0D0D"/>
                                  <w:kern w:val="24"/>
                                  <w:sz w:val="18"/>
                                  <w:szCs w:val="18"/>
                                </w:rPr>
                                <w:t xml:space="preserve">Process Step – a high-level step in the process of care for a </w:t>
                              </w:r>
                              <w:r w:rsidR="00C427F5">
                                <w:rPr>
                                  <w:rFonts w:ascii="Calibri" w:eastAsia="Calibri" w:hAnsi="Calibri" w:cs="Calibri"/>
                                  <w:b/>
                                  <w:bCs/>
                                  <w:color w:val="0D0D0D"/>
                                  <w:kern w:val="24"/>
                                  <w:sz w:val="18"/>
                                  <w:szCs w:val="18"/>
                                </w:rPr>
                                <w:t xml:space="preserve">health </w:t>
                              </w:r>
                              <w:r>
                                <w:rPr>
                                  <w:rFonts w:ascii="Calibri" w:eastAsia="Calibri" w:hAnsi="Calibri" w:cs="Calibri"/>
                                  <w:b/>
                                  <w:bCs/>
                                  <w:color w:val="0D0D0D"/>
                                  <w:kern w:val="24"/>
                                  <w:sz w:val="18"/>
                                  <w:szCs w:val="18"/>
                                </w:rPr>
                                <w:t>problem, includes one or more units of care, and supporting services</w:t>
                              </w:r>
                            </w:p>
                          </w:txbxContent>
                        </wps:txbx>
                        <wps:bodyPr rtlCol="0" anchor="ctr"/>
                      </wps:wsp>
                      <wps:wsp>
                        <wps:cNvPr id="652855113" name="Elbow Connector 18"/>
                        <wps:cNvCnPr>
                          <a:cxnSpLocks/>
                        </wps:cNvCnPr>
                        <wps:spPr>
                          <a:xfrm rot="16200000" flipH="1">
                            <a:off x="759029" y="1123123"/>
                            <a:ext cx="301617" cy="391734"/>
                          </a:xfrm>
                          <a:prstGeom prst="bentConnector2">
                            <a:avLst/>
                          </a:prstGeom>
                          <a:noFill/>
                          <a:ln w="5080" cap="flat" cmpd="sng" algn="ctr">
                            <a:solidFill>
                              <a:sysClr val="windowText" lastClr="000000"/>
                            </a:solidFill>
                            <a:prstDash val="solid"/>
                            <a:miter lim="800000"/>
                            <a:tailEnd type="none"/>
                          </a:ln>
                          <a:effectLst/>
                        </wps:spPr>
                        <wps:bodyPr/>
                      </wps:wsp>
                      <wps:wsp>
                        <wps:cNvPr id="1409540455" name="Elbow Connector 19"/>
                        <wps:cNvCnPr>
                          <a:cxnSpLocks/>
                        </wps:cNvCnPr>
                        <wps:spPr>
                          <a:xfrm rot="16200000" flipH="1">
                            <a:off x="1105835" y="1832757"/>
                            <a:ext cx="394867" cy="388335"/>
                          </a:xfrm>
                          <a:prstGeom prst="bentConnector3">
                            <a:avLst>
                              <a:gd name="adj1" fmla="val 100262"/>
                            </a:avLst>
                          </a:prstGeom>
                          <a:noFill/>
                          <a:ln w="5080" cap="flat" cmpd="sng" algn="ctr">
                            <a:solidFill>
                              <a:sysClr val="windowText" lastClr="000000"/>
                            </a:solidFill>
                            <a:prstDash val="solid"/>
                            <a:miter lim="800000"/>
                            <a:tailEnd type="none"/>
                          </a:ln>
                          <a:effectLst/>
                        </wps:spPr>
                        <wps:bodyPr/>
                      </wps:wsp>
                      <wps:wsp>
                        <wps:cNvPr id="736836220" name="Elbow Connector 20"/>
                        <wps:cNvCnPr>
                          <a:cxnSpLocks/>
                        </wps:cNvCnPr>
                        <wps:spPr>
                          <a:xfrm rot="16200000" flipH="1">
                            <a:off x="1934225" y="3109140"/>
                            <a:ext cx="301617" cy="391734"/>
                          </a:xfrm>
                          <a:prstGeom prst="bentConnector2">
                            <a:avLst/>
                          </a:prstGeom>
                          <a:noFill/>
                          <a:ln w="5080" cap="flat" cmpd="sng" algn="ctr">
                            <a:solidFill>
                              <a:sysClr val="windowText" lastClr="000000"/>
                            </a:solidFill>
                            <a:prstDash val="solid"/>
                            <a:miter lim="800000"/>
                            <a:tailEnd type="none"/>
                          </a:ln>
                          <a:effectLst/>
                        </wps:spPr>
                        <wps:bodyPr/>
                      </wps:wsp>
                      <wps:wsp>
                        <wps:cNvPr id="1942258634" name="Elbow Connector 25"/>
                        <wps:cNvCnPr>
                          <a:cxnSpLocks/>
                        </wps:cNvCnPr>
                        <wps:spPr>
                          <a:xfrm rot="16200000" flipH="1">
                            <a:off x="1879183" y="3470089"/>
                            <a:ext cx="408578" cy="388613"/>
                          </a:xfrm>
                          <a:prstGeom prst="bentConnector2">
                            <a:avLst/>
                          </a:prstGeom>
                          <a:noFill/>
                          <a:ln w="5080" cap="flat" cmpd="sng" algn="ctr">
                            <a:solidFill>
                              <a:sysClr val="windowText" lastClr="000000"/>
                            </a:solidFill>
                            <a:prstDash val="solid"/>
                            <a:miter lim="800000"/>
                            <a:tailEnd type="none"/>
                          </a:ln>
                          <a:effectLst/>
                        </wps:spPr>
                        <wps:bodyPr/>
                      </wps:wsp>
                      <wps:wsp>
                        <wps:cNvPr id="1745574299" name="Elbow Connector 28"/>
                        <wps:cNvCnPr>
                          <a:cxnSpLocks/>
                        </wps:cNvCnPr>
                        <wps:spPr>
                          <a:xfrm rot="16200000" flipH="1">
                            <a:off x="273508" y="3056555"/>
                            <a:ext cx="2051186" cy="386797"/>
                          </a:xfrm>
                          <a:prstGeom prst="bentConnector2">
                            <a:avLst/>
                          </a:prstGeom>
                          <a:noFill/>
                          <a:ln w="5080" cap="flat" cmpd="sng" algn="ctr">
                            <a:solidFill>
                              <a:sysClr val="windowText" lastClr="000000"/>
                            </a:solidFill>
                            <a:prstDash val="solid"/>
                            <a:miter lim="800000"/>
                            <a:tailEnd type="none"/>
                          </a:ln>
                          <a:effectLst/>
                        </wps:spPr>
                        <wps:bodyPr/>
                      </wps:wsp>
                      <wps:wsp>
                        <wps:cNvPr id="1221398605" name="Elbow Connector 36"/>
                        <wps:cNvCnPr>
                          <a:cxnSpLocks/>
                        </wps:cNvCnPr>
                        <wps:spPr>
                          <a:xfrm>
                            <a:off x="1500893" y="2337045"/>
                            <a:ext cx="1042633" cy="303798"/>
                          </a:xfrm>
                          <a:prstGeom prst="bentConnector3">
                            <a:avLst>
                              <a:gd name="adj1" fmla="val 427"/>
                            </a:avLst>
                          </a:prstGeom>
                          <a:noFill/>
                          <a:ln w="5080" cap="flat" cmpd="sng" algn="ctr">
                            <a:solidFill>
                              <a:sysClr val="windowText" lastClr="000000"/>
                            </a:solidFill>
                            <a:prstDash val="solid"/>
                            <a:miter lim="800000"/>
                            <a:tailEnd type="none"/>
                          </a:ln>
                          <a:effectLst/>
                        </wps:spPr>
                        <wps:bodyPr/>
                      </wps:wsp>
                      <wps:wsp>
                        <wps:cNvPr id="899304354" name="Elbow Connector 50"/>
                        <wps:cNvCnPr>
                          <a:cxnSpLocks/>
                        </wps:cNvCnPr>
                        <wps:spPr>
                          <a:xfrm rot="16200000" flipH="1">
                            <a:off x="1495531" y="2650742"/>
                            <a:ext cx="403535" cy="383733"/>
                          </a:xfrm>
                          <a:prstGeom prst="bentConnector2">
                            <a:avLst/>
                          </a:prstGeom>
                          <a:noFill/>
                          <a:ln w="5080" cap="flat" cmpd="sng" algn="ctr">
                            <a:solidFill>
                              <a:sysClr val="windowText" lastClr="000000"/>
                            </a:solidFill>
                            <a:prstDash val="solid"/>
                            <a:miter lim="800000"/>
                            <a:tailEnd type="none"/>
                          </a:ln>
                          <a:effectLst/>
                        </wps:spPr>
                        <wps:bodyPr/>
                      </wps:wsp>
                      <wps:wsp>
                        <wps:cNvPr id="1401876677" name="Rectangle 1401876677"/>
                        <wps:cNvSpPr/>
                        <wps:spPr>
                          <a:xfrm>
                            <a:off x="1109991" y="1349709"/>
                            <a:ext cx="10576779" cy="219647"/>
                          </a:xfrm>
                          <a:prstGeom prst="rect">
                            <a:avLst/>
                          </a:prstGeom>
                          <a:solidFill>
                            <a:schemeClr val="bg2">
                              <a:lumMod val="60000"/>
                              <a:lumOff val="40000"/>
                            </a:schemeClr>
                          </a:solidFill>
                          <a:ln w="3175" cap="flat" cmpd="sng" algn="ctr">
                            <a:solidFill>
                              <a:schemeClr val="tx1"/>
                            </a:solidFill>
                            <a:prstDash val="solid"/>
                            <a:miter lim="800000"/>
                          </a:ln>
                          <a:effectLst/>
                        </wps:spPr>
                        <wps:txbx>
                          <w:txbxContent>
                            <w:p w14:paraId="7F5ED177"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Health problem </w:t>
                              </w:r>
                              <w:r w:rsidRPr="00B9207C">
                                <w:rPr>
                                  <w:rFonts w:ascii="Calibri" w:eastAsia="Calibri" w:hAnsi="Calibri" w:cs="Calibri"/>
                                  <w:color w:val="0D0D0D"/>
                                  <w:kern w:val="24"/>
                                  <w:sz w:val="18"/>
                                  <w:szCs w:val="18"/>
                                </w:rPr>
                                <w:t>– a health risk, condition, condition phase, symptom, disability, or complication affecting longevity or daily well being</w:t>
                              </w:r>
                            </w:p>
                          </w:txbxContent>
                        </wps:txbx>
                        <wps:bodyPr rtlCol="0" anchor="ctr"/>
                      </wps:wsp>
                      <wps:wsp>
                        <wps:cNvPr id="2079448295" name="Elbow Connector 19"/>
                        <wps:cNvCnPr>
                          <a:cxnSpLocks/>
                        </wps:cNvCnPr>
                        <wps:spPr>
                          <a:xfrm>
                            <a:off x="1115122" y="1566395"/>
                            <a:ext cx="388335" cy="262501"/>
                          </a:xfrm>
                          <a:prstGeom prst="bentConnector3">
                            <a:avLst>
                              <a:gd name="adj1" fmla="val -886"/>
                            </a:avLst>
                          </a:prstGeom>
                          <a:noFill/>
                          <a:ln w="5080" cap="flat" cmpd="sng" algn="ctr">
                            <a:solidFill>
                              <a:sysClr val="windowText" lastClr="000000"/>
                            </a:solidFill>
                            <a:prstDash val="solid"/>
                            <a:miter lim="800000"/>
                            <a:tailEnd type="none"/>
                          </a:ln>
                          <a:effectLst/>
                        </wps:spPr>
                        <wps:bodyPr/>
                      </wps:wsp>
                      <wps:wsp>
                        <wps:cNvPr id="1404057583" name="Rectangle 1404057583"/>
                        <wps:cNvSpPr/>
                        <wps:spPr>
                          <a:xfrm>
                            <a:off x="1889164" y="4580204"/>
                            <a:ext cx="9797606" cy="216416"/>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797A3065"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Treatment episode – </w:t>
                              </w:r>
                              <w:r w:rsidRPr="00B9207C">
                                <w:rPr>
                                  <w:rFonts w:ascii="Calibri" w:eastAsia="Calibri" w:hAnsi="Calibri" w:cs="Calibri"/>
                                  <w:color w:val="0D0D0D"/>
                                  <w:kern w:val="24"/>
                                  <w:sz w:val="18"/>
                                  <w:szCs w:val="18"/>
                                </w:rPr>
                                <w:t>a multi-day unit of care with all supporting services, such as all pre-, intra-, and post- care for a surgery or a course of chemotherapy</w:t>
                              </w:r>
                            </w:p>
                          </w:txbxContent>
                        </wps:txbx>
                        <wps:bodyPr rtlCol="0" anchor="ctr"/>
                      </wps:wsp>
                      <wps:wsp>
                        <wps:cNvPr id="2042042917" name="Rectangle 2042042917"/>
                        <wps:cNvSpPr/>
                        <wps:spPr>
                          <a:xfrm>
                            <a:off x="2252033" y="4995196"/>
                            <a:ext cx="9434732" cy="216416"/>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086E65F5" w14:textId="26555D3E"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Inpatient stay or ambulatory encounter </w:t>
                              </w:r>
                              <w:r w:rsidRPr="00B9207C">
                                <w:rPr>
                                  <w:rFonts w:ascii="Calibri" w:eastAsia="Calibri" w:hAnsi="Calibri" w:cs="Calibri"/>
                                  <w:color w:val="0D0D0D"/>
                                  <w:kern w:val="24"/>
                                  <w:sz w:val="18"/>
                                  <w:szCs w:val="18"/>
                                </w:rPr>
                                <w:t xml:space="preserve">– </w:t>
                              </w:r>
                              <w:r w:rsidR="00E623D8">
                                <w:rPr>
                                  <w:rFonts w:ascii="Calibri" w:eastAsia="Calibri" w:hAnsi="Calibri" w:cs="Calibri"/>
                                  <w:color w:val="0D0D0D"/>
                                  <w:kern w:val="24"/>
                                  <w:sz w:val="18"/>
                                  <w:szCs w:val="18"/>
                                </w:rPr>
                                <w:t>a unit or care that includes</w:t>
                              </w:r>
                              <w:r w:rsidRPr="00B9207C">
                                <w:rPr>
                                  <w:rFonts w:ascii="Calibri" w:eastAsia="Calibri" w:hAnsi="Calibri" w:cs="Calibri"/>
                                  <w:color w:val="0D0D0D"/>
                                  <w:kern w:val="24"/>
                                  <w:sz w:val="18"/>
                                  <w:szCs w:val="18"/>
                                </w:rPr>
                                <w:t xml:space="preserve"> </w:t>
                              </w:r>
                              <w:r w:rsidR="00F57713">
                                <w:rPr>
                                  <w:rFonts w:ascii="Calibri" w:eastAsia="Calibri" w:hAnsi="Calibri" w:cs="Calibri"/>
                                  <w:color w:val="0D0D0D"/>
                                  <w:kern w:val="24"/>
                                  <w:sz w:val="18"/>
                                  <w:szCs w:val="18"/>
                                </w:rPr>
                                <w:t xml:space="preserve">all </w:t>
                              </w:r>
                              <w:r w:rsidRPr="00B9207C">
                                <w:rPr>
                                  <w:rFonts w:ascii="Calibri" w:eastAsia="Calibri" w:hAnsi="Calibri" w:cs="Calibri"/>
                                  <w:color w:val="0D0D0D"/>
                                  <w:kern w:val="24"/>
                                  <w:sz w:val="18"/>
                                  <w:szCs w:val="18"/>
                                </w:rPr>
                                <w:t>facility and professional services provided during the stay or encounter</w:t>
                              </w:r>
                            </w:p>
                          </w:txbxContent>
                        </wps:txbx>
                        <wps:bodyPr rtlCol="0" anchor="ctr"/>
                      </wps:wsp>
                      <wps:wsp>
                        <wps:cNvPr id="1211780738" name="Rectangle 1211780738"/>
                        <wps:cNvSpPr/>
                        <wps:spPr>
                          <a:xfrm>
                            <a:off x="2613423" y="5396616"/>
                            <a:ext cx="9071857" cy="216416"/>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4E2C56EA"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Intervention </w:t>
                              </w:r>
                              <w:r w:rsidRPr="00B9207C">
                                <w:rPr>
                                  <w:rFonts w:ascii="Calibri" w:eastAsia="Calibri" w:hAnsi="Calibri" w:cs="Calibri"/>
                                  <w:color w:val="0D0D0D"/>
                                  <w:kern w:val="24"/>
                                  <w:sz w:val="18"/>
                                  <w:szCs w:val="18"/>
                                </w:rPr>
                                <w:t>– a subunit of care provided during an inpatient stay or encounter including all component services, such as a cardiac stress test</w:t>
                              </w:r>
                            </w:p>
                          </w:txbxContent>
                        </wps:txbx>
                        <wps:bodyPr rtlCol="0" anchor="ctr"/>
                      </wps:wsp>
                      <wps:wsp>
                        <wps:cNvPr id="1518740940" name="Rectangle 1518740940"/>
                        <wps:cNvSpPr/>
                        <wps:spPr>
                          <a:xfrm>
                            <a:off x="2977787" y="5802002"/>
                            <a:ext cx="8708983" cy="216416"/>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5CD01353" w14:textId="4121783B"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Service or medication </w:t>
                              </w:r>
                              <w:r w:rsidRPr="00B9207C">
                                <w:rPr>
                                  <w:rFonts w:ascii="Calibri" w:eastAsia="Calibri" w:hAnsi="Calibri" w:cs="Calibri"/>
                                  <w:color w:val="0D0D0D"/>
                                  <w:kern w:val="24"/>
                                  <w:sz w:val="18"/>
                                  <w:szCs w:val="18"/>
                                </w:rPr>
                                <w:t>– a service or medication</w:t>
                              </w:r>
                              <w:r w:rsidR="00F57713">
                                <w:rPr>
                                  <w:rFonts w:ascii="Calibri" w:eastAsia="Calibri" w:hAnsi="Calibri" w:cs="Calibri"/>
                                  <w:color w:val="0D0D0D"/>
                                  <w:kern w:val="24"/>
                                  <w:sz w:val="18"/>
                                  <w:szCs w:val="18"/>
                                </w:rPr>
                                <w:t xml:space="preserve"> that corresponds either to the pri</w:t>
                              </w:r>
                              <w:r w:rsidR="00E50F63">
                                <w:rPr>
                                  <w:rFonts w:ascii="Calibri" w:eastAsia="Calibri" w:hAnsi="Calibri" w:cs="Calibri"/>
                                  <w:color w:val="0D0D0D"/>
                                  <w:kern w:val="24"/>
                                  <w:sz w:val="18"/>
                                  <w:szCs w:val="18"/>
                                </w:rPr>
                                <w:t xml:space="preserve">ncipal </w:t>
                              </w:r>
                              <w:r w:rsidR="00003CE9">
                                <w:rPr>
                                  <w:rFonts w:ascii="Calibri" w:eastAsia="Calibri" w:hAnsi="Calibri" w:cs="Calibri"/>
                                  <w:color w:val="0D0D0D"/>
                                  <w:kern w:val="24"/>
                                  <w:sz w:val="18"/>
                                  <w:szCs w:val="18"/>
                                </w:rPr>
                                <w:t xml:space="preserve">service </w:t>
                              </w:r>
                              <w:r w:rsidR="00E50F63">
                                <w:rPr>
                                  <w:rFonts w:ascii="Calibri" w:eastAsia="Calibri" w:hAnsi="Calibri" w:cs="Calibri"/>
                                  <w:color w:val="0D0D0D"/>
                                  <w:kern w:val="24"/>
                                  <w:sz w:val="18"/>
                                  <w:szCs w:val="18"/>
                                </w:rPr>
                                <w:t xml:space="preserve">or </w:t>
                              </w:r>
                              <w:r w:rsidR="00003CE9">
                                <w:rPr>
                                  <w:rFonts w:ascii="Calibri" w:eastAsia="Calibri" w:hAnsi="Calibri" w:cs="Calibri"/>
                                  <w:color w:val="0D0D0D"/>
                                  <w:kern w:val="24"/>
                                  <w:sz w:val="18"/>
                                  <w:szCs w:val="18"/>
                                </w:rPr>
                                <w:t xml:space="preserve">a </w:t>
                              </w:r>
                              <w:r w:rsidR="00E50F63">
                                <w:rPr>
                                  <w:rFonts w:ascii="Calibri" w:eastAsia="Calibri" w:hAnsi="Calibri" w:cs="Calibri"/>
                                  <w:color w:val="0D0D0D"/>
                                  <w:kern w:val="24"/>
                                  <w:sz w:val="18"/>
                                  <w:szCs w:val="18"/>
                                </w:rPr>
                                <w:t>supporting service of an intervention</w:t>
                              </w:r>
                            </w:p>
                          </w:txbxContent>
                        </wps:txbx>
                        <wps:bodyPr rtlCol="0" anchor="ctr"/>
                      </wps:wsp>
                      <wps:wsp>
                        <wps:cNvPr id="450456634" name="Elbow Connector 31"/>
                        <wps:cNvCnPr>
                          <a:cxnSpLocks/>
                        </wps:cNvCnPr>
                        <wps:spPr>
                          <a:xfrm rot="16200000" flipH="1">
                            <a:off x="1918951" y="4770321"/>
                            <a:ext cx="303297" cy="362869"/>
                          </a:xfrm>
                          <a:prstGeom prst="bentConnector3">
                            <a:avLst>
                              <a:gd name="adj1" fmla="val 99012"/>
                            </a:avLst>
                          </a:prstGeom>
                          <a:noFill/>
                          <a:ln w="5080" cap="flat" cmpd="sng" algn="ctr">
                            <a:solidFill>
                              <a:sysClr val="windowText" lastClr="000000"/>
                            </a:solidFill>
                            <a:prstDash val="solid"/>
                            <a:miter lim="800000"/>
                            <a:tailEnd type="none"/>
                          </a:ln>
                          <a:effectLst/>
                        </wps:spPr>
                        <wps:bodyPr/>
                      </wps:wsp>
                      <wps:wsp>
                        <wps:cNvPr id="1442442500" name="Elbow Connector 39"/>
                        <wps:cNvCnPr>
                          <a:cxnSpLocks/>
                        </wps:cNvCnPr>
                        <wps:spPr>
                          <a:xfrm rot="16200000" flipH="1">
                            <a:off x="2284914" y="5174763"/>
                            <a:ext cx="295626" cy="361390"/>
                          </a:xfrm>
                          <a:prstGeom prst="bentConnector3">
                            <a:avLst>
                              <a:gd name="adj1" fmla="val 99990"/>
                            </a:avLst>
                          </a:prstGeom>
                          <a:noFill/>
                          <a:ln w="5080" cap="flat" cmpd="sng" algn="ctr">
                            <a:solidFill>
                              <a:sysClr val="windowText" lastClr="000000"/>
                            </a:solidFill>
                            <a:prstDash val="solid"/>
                            <a:miter lim="800000"/>
                            <a:tailEnd type="none"/>
                          </a:ln>
                          <a:effectLst/>
                        </wps:spPr>
                        <wps:bodyPr/>
                      </wps:wsp>
                      <wps:wsp>
                        <wps:cNvPr id="2042732156" name="Elbow Connector 43"/>
                        <wps:cNvCnPr>
                          <a:cxnSpLocks/>
                        </wps:cNvCnPr>
                        <wps:spPr>
                          <a:xfrm rot="16200000" flipH="1">
                            <a:off x="2652195" y="5578025"/>
                            <a:ext cx="295626" cy="361390"/>
                          </a:xfrm>
                          <a:prstGeom prst="bentConnector3">
                            <a:avLst>
                              <a:gd name="adj1" fmla="val 99990"/>
                            </a:avLst>
                          </a:prstGeom>
                          <a:noFill/>
                          <a:ln w="5080" cap="flat" cmpd="sng" algn="ctr">
                            <a:solidFill>
                              <a:sysClr val="windowText" lastClr="000000"/>
                            </a:solidFill>
                            <a:prstDash val="solid"/>
                            <a:miter lim="800000"/>
                            <a:tailEnd type="none"/>
                          </a:ln>
                          <a:effectLst/>
                        </wps:spPr>
                        <wps:bodyPr/>
                      </wps:wsp>
                      <wps:wsp>
                        <wps:cNvPr id="775691428" name="Elbow Connector 31"/>
                        <wps:cNvCnPr>
                          <a:cxnSpLocks/>
                        </wps:cNvCnPr>
                        <wps:spPr>
                          <a:xfrm>
                            <a:off x="1495672" y="4385114"/>
                            <a:ext cx="393492" cy="303297"/>
                          </a:xfrm>
                          <a:prstGeom prst="bentConnector3">
                            <a:avLst>
                              <a:gd name="adj1" fmla="val 780"/>
                            </a:avLst>
                          </a:prstGeom>
                          <a:noFill/>
                          <a:ln w="5080" cap="flat" cmpd="sng" algn="ctr">
                            <a:solidFill>
                              <a:sysClr val="windowText" lastClr="000000"/>
                            </a:solidFill>
                            <a:prstDash val="solid"/>
                            <a:miter lim="800000"/>
                            <a:tailEnd type="none"/>
                          </a:ln>
                          <a:effectLst/>
                        </wps:spPr>
                        <wps:bodyPr/>
                      </wps:wsp>
                      <wps:wsp>
                        <wps:cNvPr id="1850949599" name="Rectangle 1850949599"/>
                        <wps:cNvSpPr/>
                        <wps:spPr>
                          <a:xfrm>
                            <a:off x="1893349" y="6218519"/>
                            <a:ext cx="9797606" cy="216416"/>
                          </a:xfrm>
                          <a:prstGeom prst="rect">
                            <a:avLst/>
                          </a:prstGeom>
                          <a:solidFill>
                            <a:schemeClr val="bg2">
                              <a:lumMod val="20000"/>
                              <a:lumOff val="80000"/>
                            </a:schemeClr>
                          </a:solidFill>
                          <a:ln w="3175" cap="flat" cmpd="sng" algn="ctr">
                            <a:solidFill>
                              <a:schemeClr val="tx1"/>
                            </a:solidFill>
                            <a:prstDash val="solid"/>
                            <a:miter lim="800000"/>
                          </a:ln>
                          <a:effectLst/>
                        </wps:spPr>
                        <wps:txbx>
                          <w:txbxContent>
                            <w:p w14:paraId="603F1F31"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Treatment-related symptom or complication</w:t>
                              </w:r>
                              <w:r w:rsidRPr="00B9207C">
                                <w:rPr>
                                  <w:rFonts w:ascii="Calibri" w:eastAsia="Calibri" w:hAnsi="Calibri" w:cs="Calibri"/>
                                  <w:color w:val="0D0D0D"/>
                                  <w:kern w:val="24"/>
                                  <w:sz w:val="18"/>
                                  <w:szCs w:val="18"/>
                                </w:rPr>
                                <w:t xml:space="preserve">  - a symptom or complication caused by a treatment</w:t>
                              </w:r>
                            </w:p>
                          </w:txbxContent>
                        </wps:txbx>
                        <wps:bodyPr rtlCol="0" anchor="ctr"/>
                      </wps:wsp>
                      <wps:wsp>
                        <wps:cNvPr id="47385635" name="Elbow Connector 28"/>
                        <wps:cNvCnPr>
                          <a:cxnSpLocks/>
                        </wps:cNvCnPr>
                        <wps:spPr>
                          <a:xfrm rot="16200000" flipH="1">
                            <a:off x="874654" y="5312778"/>
                            <a:ext cx="1635360" cy="386628"/>
                          </a:xfrm>
                          <a:prstGeom prst="bentConnector3">
                            <a:avLst>
                              <a:gd name="adj1" fmla="val 100182"/>
                            </a:avLst>
                          </a:prstGeom>
                          <a:noFill/>
                          <a:ln w="5080" cap="flat" cmpd="sng" algn="ctr">
                            <a:solidFill>
                              <a:sysClr val="windowText" lastClr="000000"/>
                            </a:solidFill>
                            <a:prstDash val="solid"/>
                            <a:miter lim="800000"/>
                            <a:tailEnd type="none"/>
                          </a:ln>
                          <a:effectLst/>
                        </wps:spPr>
                        <wps:bodyPr/>
                      </wps:wsp>
                      <wps:wsp>
                        <wps:cNvPr id="1497546248" name="Rectangle 1497546248"/>
                        <wps:cNvSpPr/>
                        <wps:spPr>
                          <a:xfrm>
                            <a:off x="247727" y="546201"/>
                            <a:ext cx="11430000" cy="219647"/>
                          </a:xfrm>
                          <a:prstGeom prst="rect">
                            <a:avLst/>
                          </a:prstGeom>
                          <a:solidFill>
                            <a:schemeClr val="bg2">
                              <a:lumMod val="60000"/>
                              <a:lumOff val="40000"/>
                            </a:schemeClr>
                          </a:solidFill>
                          <a:ln w="3175" cap="flat" cmpd="sng" algn="ctr">
                            <a:solidFill>
                              <a:schemeClr val="tx1"/>
                            </a:solidFill>
                            <a:prstDash val="solid"/>
                            <a:miter lim="800000"/>
                          </a:ln>
                          <a:effectLst/>
                        </wps:spPr>
                        <wps:txbx>
                          <w:txbxContent>
                            <w:p w14:paraId="3F920DF6" w14:textId="77777777" w:rsidR="005757A4" w:rsidRPr="00B9207C" w:rsidRDefault="005757A4" w:rsidP="005757A4">
                              <w:pPr>
                                <w:spacing w:after="0"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Person – </w:t>
                              </w:r>
                              <w:r w:rsidRPr="00B9207C">
                                <w:rPr>
                                  <w:rFonts w:ascii="Calibri" w:eastAsia="Calibri" w:hAnsi="Calibri" w:cs="Calibri"/>
                                  <w:color w:val="0D0D0D"/>
                                  <w:kern w:val="24"/>
                                  <w:sz w:val="18"/>
                                  <w:szCs w:val="18"/>
                                </w:rPr>
                                <w:t>demographics and socioeconomic characteristics that increase risk or a new illness or injury or impair self-care or access to clinical care</w:t>
                              </w:r>
                            </w:p>
                          </w:txbxContent>
                        </wps:txbx>
                        <wps:bodyPr rtlCol="0" anchor="ctr"/>
                      </wps:wsp>
                      <wps:wsp>
                        <wps:cNvPr id="934751076" name="Elbow Connector 18"/>
                        <wps:cNvCnPr>
                          <a:cxnSpLocks/>
                        </wps:cNvCnPr>
                        <wps:spPr>
                          <a:xfrm>
                            <a:off x="252765" y="765847"/>
                            <a:ext cx="461205" cy="292513"/>
                          </a:xfrm>
                          <a:prstGeom prst="bentConnector3">
                            <a:avLst>
                              <a:gd name="adj1" fmla="val -254"/>
                            </a:avLst>
                          </a:prstGeom>
                          <a:noFill/>
                          <a:ln w="5080" cap="flat" cmpd="sng" algn="ctr">
                            <a:solidFill>
                              <a:sysClr val="windowText" lastClr="000000"/>
                            </a:solidFill>
                            <a:prstDash val="solid"/>
                            <a:miter lim="800000"/>
                            <a:tailEnd type="none"/>
                          </a:ln>
                          <a:effectLst/>
                        </wps:spPr>
                        <wps:bodyPr/>
                      </wps:wsp>
                    </wpg:wgp>
                  </a:graphicData>
                </a:graphic>
                <wp14:sizeRelH relativeFrom="margin">
                  <wp14:pctWidth>0</wp14:pctWidth>
                </wp14:sizeRelH>
                <wp14:sizeRelV relativeFrom="margin">
                  <wp14:pctHeight>0</wp14:pctHeight>
                </wp14:sizeRelV>
              </wp:anchor>
            </w:drawing>
          </mc:Choice>
          <mc:Fallback>
            <w:pict>
              <v:group w14:anchorId="6CA4FA5A" id="Group 10" o:spid="_x0000_s1027" style="position:absolute;margin-left:0;margin-top:74.75pt;width:681.85pt;height:463.7pt;z-index:251659264;mso-position-horizontal:center;mso-position-horizontal-relative:margin;mso-width-relative:margin;mso-height-relative:margin" coordorigin="2477,5462" coordsize="114432,58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">
                <v:rect id="Rectangle 1220167525" o:spid="_x0000_s1028" style="position:absolute;left:7139;top:9485;width:109685;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" fillcolor="#fafafa [670]" strokecolor="black [3213]" strokeweight=".25pt">
                  <v:textbox>
                    <w:txbxContent>
                      <w:p w14:paraId="2058D5B5" w14:textId="77777777" w:rsidR="005757A4" w:rsidRPr="00B9207C" w:rsidRDefault="005757A4" w:rsidP="005757A4">
                        <w:pPr>
                          <w:textAlignment w:val="baseline"/>
                          <w:rPr>
                            <w:rFonts w:ascii="Calibri" w:eastAsia="Times New Roman" w:hAnsi="Calibri" w:cs="Calibri"/>
                            <w:b/>
                            <w:bCs/>
                            <w:color w:val="0D0D0D"/>
                            <w:kern w:val="24"/>
                            <w:sz w:val="18"/>
                            <w:szCs w:val="18"/>
                            <w14:ligatures w14:val="none"/>
                          </w:rPr>
                        </w:pPr>
                        <w:r w:rsidRPr="00B9207C">
                          <w:rPr>
                            <w:rFonts w:ascii="Calibri" w:eastAsia="Times New Roman" w:hAnsi="Calibri" w:cs="Calibri"/>
                            <w:b/>
                            <w:bCs/>
                            <w:color w:val="0D0D0D"/>
                            <w:kern w:val="24"/>
                            <w:sz w:val="18"/>
                            <w:szCs w:val="18"/>
                          </w:rPr>
                          <w:t xml:space="preserve">Health – </w:t>
                        </w:r>
                        <w:r w:rsidRPr="00B9207C">
                          <w:rPr>
                            <w:rFonts w:ascii="Calibri" w:eastAsia="Times New Roman" w:hAnsi="Calibri" w:cs="Calibri"/>
                            <w:color w:val="0D0D0D"/>
                            <w:kern w:val="24"/>
                            <w:sz w:val="18"/>
                            <w:szCs w:val="18"/>
                          </w:rPr>
                          <w:t>health adjusted life expectancy reflecting impact of health problems on longevity and daily well-being at a given point in time</w:t>
                        </w:r>
                        <w:r w:rsidRPr="00B9207C">
                          <w:rPr>
                            <w:rFonts w:ascii="Calibri" w:eastAsia="Times New Roman" w:hAnsi="Calibri" w:cs="Calibri"/>
                            <w:b/>
                            <w:bCs/>
                            <w:color w:val="0D0D0D"/>
                            <w:kern w:val="24"/>
                            <w:sz w:val="18"/>
                            <w:szCs w:val="18"/>
                          </w:rPr>
                          <w:t xml:space="preserve"> </w:t>
                        </w:r>
                      </w:p>
                    </w:txbxContent>
                  </v:textbox>
                </v:rect>
                <v:rect id="Rectangle 962712627" o:spid="_x0000_s1029" style="position:absolute;left:14999;top:17161;width:101808;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" fillcolor="#fafafa [670]" strokecolor="black [3213]" strokeweight=".25pt">
                  <v:textbox>
                    <w:txbxContent>
                      <w:p w14:paraId="49D0D6BB"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Health risk </w:t>
                        </w:r>
                        <w:r w:rsidRPr="00B9207C">
                          <w:rPr>
                            <w:rFonts w:ascii="Calibri" w:eastAsia="Calibri" w:hAnsi="Calibri" w:cs="Calibri"/>
                            <w:color w:val="0D0D0D"/>
                            <w:kern w:val="24"/>
                            <w:sz w:val="18"/>
                            <w:szCs w:val="18"/>
                          </w:rPr>
                          <w:t>– probability of a new illness based on known risk factors, such as probability of coronary disease based on risk factors</w:t>
                        </w:r>
                      </w:p>
                    </w:txbxContent>
                  </v:textbox>
                </v:rect>
                <v:rect id="Rectangle 1023636370" o:spid="_x0000_s1030" style="position:absolute;left:14974;top:21131;width:101850;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" fillcolor="#fafafa [670]" strokecolor="black [3213]" strokeweight=".25pt">
                  <v:textbox>
                    <w:txbxContent>
                      <w:p w14:paraId="59668BD4"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Condition </w:t>
                        </w:r>
                        <w:r w:rsidRPr="00B9207C">
                          <w:rPr>
                            <w:rFonts w:ascii="Calibri" w:eastAsia="Calibri" w:hAnsi="Calibri" w:cs="Calibri"/>
                            <w:color w:val="0D0D0D"/>
                            <w:kern w:val="24"/>
                            <w:sz w:val="18"/>
                            <w:szCs w:val="18"/>
                          </w:rPr>
                          <w:t>– a distinct illness or injury, with start and end dates, potentially life-long</w:t>
                        </w:r>
                      </w:p>
                    </w:txbxContent>
                  </v:textbox>
                </v:rect>
                <v:rect id="Rectangle 326799802" o:spid="_x0000_s1031" style="position:absolute;left:25420;top:25245;width:91404;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" fillcolor="#fafafa [670]" strokecolor="black [3213]" strokeweight=".25pt">
                  <v:textbox>
                    <w:txbxContent>
                      <w:p w14:paraId="394EBA50" w14:textId="17012BFB"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Reported diagnosis </w:t>
                        </w:r>
                        <w:r w:rsidRPr="00B9207C">
                          <w:rPr>
                            <w:rFonts w:ascii="Calibri" w:eastAsia="Calibri" w:hAnsi="Calibri" w:cs="Calibri"/>
                            <w:color w:val="0D0D0D"/>
                            <w:kern w:val="24"/>
                            <w:sz w:val="18"/>
                            <w:szCs w:val="18"/>
                          </w:rPr>
                          <w:t xml:space="preserve">– set of initial and subsequent </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working</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 xml:space="preserve"> diagnoses and </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correct</w:t>
                        </w:r>
                        <w:r w:rsidR="001100BB">
                          <w:rPr>
                            <w:rFonts w:ascii="Calibri" w:eastAsia="Calibri" w:hAnsi="Calibri" w:cs="Calibri"/>
                            <w:color w:val="0D0D0D"/>
                            <w:kern w:val="24"/>
                            <w:sz w:val="18"/>
                            <w:szCs w:val="18"/>
                          </w:rPr>
                          <w:t>”</w:t>
                        </w:r>
                        <w:r w:rsidRPr="00B9207C">
                          <w:rPr>
                            <w:rFonts w:ascii="Calibri" w:eastAsia="Calibri" w:hAnsi="Calibri" w:cs="Calibri"/>
                            <w:color w:val="0D0D0D"/>
                            <w:kern w:val="24"/>
                            <w:sz w:val="18"/>
                            <w:szCs w:val="18"/>
                          </w:rPr>
                          <w:t xml:space="preserve"> final diagnosis for a condition</w:t>
                        </w:r>
                        <w:r w:rsidRPr="00B9207C">
                          <w:rPr>
                            <w:rFonts w:ascii="Calibri" w:eastAsia="Calibri" w:hAnsi="Calibri" w:cs="Calibri"/>
                            <w:b/>
                            <w:bCs/>
                            <w:color w:val="0D0D0D"/>
                            <w:kern w:val="24"/>
                            <w:sz w:val="18"/>
                            <w:szCs w:val="18"/>
                          </w:rPr>
                          <w:t xml:space="preserve"> </w:t>
                        </w:r>
                      </w:p>
                    </w:txbxContent>
                  </v:textbox>
                </v:rect>
                <v:rect id="Rectangle 1063897409" o:spid="_x0000_s1032" style="position:absolute;left:18891;top:29345;width:97933;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" fillcolor="#fafafa [670]" strokecolor="black [3213]" strokeweight=".25pt">
                  <v:textbox>
                    <w:txbxContent>
                      <w:p w14:paraId="045DD726"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Condition sub-episode </w:t>
                        </w:r>
                        <w:r w:rsidRPr="00B9207C">
                          <w:rPr>
                            <w:rFonts w:ascii="Calibri" w:eastAsia="Calibri" w:hAnsi="Calibri" w:cs="Calibri"/>
                            <w:color w:val="0D0D0D"/>
                            <w:kern w:val="24"/>
                            <w:sz w:val="18"/>
                            <w:szCs w:val="18"/>
                          </w:rPr>
                          <w:t>– a significant change in a condition over time reflecting a change in condition control, acuity, or stage</w:t>
                        </w:r>
                      </w:p>
                    </w:txbxContent>
                  </v:textbox>
                </v:rect>
                <v:rect id="Rectangle 889044980" o:spid="_x0000_s1033" style="position:absolute;left:22809;top:33474;width:94015;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" fillcolor="#fafafa [670]" strokecolor="black [3213]" strokeweight=".25pt">
                  <v:textbox>
                    <w:txbxContent>
                      <w:p w14:paraId="4B524EA3"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Clinical observations, test results, self-reported outcomes related to a condition</w:t>
                        </w:r>
                      </w:p>
                    </w:txbxContent>
                  </v:textbox>
                </v:rect>
                <v:rect id="Rectangle 1162826709" o:spid="_x0000_s1034" style="position:absolute;left:22777;top:37588;width:94016;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" fillcolor="#fafafa [670]" strokecolor="black [3213]" strokeweight=".25pt">
                  <v:textbox>
                    <w:txbxContent>
                      <w:p w14:paraId="1986F1B1"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Condition-related symptom or complication </w:t>
                        </w:r>
                        <w:r w:rsidRPr="00B9207C">
                          <w:rPr>
                            <w:rFonts w:ascii="Calibri" w:eastAsia="Calibri" w:hAnsi="Calibri" w:cs="Calibri"/>
                            <w:color w:val="0D0D0D"/>
                            <w:kern w:val="24"/>
                            <w:sz w:val="18"/>
                            <w:szCs w:val="18"/>
                          </w:rPr>
                          <w:t>- a symptom or a new illness or injury caused by a condition, such as sepsis caused by pneumonia</w:t>
                        </w:r>
                      </w:p>
                    </w:txbxContent>
                  </v:textbox>
                </v:rect>
                <v:rect id="Rectangle 182058417" o:spid="_x0000_s1035" style="position:absolute;left:14924;top:41657;width:101851;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" fillcolor="#f1f1f1 [1950]" strokecolor="black [3213]" strokeweight=".25pt">
                  <v:textbox>
                    <w:txbxContent>
                      <w:p w14:paraId="464D401E" w14:textId="328998BA"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Pr>
                            <w:rFonts w:ascii="Calibri" w:eastAsia="Calibri" w:hAnsi="Calibri" w:cs="Calibri"/>
                            <w:b/>
                            <w:bCs/>
                            <w:color w:val="0D0D0D"/>
                            <w:kern w:val="24"/>
                            <w:sz w:val="18"/>
                            <w:szCs w:val="18"/>
                          </w:rPr>
                          <w:t xml:space="preserve">Process Step – a high-level step in the process of care for a </w:t>
                        </w:r>
                        <w:r w:rsidR="00C427F5">
                          <w:rPr>
                            <w:rFonts w:ascii="Calibri" w:eastAsia="Calibri" w:hAnsi="Calibri" w:cs="Calibri"/>
                            <w:b/>
                            <w:bCs/>
                            <w:color w:val="0D0D0D"/>
                            <w:kern w:val="24"/>
                            <w:sz w:val="18"/>
                            <w:szCs w:val="18"/>
                          </w:rPr>
                          <w:t xml:space="preserve">health </w:t>
                        </w:r>
                        <w:r>
                          <w:rPr>
                            <w:rFonts w:ascii="Calibri" w:eastAsia="Calibri" w:hAnsi="Calibri" w:cs="Calibri"/>
                            <w:b/>
                            <w:bCs/>
                            <w:color w:val="0D0D0D"/>
                            <w:kern w:val="24"/>
                            <w:sz w:val="18"/>
                            <w:szCs w:val="18"/>
                          </w:rPr>
                          <w:t>problem, includes one or more units of care, and supporting services</w:t>
                        </w:r>
                      </w:p>
                    </w:txbxContent>
                  </v:textbox>
                </v:rect>
                <v:shapetype id="_x0000_t33" coordsize="21600,21600" o:spt="33" o:oned="t" path="m,l21600,r,21600e" filled="f">
                  <v:stroke joinstyle="miter"/>
                  <v:path arrowok="t" fillok="f" o:connecttype="none"/>
                  <o:lock v:ext="edit" shapetype="t"/>
                </v:shapetype>
                <v:shape id="Elbow Connector 18" o:spid="_x0000_s1036" type="#_x0000_t33" style="position:absolute;left:7590;top:11230;width:3016;height:39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" strokecolor="windowText" strokeweight=".4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37" type="#_x0000_t34" style="position:absolute;left:11058;top:18327;width:3949;height:38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" adj="21657" strokecolor="windowText" strokeweight=".4pt">
                  <o:lock v:ext="edit" shapetype="f"/>
                </v:shape>
                <v:shape id="Elbow Connector 20" o:spid="_x0000_s1038" type="#_x0000_t33" style="position:absolute;left:19341;top:31091;width:3017;height:39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" strokecolor="windowText" strokeweight=".4pt">
                  <o:lock v:ext="edit" shapetype="f"/>
                </v:shape>
                <v:shape id="Elbow Connector 25" o:spid="_x0000_s1039" type="#_x0000_t33" style="position:absolute;left:18791;top:34701;width:4085;height:38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" strokecolor="windowText" strokeweight=".4pt">
                  <o:lock v:ext="edit" shapetype="f"/>
                </v:shape>
                <v:shape id="Elbow Connector 28" o:spid="_x0000_s1040" type="#_x0000_t33" style="position:absolute;left:2735;top:30565;width:20512;height:38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" strokecolor="windowText" strokeweight=".4pt">
                  <o:lock v:ext="edit" shapetype="f"/>
                </v:shape>
                <v:shape id="Elbow Connector 36" o:spid="_x0000_s1041" type="#_x0000_t34" style="position:absolute;left:15008;top:23370;width:10427;height:30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" adj="92" strokecolor="windowText" strokeweight=".4pt">
                  <o:lock v:ext="edit" shapetype="f"/>
                </v:shape>
                <v:shape id="Elbow Connector 50" o:spid="_x0000_s1042" type="#_x0000_t33" style="position:absolute;left:14955;top:26507;width:4035;height:38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" strokecolor="windowText" strokeweight=".4pt">
                  <o:lock v:ext="edit" shapetype="f"/>
                </v:shape>
                <v:rect id="Rectangle 1401876677" o:spid="_x0000_s1043" style="position:absolute;left:11099;top:13497;width:105768;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" fillcolor="#f1f1f1 [1950]" strokecolor="black [3213]" strokeweight=".25pt">
                  <v:textbox>
                    <w:txbxContent>
                      <w:p w14:paraId="7F5ED177"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Health problem </w:t>
                        </w:r>
                        <w:r w:rsidRPr="00B9207C">
                          <w:rPr>
                            <w:rFonts w:ascii="Calibri" w:eastAsia="Calibri" w:hAnsi="Calibri" w:cs="Calibri"/>
                            <w:color w:val="0D0D0D"/>
                            <w:kern w:val="24"/>
                            <w:sz w:val="18"/>
                            <w:szCs w:val="18"/>
                          </w:rPr>
                          <w:t>– a health risk, condition, condition phase, symptom, disability, or complication affecting longevity or daily well being</w:t>
                        </w:r>
                      </w:p>
                    </w:txbxContent>
                  </v:textbox>
                </v:rect>
                <v:shape id="Elbow Connector 19" o:spid="_x0000_s1044" type="#_x0000_t34" style="position:absolute;left:11151;top:15663;width:3883;height:26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" adj="-191" strokecolor="windowText" strokeweight=".4pt">
                  <o:lock v:ext="edit" shapetype="f"/>
                </v:shape>
                <v:rect id="Rectangle 1404057583" o:spid="_x0000_s1045" style="position:absolute;left:18891;top:45802;width:97976;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" fillcolor="#fafafa [670]" strokecolor="black [3213]" strokeweight=".25pt">
                  <v:textbox>
                    <w:txbxContent>
                      <w:p w14:paraId="797A3065"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Treatment episode – </w:t>
                        </w:r>
                        <w:r w:rsidRPr="00B9207C">
                          <w:rPr>
                            <w:rFonts w:ascii="Calibri" w:eastAsia="Calibri" w:hAnsi="Calibri" w:cs="Calibri"/>
                            <w:color w:val="0D0D0D"/>
                            <w:kern w:val="24"/>
                            <w:sz w:val="18"/>
                            <w:szCs w:val="18"/>
                          </w:rPr>
                          <w:t>a multi-day unit of care with all supporting services, such as all pre-, intra-, and post- care for a surgery or a course of chemotherapy</w:t>
                        </w:r>
                      </w:p>
                    </w:txbxContent>
                  </v:textbox>
                </v:rect>
                <v:rect id="Rectangle 2042042917" o:spid="_x0000_s1046" style="position:absolute;left:22520;top:49951;width:94347;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" fillcolor="#fafafa [670]" strokecolor="black [3213]" strokeweight=".25pt">
                  <v:textbox>
                    <w:txbxContent>
                      <w:p w14:paraId="086E65F5" w14:textId="26555D3E"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Inpatient stay or ambulatory encounter </w:t>
                        </w:r>
                        <w:r w:rsidRPr="00B9207C">
                          <w:rPr>
                            <w:rFonts w:ascii="Calibri" w:eastAsia="Calibri" w:hAnsi="Calibri" w:cs="Calibri"/>
                            <w:color w:val="0D0D0D"/>
                            <w:kern w:val="24"/>
                            <w:sz w:val="18"/>
                            <w:szCs w:val="18"/>
                          </w:rPr>
                          <w:t xml:space="preserve">– </w:t>
                        </w:r>
                        <w:r w:rsidR="00E623D8">
                          <w:rPr>
                            <w:rFonts w:ascii="Calibri" w:eastAsia="Calibri" w:hAnsi="Calibri" w:cs="Calibri"/>
                            <w:color w:val="0D0D0D"/>
                            <w:kern w:val="24"/>
                            <w:sz w:val="18"/>
                            <w:szCs w:val="18"/>
                          </w:rPr>
                          <w:t>a unit or care that includes</w:t>
                        </w:r>
                        <w:r w:rsidRPr="00B9207C">
                          <w:rPr>
                            <w:rFonts w:ascii="Calibri" w:eastAsia="Calibri" w:hAnsi="Calibri" w:cs="Calibri"/>
                            <w:color w:val="0D0D0D"/>
                            <w:kern w:val="24"/>
                            <w:sz w:val="18"/>
                            <w:szCs w:val="18"/>
                          </w:rPr>
                          <w:t xml:space="preserve"> </w:t>
                        </w:r>
                        <w:r w:rsidR="00F57713">
                          <w:rPr>
                            <w:rFonts w:ascii="Calibri" w:eastAsia="Calibri" w:hAnsi="Calibri" w:cs="Calibri"/>
                            <w:color w:val="0D0D0D"/>
                            <w:kern w:val="24"/>
                            <w:sz w:val="18"/>
                            <w:szCs w:val="18"/>
                          </w:rPr>
                          <w:t xml:space="preserve">all </w:t>
                        </w:r>
                        <w:r w:rsidRPr="00B9207C">
                          <w:rPr>
                            <w:rFonts w:ascii="Calibri" w:eastAsia="Calibri" w:hAnsi="Calibri" w:cs="Calibri"/>
                            <w:color w:val="0D0D0D"/>
                            <w:kern w:val="24"/>
                            <w:sz w:val="18"/>
                            <w:szCs w:val="18"/>
                          </w:rPr>
                          <w:t>facility and professional services provided during the stay or encounter</w:t>
                        </w:r>
                      </w:p>
                    </w:txbxContent>
                  </v:textbox>
                </v:rect>
                <v:rect id="Rectangle 1211780738" o:spid="_x0000_s1047" style="position:absolute;left:26134;top:53966;width:90718;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" fillcolor="#fafafa [670]" strokecolor="black [3213]" strokeweight=".25pt">
                  <v:textbox>
                    <w:txbxContent>
                      <w:p w14:paraId="4E2C56EA"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Intervention </w:t>
                        </w:r>
                        <w:r w:rsidRPr="00B9207C">
                          <w:rPr>
                            <w:rFonts w:ascii="Calibri" w:eastAsia="Calibri" w:hAnsi="Calibri" w:cs="Calibri"/>
                            <w:color w:val="0D0D0D"/>
                            <w:kern w:val="24"/>
                            <w:sz w:val="18"/>
                            <w:szCs w:val="18"/>
                          </w:rPr>
                          <w:t>– a subunit of care provided during an inpatient stay or encounter including all component services, such as a cardiac stress test</w:t>
                        </w:r>
                      </w:p>
                    </w:txbxContent>
                  </v:textbox>
                </v:rect>
                <v:rect id="Rectangle 1518740940" o:spid="_x0000_s1048" style="position:absolute;left:29777;top:58020;width:87090;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" fillcolor="#fafafa [670]" strokecolor="black [3213]" strokeweight=".25pt">
                  <v:textbox>
                    <w:txbxContent>
                      <w:p w14:paraId="5CD01353" w14:textId="4121783B"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Service or medication </w:t>
                        </w:r>
                        <w:r w:rsidRPr="00B9207C">
                          <w:rPr>
                            <w:rFonts w:ascii="Calibri" w:eastAsia="Calibri" w:hAnsi="Calibri" w:cs="Calibri"/>
                            <w:color w:val="0D0D0D"/>
                            <w:kern w:val="24"/>
                            <w:sz w:val="18"/>
                            <w:szCs w:val="18"/>
                          </w:rPr>
                          <w:t>– a service or medication</w:t>
                        </w:r>
                        <w:r w:rsidR="00F57713">
                          <w:rPr>
                            <w:rFonts w:ascii="Calibri" w:eastAsia="Calibri" w:hAnsi="Calibri" w:cs="Calibri"/>
                            <w:color w:val="0D0D0D"/>
                            <w:kern w:val="24"/>
                            <w:sz w:val="18"/>
                            <w:szCs w:val="18"/>
                          </w:rPr>
                          <w:t xml:space="preserve"> that corresponds either to the pri</w:t>
                        </w:r>
                        <w:r w:rsidR="00E50F63">
                          <w:rPr>
                            <w:rFonts w:ascii="Calibri" w:eastAsia="Calibri" w:hAnsi="Calibri" w:cs="Calibri"/>
                            <w:color w:val="0D0D0D"/>
                            <w:kern w:val="24"/>
                            <w:sz w:val="18"/>
                            <w:szCs w:val="18"/>
                          </w:rPr>
                          <w:t xml:space="preserve">ncipal </w:t>
                        </w:r>
                        <w:r w:rsidR="00003CE9">
                          <w:rPr>
                            <w:rFonts w:ascii="Calibri" w:eastAsia="Calibri" w:hAnsi="Calibri" w:cs="Calibri"/>
                            <w:color w:val="0D0D0D"/>
                            <w:kern w:val="24"/>
                            <w:sz w:val="18"/>
                            <w:szCs w:val="18"/>
                          </w:rPr>
                          <w:t xml:space="preserve">service </w:t>
                        </w:r>
                        <w:r w:rsidR="00E50F63">
                          <w:rPr>
                            <w:rFonts w:ascii="Calibri" w:eastAsia="Calibri" w:hAnsi="Calibri" w:cs="Calibri"/>
                            <w:color w:val="0D0D0D"/>
                            <w:kern w:val="24"/>
                            <w:sz w:val="18"/>
                            <w:szCs w:val="18"/>
                          </w:rPr>
                          <w:t xml:space="preserve">or </w:t>
                        </w:r>
                        <w:r w:rsidR="00003CE9">
                          <w:rPr>
                            <w:rFonts w:ascii="Calibri" w:eastAsia="Calibri" w:hAnsi="Calibri" w:cs="Calibri"/>
                            <w:color w:val="0D0D0D"/>
                            <w:kern w:val="24"/>
                            <w:sz w:val="18"/>
                            <w:szCs w:val="18"/>
                          </w:rPr>
                          <w:t xml:space="preserve">a </w:t>
                        </w:r>
                        <w:r w:rsidR="00E50F63">
                          <w:rPr>
                            <w:rFonts w:ascii="Calibri" w:eastAsia="Calibri" w:hAnsi="Calibri" w:cs="Calibri"/>
                            <w:color w:val="0D0D0D"/>
                            <w:kern w:val="24"/>
                            <w:sz w:val="18"/>
                            <w:szCs w:val="18"/>
                          </w:rPr>
                          <w:t>supporting service of an intervention</w:t>
                        </w:r>
                      </w:p>
                    </w:txbxContent>
                  </v:textbox>
                </v:rect>
                <v:shape id="Elbow Connector 31" o:spid="_x0000_s1049" type="#_x0000_t34" style="position:absolute;left:19189;top:47703;width:3033;height:36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" adj="21387" strokecolor="windowText" strokeweight=".4pt">
                  <o:lock v:ext="edit" shapetype="f"/>
                </v:shape>
                <v:shape id="Elbow Connector 39" o:spid="_x0000_s1050" type="#_x0000_t34" style="position:absolute;left:22849;top:51747;width:2956;height:36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" adj="21598" strokecolor="windowText" strokeweight=".4pt">
                  <o:lock v:ext="edit" shapetype="f"/>
                </v:shape>
                <v:shape id="Elbow Connector 43" o:spid="_x0000_s1051" type="#_x0000_t34" style="position:absolute;left:26522;top:55780;width:2956;height:36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" adj="21598" strokecolor="windowText" strokeweight=".4pt">
                  <o:lock v:ext="edit" shapetype="f"/>
                </v:shape>
                <v:shape id="Elbow Connector 31" o:spid="_x0000_s1052" type="#_x0000_t34" style="position:absolute;left:14956;top:43851;width:3935;height:30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" adj="168" strokecolor="windowText" strokeweight=".4pt">
                  <o:lock v:ext="edit" shapetype="f"/>
                </v:shape>
                <v:rect id="Rectangle 1850949599" o:spid="_x0000_s1053" style="position:absolute;left:18933;top:62185;width:97976;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" fillcolor="#fafafa [670]" strokecolor="black [3213]" strokeweight=".25pt">
                  <v:textbox>
                    <w:txbxContent>
                      <w:p w14:paraId="603F1F31" w14:textId="77777777" w:rsidR="005757A4" w:rsidRPr="00B9207C" w:rsidRDefault="005757A4" w:rsidP="005757A4">
                        <w:pPr>
                          <w:spacing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Treatment-related symptom or complication</w:t>
                        </w:r>
                        <w:r w:rsidRPr="00B9207C">
                          <w:rPr>
                            <w:rFonts w:ascii="Calibri" w:eastAsia="Calibri" w:hAnsi="Calibri" w:cs="Calibri"/>
                            <w:color w:val="0D0D0D"/>
                            <w:kern w:val="24"/>
                            <w:sz w:val="18"/>
                            <w:szCs w:val="18"/>
                          </w:rPr>
                          <w:t xml:space="preserve">  - a symptom or complication caused by a treatment</w:t>
                        </w:r>
                      </w:p>
                    </w:txbxContent>
                  </v:textbox>
                </v:rect>
                <v:shape id="Elbow Connector 28" o:spid="_x0000_s1054" type="#_x0000_t34" style="position:absolute;left:8746;top:53128;width:16353;height:38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" adj="21639" strokecolor="windowText" strokeweight=".4pt">
                  <o:lock v:ext="edit" shapetype="f"/>
                </v:shape>
                <v:rect id="Rectangle 1497546248" o:spid="_x0000_s1055" style="position:absolute;left:2477;top:5462;width:114300;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" fillcolor="#f1f1f1 [1950]" strokecolor="black [3213]" strokeweight=".25pt">
                  <v:textbox>
                    <w:txbxContent>
                      <w:p w14:paraId="3F920DF6" w14:textId="77777777" w:rsidR="005757A4" w:rsidRPr="00B9207C" w:rsidRDefault="005757A4" w:rsidP="005757A4">
                        <w:pPr>
                          <w:spacing w:after="0" w:line="216" w:lineRule="auto"/>
                          <w:textAlignment w:val="baseline"/>
                          <w:rPr>
                            <w:rFonts w:ascii="Calibri" w:eastAsia="Calibri" w:hAnsi="Calibri" w:cs="Calibri"/>
                            <w:b/>
                            <w:bCs/>
                            <w:color w:val="0D0D0D"/>
                            <w:kern w:val="24"/>
                            <w:sz w:val="18"/>
                            <w:szCs w:val="18"/>
                            <w14:ligatures w14:val="none"/>
                          </w:rPr>
                        </w:pPr>
                        <w:r w:rsidRPr="00B9207C">
                          <w:rPr>
                            <w:rFonts w:ascii="Calibri" w:eastAsia="Calibri" w:hAnsi="Calibri" w:cs="Calibri"/>
                            <w:b/>
                            <w:bCs/>
                            <w:color w:val="0D0D0D"/>
                            <w:kern w:val="24"/>
                            <w:sz w:val="18"/>
                            <w:szCs w:val="18"/>
                          </w:rPr>
                          <w:t xml:space="preserve">Person – </w:t>
                        </w:r>
                        <w:r w:rsidRPr="00B9207C">
                          <w:rPr>
                            <w:rFonts w:ascii="Calibri" w:eastAsia="Calibri" w:hAnsi="Calibri" w:cs="Calibri"/>
                            <w:color w:val="0D0D0D"/>
                            <w:kern w:val="24"/>
                            <w:sz w:val="18"/>
                            <w:szCs w:val="18"/>
                          </w:rPr>
                          <w:t>demographics and socioeconomic characteristics that increase risk or a new illness or injury or impair self-care or access to clinical care</w:t>
                        </w:r>
                      </w:p>
                    </w:txbxContent>
                  </v:textbox>
                </v:rect>
                <v:shape id="Elbow Connector 18" o:spid="_x0000_s1056" type="#_x0000_t34" style="position:absolute;left:2527;top:7658;width:4612;height:2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" adj="-55" strokecolor="windowText" strokeweight=".4pt">
                  <o:lock v:ext="edit" shapetype="f"/>
                </v:shape>
                <w10:wrap type="topAndBottom" anchorx="margin"/>
              </v:group>
            </w:pict>
          </mc:Fallback>
        </mc:AlternateContent>
      </w:r>
    </w:p>
    <w:p w14:paraId="7780B5F9" w14:textId="033A5F1E" w:rsidR="00D05387" w:rsidRDefault="00F43214">
      <w:pPr>
        <w:spacing w:after="160" w:line="278" w:lineRule="auto"/>
        <w:rPr>
          <w:rFonts w:ascii="Calibri" w:eastAsia="Times New Roman" w:hAnsi="Calibri" w:cs="Arial"/>
          <w:b/>
          <w:bCs/>
          <w:color w:val="0D0D0D"/>
          <w:kern w:val="24"/>
          <w:sz w:val="32"/>
          <w:szCs w:val="32"/>
          <w14:ligatures w14:val="none"/>
        </w:rPr>
      </w:pPr>
      <w:r>
        <w:rPr>
          <w:rFonts w:ascii="Calibri" w:eastAsia="Times New Roman" w:hAnsi="Calibri" w:cs="Arial"/>
          <w:b/>
          <w:bCs/>
          <w:color w:val="0D0D0D"/>
          <w:kern w:val="24"/>
          <w:sz w:val="32"/>
          <w:szCs w:val="32"/>
          <w14:ligatures w14:val="none"/>
        </w:rPr>
        <w:br w:type="page"/>
      </w:r>
    </w:p>
    <w:p w14:paraId="1B2FAC90" w14:textId="6780D49A" w:rsidR="0025453B" w:rsidRDefault="000A5A3E">
      <w:pPr>
        <w:spacing w:after="160" w:line="278" w:lineRule="auto"/>
      </w:pPr>
      <w:r>
        <w:rPr>
          <w:noProof/>
        </w:rPr>
        <w:lastRenderedPageBreak/>
        <mc:AlternateContent>
          <mc:Choice Requires="wps">
            <w:drawing>
              <wp:anchor distT="45720" distB="45720" distL="114300" distR="114300" simplePos="0" relativeHeight="251671552" behindDoc="0" locked="0" layoutInCell="1" allowOverlap="1" wp14:anchorId="5468F5C1" wp14:editId="45C8F0D6">
                <wp:simplePos x="0" y="0"/>
                <wp:positionH relativeFrom="column">
                  <wp:posOffset>2781300</wp:posOffset>
                </wp:positionH>
                <wp:positionV relativeFrom="paragraph">
                  <wp:posOffset>4878705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544EFB" w14:textId="2DA57017" w:rsidR="000A5A3E" w:rsidRDefault="000A5A3E">
                            <w:r>
                              <w:t xml:space="preserve">Add table </w:t>
                            </w:r>
                            <w:r w:rsidR="003F3804">
                              <w:t>showing factors that increase the probability of sepsis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68F5C1" id="Text Box 2" o:spid="_x0000_s1057" type="#_x0000_t202" style="position:absolute;margin-left:219pt;margin-top:384.15pt;width:185.9pt;height:11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">
                <v:textbox style="mso-fit-shape-to-text:t">
                  <w:txbxContent>
                    <w:p w14:paraId="5C544EFB" w14:textId="2DA57017" w:rsidR="000A5A3E" w:rsidRDefault="000A5A3E">
                      <w:r>
                        <w:t xml:space="preserve">Add table </w:t>
                      </w:r>
                      <w:r w:rsidR="003F3804">
                        <w:t>showing factors that increase the probability of sepsis</w:t>
                      </w:r>
                    </w:p>
                  </w:txbxContent>
                </v:textbox>
                <w10:wrap type="square"/>
              </v:shape>
            </w:pict>
          </mc:Fallback>
        </mc:AlternateContent>
      </w:r>
      <w:r w:rsidR="00514F8D" w:rsidRPr="00F43214">
        <w:rPr>
          <w:noProof/>
        </w:rPr>
        <w:drawing>
          <wp:anchor distT="0" distB="0" distL="114300" distR="114300" simplePos="0" relativeHeight="251668480" behindDoc="0" locked="0" layoutInCell="1" allowOverlap="1" wp14:anchorId="24240C21" wp14:editId="5EFBD41F">
            <wp:simplePos x="0" y="0"/>
            <wp:positionH relativeFrom="margin">
              <wp:align>right</wp:align>
            </wp:positionH>
            <wp:positionV relativeFrom="paragraph">
              <wp:posOffset>3284220</wp:posOffset>
            </wp:positionV>
            <wp:extent cx="9144000" cy="1312545"/>
            <wp:effectExtent l="0" t="0" r="0" b="1905"/>
            <wp:wrapNone/>
            <wp:docPr id="354928148" name="table" descr="A black and white rectangular object with text&#10;&#10;AI-generated content may be incorrect.">
              <a:extLst xmlns:a="http://schemas.openxmlformats.org/drawingml/2006/main">
                <a:ext uri="{FF2B5EF4-FFF2-40B4-BE49-F238E27FC236}">
                  <a16:creationId xmlns:a16="http://schemas.microsoft.com/office/drawing/2014/main" id="{F1B264C0-791F-E587-2107-8C54A75E3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28148" name="table" descr="A black and white rectangular object with text&#10;&#10;AI-generated content may be incorrect.">
                      <a:extLst>
                        <a:ext uri="{FF2B5EF4-FFF2-40B4-BE49-F238E27FC236}">
                          <a16:creationId xmlns:a16="http://schemas.microsoft.com/office/drawing/2014/main" id="{F1B264C0-791F-E587-2107-8C54A75E3EB5}"/>
                        </a:ext>
                      </a:extLst>
                    </pic:cNvPr>
                    <pic:cNvPicPr>
                      <a:picLocks noChangeAspect="1"/>
                    </pic:cNvPicPr>
                  </pic:nvPicPr>
                  <pic:blipFill>
                    <a:blip r:embed="rId9"/>
                    <a:stretch>
                      <a:fillRect/>
                    </a:stretch>
                  </pic:blipFill>
                  <pic:spPr>
                    <a:xfrm>
                      <a:off x="0" y="0"/>
                      <a:ext cx="9144000" cy="1312545"/>
                    </a:xfrm>
                    <a:prstGeom prst="rect">
                      <a:avLst/>
                    </a:prstGeom>
                  </pic:spPr>
                </pic:pic>
              </a:graphicData>
            </a:graphic>
            <wp14:sizeRelH relativeFrom="margin">
              <wp14:pctWidth>0</wp14:pctWidth>
            </wp14:sizeRelH>
            <wp14:sizeRelV relativeFrom="margin">
              <wp14:pctHeight>0</wp14:pctHeight>
            </wp14:sizeRelV>
          </wp:anchor>
        </w:drawing>
      </w:r>
      <w:r w:rsidR="0025453B">
        <w:br w:type="page"/>
      </w:r>
      <w:r w:rsidR="0025453B" w:rsidRPr="00F43214">
        <w:rPr>
          <w:noProof/>
        </w:rPr>
        <w:drawing>
          <wp:anchor distT="0" distB="0" distL="114300" distR="114300" simplePos="0" relativeHeight="251667456" behindDoc="0" locked="0" layoutInCell="1" allowOverlap="1" wp14:anchorId="4DC3C5FF" wp14:editId="6922693A">
            <wp:simplePos x="0" y="0"/>
            <wp:positionH relativeFrom="column">
              <wp:posOffset>0</wp:posOffset>
            </wp:positionH>
            <wp:positionV relativeFrom="paragraph">
              <wp:posOffset>539750</wp:posOffset>
            </wp:positionV>
            <wp:extent cx="9144000" cy="2466340"/>
            <wp:effectExtent l="0" t="0" r="0" b="0"/>
            <wp:wrapNone/>
            <wp:docPr id="1116169686" name="table" descr="A black and white screen with white lines&#10;&#10;AI-generated content may be incorrect.">
              <a:extLst xmlns:a="http://schemas.openxmlformats.org/drawingml/2006/main">
                <a:ext uri="{FF2B5EF4-FFF2-40B4-BE49-F238E27FC236}">
                  <a16:creationId xmlns:a16="http://schemas.microsoft.com/office/drawing/2014/main" id="{A6C3AA85-4EDD-F213-F099-9518289514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69686" name="table" descr="A black and white screen with white lines&#10;&#10;AI-generated content may be incorrect.">
                      <a:extLst>
                        <a:ext uri="{FF2B5EF4-FFF2-40B4-BE49-F238E27FC236}">
                          <a16:creationId xmlns:a16="http://schemas.microsoft.com/office/drawing/2014/main" id="{A6C3AA85-4EDD-F213-F099-9518289514BF}"/>
                        </a:ext>
                      </a:extLst>
                    </pic:cNvPr>
                    <pic:cNvPicPr>
                      <a:picLocks noChangeAspect="1"/>
                    </pic:cNvPicPr>
                  </pic:nvPicPr>
                  <pic:blipFill>
                    <a:blip r:embed="rId10"/>
                    <a:stretch>
                      <a:fillRect/>
                    </a:stretch>
                  </pic:blipFill>
                  <pic:spPr>
                    <a:xfrm>
                      <a:off x="0" y="0"/>
                      <a:ext cx="9144000" cy="2466340"/>
                    </a:xfrm>
                    <a:prstGeom prst="rect">
                      <a:avLst/>
                    </a:prstGeom>
                  </pic:spPr>
                </pic:pic>
              </a:graphicData>
            </a:graphic>
          </wp:anchor>
        </w:drawing>
      </w:r>
      <w:r w:rsidR="0025453B" w:rsidRPr="00BA00DE">
        <w:rPr>
          <w:noProof/>
        </w:rPr>
        <mc:AlternateContent>
          <mc:Choice Requires="wps">
            <w:drawing>
              <wp:anchor distT="0" distB="0" distL="114300" distR="114300" simplePos="0" relativeHeight="251669504" behindDoc="0" locked="0" layoutInCell="1" allowOverlap="1" wp14:anchorId="05BB0405" wp14:editId="470A67A6">
                <wp:simplePos x="0" y="0"/>
                <wp:positionH relativeFrom="margin">
                  <wp:posOffset>1897380</wp:posOffset>
                </wp:positionH>
                <wp:positionV relativeFrom="paragraph">
                  <wp:posOffset>0</wp:posOffset>
                </wp:positionV>
                <wp:extent cx="5083175" cy="403991"/>
                <wp:effectExtent l="0" t="0" r="0" b="0"/>
                <wp:wrapNone/>
                <wp:docPr id="1475371215" name="TextBox 32"/>
                <wp:cNvGraphicFramePr/>
                <a:graphic xmlns:a="http://schemas.openxmlformats.org/drawingml/2006/main">
                  <a:graphicData uri="http://schemas.microsoft.com/office/word/2010/wordprocessingShape">
                    <wps:wsp>
                      <wps:cNvSpPr txBox="1"/>
                      <wps:spPr>
                        <a:xfrm>
                          <a:off x="0" y="0"/>
                          <a:ext cx="5083175" cy="403991"/>
                        </a:xfrm>
                        <a:prstGeom prst="rect">
                          <a:avLst/>
                        </a:prstGeom>
                        <a:noFill/>
                      </wps:spPr>
                      <wps:txbx>
                        <w:txbxContent>
                          <w:p w14:paraId="276FB034" w14:textId="2279BCF3" w:rsidR="0025453B" w:rsidRDefault="0025453B" w:rsidP="0025453B">
                            <w:pPr>
                              <w:pStyle w:val="Caption"/>
                              <w:spacing w:after="0"/>
                              <w:jc w:val="center"/>
                            </w:pPr>
                            <w:r>
                              <w:t xml:space="preserve">Supplementary Appendix </w:t>
                            </w:r>
                            <w:fldSimple w:instr=" SEQ Supplementary_Appendix \* ARABIC ">
                              <w:r w:rsidR="00C92BFF">
                                <w:rPr>
                                  <w:noProof/>
                                </w:rPr>
                                <w:t>7</w:t>
                              </w:r>
                            </w:fldSimple>
                          </w:p>
                          <w:p w14:paraId="02C772A4" w14:textId="17E2BE0E" w:rsidR="0025453B" w:rsidRPr="000D3393" w:rsidRDefault="00B22F5C" w:rsidP="0025453B">
                            <w:pPr>
                              <w:pStyle w:val="Caption"/>
                              <w:jc w:val="center"/>
                              <w:rPr>
                                <w:b/>
                                <w:bCs/>
                                <w:i w:val="0"/>
                                <w:iCs w:val="0"/>
                              </w:rPr>
                            </w:pPr>
                            <w:r>
                              <w:rPr>
                                <w:rFonts w:ascii="Calibri" w:eastAsia="Calibri" w:hAnsi="Calibri"/>
                                <w:b/>
                                <w:bCs/>
                                <w:i w:val="0"/>
                                <w:iCs w:val="0"/>
                                <w:color w:val="000000"/>
                                <w:kern w:val="24"/>
                                <w:position w:val="1"/>
                                <w:sz w:val="24"/>
                                <w:szCs w:val="24"/>
                              </w:rPr>
                              <w:t xml:space="preserve">Structure of Relationship Tables </w:t>
                            </w:r>
                            <w:r w:rsidR="0025453B">
                              <w:rPr>
                                <w:rFonts w:ascii="Calibri" w:eastAsia="Calibri" w:hAnsi="Calibri"/>
                                <w:b/>
                                <w:bCs/>
                                <w:i w:val="0"/>
                                <w:iCs w:val="0"/>
                                <w:color w:val="000000"/>
                                <w:kern w:val="24"/>
                                <w:position w:val="1"/>
                                <w:sz w:val="24"/>
                                <w:szCs w:val="24"/>
                              </w:rPr>
                              <w:t>Used to Assemble Analytic Patient History</w:t>
                            </w:r>
                          </w:p>
                        </w:txbxContent>
                      </wps:txbx>
                      <wps:bodyPr wrap="square" rtlCol="0">
                        <a:noAutofit/>
                      </wps:bodyPr>
                    </wps:wsp>
                  </a:graphicData>
                </a:graphic>
                <wp14:sizeRelH relativeFrom="margin">
                  <wp14:pctWidth>0</wp14:pctWidth>
                </wp14:sizeRelH>
              </wp:anchor>
            </w:drawing>
          </mc:Choice>
          <mc:Fallback>
            <w:pict>
              <v:shape w14:anchorId="05BB0405" id="_x0000_s1058" type="#_x0000_t202" style="position:absolute;margin-left:149.4pt;margin-top:0;width:400.25pt;height:31.8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" filled="f" stroked="f">
                <v:textbox>
                  <w:txbxContent>
                    <w:p w14:paraId="276FB034" w14:textId="2279BCF3" w:rsidR="0025453B" w:rsidRDefault="0025453B" w:rsidP="0025453B">
                      <w:pPr>
                        <w:pStyle w:val="Caption"/>
                        <w:spacing w:after="0"/>
                        <w:jc w:val="center"/>
                      </w:pPr>
                      <w:r>
                        <w:t xml:space="preserve">Supplementary Appendix </w:t>
                      </w:r>
                      <w:fldSimple w:instr=" SEQ Supplementary_Appendix \* ARABIC ">
                        <w:r w:rsidR="00C92BFF">
                          <w:rPr>
                            <w:noProof/>
                          </w:rPr>
                          <w:t>7</w:t>
                        </w:r>
                      </w:fldSimple>
                    </w:p>
                    <w:p w14:paraId="02C772A4" w14:textId="17E2BE0E" w:rsidR="0025453B" w:rsidRPr="000D3393" w:rsidRDefault="00B22F5C" w:rsidP="0025453B">
                      <w:pPr>
                        <w:pStyle w:val="Caption"/>
                        <w:jc w:val="center"/>
                        <w:rPr>
                          <w:b/>
                          <w:bCs/>
                          <w:i w:val="0"/>
                          <w:iCs w:val="0"/>
                        </w:rPr>
                      </w:pPr>
                      <w:r>
                        <w:rPr>
                          <w:rFonts w:ascii="Calibri" w:eastAsia="Calibri" w:hAnsi="Calibri"/>
                          <w:b/>
                          <w:bCs/>
                          <w:i w:val="0"/>
                          <w:iCs w:val="0"/>
                          <w:color w:val="000000"/>
                          <w:kern w:val="24"/>
                          <w:position w:val="1"/>
                          <w:sz w:val="24"/>
                          <w:szCs w:val="24"/>
                        </w:rPr>
                        <w:t xml:space="preserve">Structure of Relationship Tables </w:t>
                      </w:r>
                      <w:r w:rsidR="0025453B">
                        <w:rPr>
                          <w:rFonts w:ascii="Calibri" w:eastAsia="Calibri" w:hAnsi="Calibri"/>
                          <w:b/>
                          <w:bCs/>
                          <w:i w:val="0"/>
                          <w:iCs w:val="0"/>
                          <w:color w:val="000000"/>
                          <w:kern w:val="24"/>
                          <w:position w:val="1"/>
                          <w:sz w:val="24"/>
                          <w:szCs w:val="24"/>
                        </w:rPr>
                        <w:t>Used to Assemble Analytic Patient History</w:t>
                      </w:r>
                    </w:p>
                  </w:txbxContent>
                </v:textbox>
                <w10:wrap anchorx="margin"/>
              </v:shape>
            </w:pict>
          </mc:Fallback>
        </mc:AlternateContent>
      </w:r>
    </w:p>
    <w:tbl>
      <w:tblPr>
        <w:tblW w:w="0" w:type="auto"/>
        <w:jc w:val="center"/>
        <w:tblCellMar>
          <w:left w:w="0" w:type="dxa"/>
          <w:right w:w="0" w:type="dxa"/>
        </w:tblCellMar>
        <w:tblLook w:val="04A0" w:firstRow="1" w:lastRow="0" w:firstColumn="1" w:lastColumn="0" w:noHBand="0" w:noVBand="1"/>
      </w:tblPr>
      <w:tblGrid>
        <w:gridCol w:w="3871"/>
        <w:gridCol w:w="1923"/>
        <w:gridCol w:w="1125"/>
        <w:gridCol w:w="547"/>
        <w:gridCol w:w="3913"/>
        <w:gridCol w:w="1878"/>
        <w:gridCol w:w="1133"/>
      </w:tblGrid>
      <w:tr w:rsidR="001371B0" w:rsidRPr="001371B0" w14:paraId="188D794E" w14:textId="77777777" w:rsidTr="00323D9D">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D9D9D9"/>
            <w:tcMar>
              <w:top w:w="14" w:type="dxa"/>
              <w:left w:w="144" w:type="dxa"/>
              <w:bottom w:w="14" w:type="dxa"/>
              <w:right w:w="144" w:type="dxa"/>
            </w:tcMar>
            <w:vAlign w:val="center"/>
            <w:hideMark/>
          </w:tcPr>
          <w:p w14:paraId="24F469C1" w14:textId="77777777" w:rsidR="001371B0" w:rsidRPr="001371B0" w:rsidRDefault="001371B0" w:rsidP="00323D9D">
            <w:pPr>
              <w:spacing w:after="0"/>
              <w:rPr>
                <w:sz w:val="20"/>
                <w:szCs w:val="20"/>
              </w:rPr>
            </w:pPr>
            <w:r w:rsidRPr="001371B0">
              <w:rPr>
                <w:b/>
                <w:bCs/>
                <w:sz w:val="20"/>
                <w:szCs w:val="20"/>
              </w:rPr>
              <w:lastRenderedPageBreak/>
              <w:t>dx co-occurring with lupus</w:t>
            </w:r>
          </w:p>
        </w:tc>
        <w:tc>
          <w:tcPr>
            <w:tcW w:w="2100" w:type="dxa"/>
            <w:tcBorders>
              <w:top w:val="single" w:sz="4" w:space="0" w:color="D9D9D9"/>
              <w:left w:val="single" w:sz="4" w:space="0" w:color="D9D9D9"/>
              <w:bottom w:val="single" w:sz="4" w:space="0" w:color="D9D9D9"/>
              <w:right w:val="single" w:sz="4" w:space="0" w:color="D9D9D9"/>
            </w:tcBorders>
            <w:shd w:val="clear" w:color="auto" w:fill="D9D9D9"/>
            <w:tcMar>
              <w:top w:w="14" w:type="dxa"/>
              <w:left w:w="144" w:type="dxa"/>
              <w:bottom w:w="14" w:type="dxa"/>
              <w:right w:w="144" w:type="dxa"/>
            </w:tcMar>
            <w:vAlign w:val="center"/>
            <w:hideMark/>
          </w:tcPr>
          <w:p w14:paraId="4F89EA94" w14:textId="77777777" w:rsidR="001371B0" w:rsidRPr="001371B0" w:rsidRDefault="001371B0" w:rsidP="00323D9D">
            <w:pPr>
              <w:spacing w:after="0"/>
              <w:rPr>
                <w:sz w:val="20"/>
                <w:szCs w:val="20"/>
              </w:rPr>
            </w:pPr>
            <w:r w:rsidRPr="001371B0">
              <w:rPr>
                <w:b/>
                <w:bCs/>
                <w:sz w:val="20"/>
                <w:szCs w:val="20"/>
              </w:rPr>
              <w:t>co-occurrences</w:t>
            </w:r>
          </w:p>
        </w:tc>
        <w:tc>
          <w:tcPr>
            <w:tcW w:w="1240" w:type="dxa"/>
            <w:tcBorders>
              <w:top w:val="single" w:sz="4" w:space="0" w:color="D9D9D9"/>
              <w:left w:val="single" w:sz="4" w:space="0" w:color="D9D9D9"/>
              <w:bottom w:val="single" w:sz="4" w:space="0" w:color="D9D9D9"/>
              <w:right w:val="single" w:sz="4" w:space="0" w:color="D9D9D9"/>
            </w:tcBorders>
            <w:shd w:val="clear" w:color="auto" w:fill="D9D9D9"/>
            <w:tcMar>
              <w:top w:w="14" w:type="dxa"/>
              <w:left w:w="144" w:type="dxa"/>
              <w:bottom w:w="14" w:type="dxa"/>
              <w:right w:w="144" w:type="dxa"/>
            </w:tcMar>
            <w:vAlign w:val="center"/>
            <w:hideMark/>
          </w:tcPr>
          <w:p w14:paraId="78F904F5" w14:textId="77777777" w:rsidR="001371B0" w:rsidRPr="001371B0" w:rsidRDefault="001371B0" w:rsidP="00323D9D">
            <w:pPr>
              <w:spacing w:after="0"/>
              <w:rPr>
                <w:sz w:val="20"/>
                <w:szCs w:val="20"/>
              </w:rPr>
            </w:pPr>
            <w:r w:rsidRPr="001371B0">
              <w:rPr>
                <w:b/>
                <w:bCs/>
                <w:sz w:val="20"/>
                <w:szCs w:val="20"/>
              </w:rPr>
              <w:t>lift</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72" w:type="dxa"/>
            </w:tcMar>
            <w:vAlign w:val="center"/>
            <w:hideMark/>
          </w:tcPr>
          <w:p w14:paraId="04401901" w14:textId="77777777" w:rsidR="001371B0" w:rsidRPr="001371B0" w:rsidRDefault="001371B0" w:rsidP="00323D9D">
            <w:pPr>
              <w:spacing w:after="0"/>
              <w:rPr>
                <w:sz w:val="20"/>
                <w:szCs w:val="20"/>
              </w:rPr>
            </w:pPr>
            <w:r w:rsidRPr="001371B0">
              <w:rPr>
                <w:b/>
                <w:bCs/>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D9D9D9"/>
            <w:tcMar>
              <w:top w:w="14" w:type="dxa"/>
              <w:left w:w="144" w:type="dxa"/>
              <w:bottom w:w="14" w:type="dxa"/>
              <w:right w:w="144" w:type="dxa"/>
            </w:tcMar>
            <w:vAlign w:val="center"/>
            <w:hideMark/>
          </w:tcPr>
          <w:p w14:paraId="2A0BE15B" w14:textId="77777777" w:rsidR="001371B0" w:rsidRPr="001371B0" w:rsidRDefault="001371B0" w:rsidP="00323D9D">
            <w:pPr>
              <w:spacing w:after="0"/>
              <w:rPr>
                <w:sz w:val="20"/>
                <w:szCs w:val="20"/>
              </w:rPr>
            </w:pPr>
            <w:r w:rsidRPr="001371B0">
              <w:rPr>
                <w:b/>
                <w:bCs/>
                <w:sz w:val="20"/>
                <w:szCs w:val="20"/>
              </w:rPr>
              <w:t>dx co-occurring with lupus</w:t>
            </w:r>
          </w:p>
        </w:tc>
        <w:tc>
          <w:tcPr>
            <w:tcW w:w="2040" w:type="dxa"/>
            <w:tcBorders>
              <w:top w:val="single" w:sz="4" w:space="0" w:color="D9D9D9"/>
              <w:left w:val="single" w:sz="4" w:space="0" w:color="D9D9D9"/>
              <w:bottom w:val="single" w:sz="4" w:space="0" w:color="D9D9D9"/>
              <w:right w:val="single" w:sz="4" w:space="0" w:color="D9D9D9"/>
            </w:tcBorders>
            <w:shd w:val="clear" w:color="auto" w:fill="D9D9D9"/>
            <w:tcMar>
              <w:top w:w="14" w:type="dxa"/>
              <w:left w:w="144" w:type="dxa"/>
              <w:bottom w:w="14" w:type="dxa"/>
              <w:right w:w="144" w:type="dxa"/>
            </w:tcMar>
            <w:vAlign w:val="center"/>
            <w:hideMark/>
          </w:tcPr>
          <w:p w14:paraId="24D1170F" w14:textId="77777777" w:rsidR="001371B0" w:rsidRPr="001371B0" w:rsidRDefault="001371B0" w:rsidP="00323D9D">
            <w:pPr>
              <w:spacing w:after="0"/>
              <w:rPr>
                <w:sz w:val="20"/>
                <w:szCs w:val="20"/>
              </w:rPr>
            </w:pPr>
            <w:r w:rsidRPr="001371B0">
              <w:rPr>
                <w:b/>
                <w:bCs/>
                <w:sz w:val="20"/>
                <w:szCs w:val="20"/>
              </w:rPr>
              <w:t>co-occurrences</w:t>
            </w:r>
          </w:p>
        </w:tc>
        <w:tc>
          <w:tcPr>
            <w:tcW w:w="1280" w:type="dxa"/>
            <w:tcBorders>
              <w:top w:val="single" w:sz="4" w:space="0" w:color="D9D9D9"/>
              <w:left w:val="single" w:sz="4" w:space="0" w:color="D9D9D9"/>
              <w:bottom w:val="single" w:sz="4" w:space="0" w:color="D9D9D9"/>
              <w:right w:val="single" w:sz="4" w:space="0" w:color="D9D9D9"/>
            </w:tcBorders>
            <w:shd w:val="clear" w:color="auto" w:fill="D9D9D9"/>
            <w:tcMar>
              <w:top w:w="14" w:type="dxa"/>
              <w:left w:w="144" w:type="dxa"/>
              <w:bottom w:w="14" w:type="dxa"/>
              <w:right w:w="144" w:type="dxa"/>
            </w:tcMar>
            <w:vAlign w:val="center"/>
            <w:hideMark/>
          </w:tcPr>
          <w:p w14:paraId="046E5A5E" w14:textId="77777777" w:rsidR="001371B0" w:rsidRPr="001371B0" w:rsidRDefault="001371B0" w:rsidP="00323D9D">
            <w:pPr>
              <w:spacing w:after="0"/>
            </w:pPr>
            <w:r w:rsidRPr="001371B0">
              <w:rPr>
                <w:b/>
                <w:bCs/>
              </w:rPr>
              <w:t>lift</w:t>
            </w:r>
          </w:p>
        </w:tc>
      </w:tr>
      <w:tr w:rsidR="001371B0" w:rsidRPr="001371B0" w14:paraId="26B4B052"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6735ECF" w14:textId="77777777" w:rsidR="001371B0" w:rsidRPr="001371B0" w:rsidRDefault="001371B0" w:rsidP="00323D9D">
            <w:pPr>
              <w:spacing w:after="0"/>
              <w:rPr>
                <w:sz w:val="20"/>
                <w:szCs w:val="20"/>
              </w:rPr>
            </w:pPr>
            <w:r w:rsidRPr="001371B0">
              <w:rPr>
                <w:sz w:val="20"/>
                <w:szCs w:val="20"/>
              </w:rPr>
              <w:t>cv - raynaud's syndrome</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308EAE4" w14:textId="77777777" w:rsidR="001371B0" w:rsidRPr="001371B0" w:rsidRDefault="001371B0" w:rsidP="00AA5110">
            <w:pPr>
              <w:spacing w:after="0"/>
              <w:jc w:val="right"/>
              <w:rPr>
                <w:sz w:val="20"/>
                <w:szCs w:val="20"/>
              </w:rPr>
            </w:pPr>
            <w:r w:rsidRPr="001371B0">
              <w:rPr>
                <w:sz w:val="20"/>
                <w:szCs w:val="20"/>
              </w:rPr>
              <w:t>868</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827EF70" w14:textId="77777777" w:rsidR="001371B0" w:rsidRPr="001371B0" w:rsidRDefault="001371B0" w:rsidP="00AA5110">
            <w:pPr>
              <w:spacing w:after="0"/>
              <w:jc w:val="right"/>
              <w:rPr>
                <w:sz w:val="20"/>
                <w:szCs w:val="20"/>
              </w:rPr>
            </w:pPr>
            <w:r w:rsidRPr="001371B0">
              <w:rPr>
                <w:sz w:val="20"/>
                <w:szCs w:val="20"/>
              </w:rPr>
              <w:t>15.4</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0F1987E3"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17ECE07" w14:textId="77777777" w:rsidR="001371B0" w:rsidRPr="001371B0" w:rsidRDefault="001371B0" w:rsidP="00323D9D">
            <w:pPr>
              <w:spacing w:after="0"/>
              <w:rPr>
                <w:sz w:val="20"/>
                <w:szCs w:val="20"/>
              </w:rPr>
            </w:pPr>
            <w:r w:rsidRPr="001371B0">
              <w:rPr>
                <w:sz w:val="20"/>
                <w:szCs w:val="20"/>
              </w:rPr>
              <w:t>cv - pulmonary embolism</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8B2D615" w14:textId="77777777" w:rsidR="001371B0" w:rsidRPr="001371B0" w:rsidRDefault="001371B0" w:rsidP="00850614">
            <w:pPr>
              <w:spacing w:after="0"/>
              <w:jc w:val="right"/>
              <w:rPr>
                <w:sz w:val="20"/>
                <w:szCs w:val="20"/>
              </w:rPr>
            </w:pPr>
            <w:r w:rsidRPr="001371B0">
              <w:rPr>
                <w:sz w:val="20"/>
                <w:szCs w:val="20"/>
              </w:rPr>
              <w:t>1,641</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FCBC0EA" w14:textId="77777777" w:rsidR="001371B0" w:rsidRPr="001371B0" w:rsidRDefault="001371B0" w:rsidP="00850614">
            <w:pPr>
              <w:spacing w:after="0"/>
              <w:jc w:val="right"/>
            </w:pPr>
            <w:r w:rsidRPr="001371B0">
              <w:t>1.4</w:t>
            </w:r>
          </w:p>
        </w:tc>
      </w:tr>
      <w:tr w:rsidR="001371B0" w:rsidRPr="001371B0" w14:paraId="53D2C5D7"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CDCEF0F" w14:textId="77777777" w:rsidR="001371B0" w:rsidRPr="001371B0" w:rsidRDefault="001371B0" w:rsidP="00323D9D">
            <w:pPr>
              <w:spacing w:after="0"/>
              <w:rPr>
                <w:sz w:val="20"/>
                <w:szCs w:val="20"/>
              </w:rPr>
            </w:pPr>
            <w:r w:rsidRPr="001371B0">
              <w:rPr>
                <w:sz w:val="20"/>
                <w:szCs w:val="20"/>
              </w:rPr>
              <w:t>cv - other arteritis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2CC1845" w14:textId="77777777" w:rsidR="001371B0" w:rsidRPr="001371B0" w:rsidRDefault="001371B0" w:rsidP="00AA5110">
            <w:pPr>
              <w:spacing w:after="0"/>
              <w:jc w:val="right"/>
              <w:rPr>
                <w:sz w:val="20"/>
                <w:szCs w:val="20"/>
              </w:rPr>
            </w:pPr>
            <w:r w:rsidRPr="001371B0">
              <w:rPr>
                <w:sz w:val="20"/>
                <w:szCs w:val="20"/>
              </w:rPr>
              <w:t>789</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ACBF8CB" w14:textId="77777777" w:rsidR="001371B0" w:rsidRPr="001371B0" w:rsidRDefault="001371B0" w:rsidP="00AA5110">
            <w:pPr>
              <w:spacing w:after="0"/>
              <w:jc w:val="right"/>
              <w:rPr>
                <w:sz w:val="20"/>
                <w:szCs w:val="20"/>
              </w:rPr>
            </w:pPr>
            <w:r w:rsidRPr="001371B0">
              <w:rPr>
                <w:sz w:val="20"/>
                <w:szCs w:val="20"/>
              </w:rPr>
              <w:t>10.2</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6E144289"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A4963DA" w14:textId="77777777" w:rsidR="001371B0" w:rsidRPr="001371B0" w:rsidRDefault="001371B0" w:rsidP="00323D9D">
            <w:pPr>
              <w:spacing w:after="0"/>
              <w:rPr>
                <w:sz w:val="20"/>
                <w:szCs w:val="20"/>
              </w:rPr>
            </w:pPr>
            <w:r w:rsidRPr="001371B0">
              <w:rPr>
                <w:sz w:val="20"/>
                <w:szCs w:val="20"/>
              </w:rPr>
              <w:t>eye - other keratitis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C887332" w14:textId="77777777" w:rsidR="001371B0" w:rsidRPr="001371B0" w:rsidRDefault="001371B0" w:rsidP="00850614">
            <w:pPr>
              <w:spacing w:after="0"/>
              <w:jc w:val="right"/>
              <w:rPr>
                <w:sz w:val="20"/>
                <w:szCs w:val="20"/>
              </w:rPr>
            </w:pPr>
            <w:r w:rsidRPr="001371B0">
              <w:rPr>
                <w:sz w:val="20"/>
                <w:szCs w:val="20"/>
              </w:rPr>
              <w:t>1,044</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9B80633" w14:textId="77777777" w:rsidR="001371B0" w:rsidRPr="001371B0" w:rsidRDefault="001371B0" w:rsidP="00850614">
            <w:pPr>
              <w:spacing w:after="0"/>
              <w:jc w:val="right"/>
            </w:pPr>
            <w:r w:rsidRPr="001371B0">
              <w:t>1.4</w:t>
            </w:r>
          </w:p>
        </w:tc>
      </w:tr>
      <w:tr w:rsidR="001371B0" w:rsidRPr="001371B0" w14:paraId="1453FF15"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7FCB7D9" w14:textId="77777777" w:rsidR="001371B0" w:rsidRPr="001371B0" w:rsidRDefault="001371B0" w:rsidP="00323D9D">
            <w:pPr>
              <w:spacing w:after="0"/>
              <w:rPr>
                <w:sz w:val="20"/>
                <w:szCs w:val="20"/>
              </w:rPr>
            </w:pPr>
            <w:r w:rsidRPr="001371B0">
              <w:rPr>
                <w:sz w:val="20"/>
                <w:szCs w:val="20"/>
              </w:rPr>
              <w:t>blood - hypercoagulable state</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525EB82" w14:textId="77777777" w:rsidR="001371B0" w:rsidRPr="001371B0" w:rsidRDefault="001371B0" w:rsidP="00AA5110">
            <w:pPr>
              <w:spacing w:after="0"/>
              <w:jc w:val="right"/>
              <w:rPr>
                <w:sz w:val="20"/>
                <w:szCs w:val="20"/>
              </w:rPr>
            </w:pPr>
            <w:r w:rsidRPr="001371B0">
              <w:rPr>
                <w:sz w:val="20"/>
                <w:szCs w:val="20"/>
              </w:rPr>
              <w:t>1,474</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AC88E60" w14:textId="77777777" w:rsidR="001371B0" w:rsidRPr="001371B0" w:rsidRDefault="001371B0" w:rsidP="00AA5110">
            <w:pPr>
              <w:spacing w:after="0"/>
              <w:jc w:val="right"/>
              <w:rPr>
                <w:sz w:val="20"/>
                <w:szCs w:val="20"/>
              </w:rPr>
            </w:pPr>
            <w:r w:rsidRPr="001371B0">
              <w:rPr>
                <w:sz w:val="20"/>
                <w:szCs w:val="20"/>
              </w:rPr>
              <w:t>7.6</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2B0AE2E6"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BAF6C4B" w14:textId="77777777" w:rsidR="001371B0" w:rsidRPr="001371B0" w:rsidRDefault="001371B0" w:rsidP="00323D9D">
            <w:pPr>
              <w:spacing w:after="0"/>
              <w:rPr>
                <w:sz w:val="20"/>
                <w:szCs w:val="20"/>
              </w:rPr>
            </w:pPr>
            <w:r w:rsidRPr="001371B0">
              <w:rPr>
                <w:sz w:val="20"/>
                <w:szCs w:val="20"/>
              </w:rPr>
              <w:t>eye - dry eyes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3DA51CF" w14:textId="77777777" w:rsidR="001371B0" w:rsidRPr="001371B0" w:rsidRDefault="001371B0" w:rsidP="00850614">
            <w:pPr>
              <w:spacing w:after="0"/>
              <w:jc w:val="right"/>
              <w:rPr>
                <w:sz w:val="20"/>
                <w:szCs w:val="20"/>
              </w:rPr>
            </w:pPr>
            <w:r w:rsidRPr="001371B0">
              <w:rPr>
                <w:sz w:val="20"/>
                <w:szCs w:val="20"/>
              </w:rPr>
              <w:t>802</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98166DE" w14:textId="77777777" w:rsidR="001371B0" w:rsidRPr="001371B0" w:rsidRDefault="001371B0" w:rsidP="00850614">
            <w:pPr>
              <w:spacing w:after="0"/>
              <w:jc w:val="right"/>
            </w:pPr>
            <w:r w:rsidRPr="001371B0">
              <w:t>1.3</w:t>
            </w:r>
          </w:p>
        </w:tc>
      </w:tr>
      <w:tr w:rsidR="001371B0" w:rsidRPr="001371B0" w14:paraId="61BDEA59"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56D9773" w14:textId="77777777" w:rsidR="001371B0" w:rsidRPr="001371B0" w:rsidRDefault="001371B0" w:rsidP="00323D9D">
            <w:pPr>
              <w:spacing w:after="0"/>
              <w:rPr>
                <w:sz w:val="20"/>
                <w:szCs w:val="20"/>
              </w:rPr>
            </w:pPr>
            <w:r w:rsidRPr="001371B0">
              <w:rPr>
                <w:sz w:val="20"/>
                <w:szCs w:val="20"/>
              </w:rPr>
              <w:t>ms - extremity - other arthropathy</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8581A48" w14:textId="77777777" w:rsidR="001371B0" w:rsidRPr="001371B0" w:rsidRDefault="001371B0" w:rsidP="00AA5110">
            <w:pPr>
              <w:spacing w:after="0"/>
              <w:jc w:val="right"/>
              <w:rPr>
                <w:sz w:val="20"/>
                <w:szCs w:val="20"/>
              </w:rPr>
            </w:pPr>
            <w:r w:rsidRPr="001371B0">
              <w:rPr>
                <w:sz w:val="20"/>
                <w:szCs w:val="20"/>
              </w:rPr>
              <w:t>23,232</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6F4E73E" w14:textId="77777777" w:rsidR="001371B0" w:rsidRPr="001371B0" w:rsidRDefault="001371B0" w:rsidP="00AA5110">
            <w:pPr>
              <w:spacing w:after="0"/>
              <w:jc w:val="right"/>
              <w:rPr>
                <w:sz w:val="20"/>
                <w:szCs w:val="20"/>
              </w:rPr>
            </w:pPr>
            <w:r w:rsidRPr="001371B0">
              <w:rPr>
                <w:sz w:val="20"/>
                <w:szCs w:val="20"/>
              </w:rPr>
              <w:t>6.9</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6C57FA01"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61EF952" w14:textId="0BE3296D" w:rsidR="001371B0" w:rsidRPr="001371B0" w:rsidRDefault="001371B0" w:rsidP="00323D9D">
            <w:pPr>
              <w:spacing w:after="0"/>
              <w:rPr>
                <w:sz w:val="20"/>
                <w:szCs w:val="20"/>
              </w:rPr>
            </w:pPr>
            <w:r w:rsidRPr="001371B0">
              <w:rPr>
                <w:sz w:val="20"/>
                <w:szCs w:val="20"/>
              </w:rPr>
              <w:t>endo - thyrotoxi</w:t>
            </w:r>
            <w:r w:rsidR="006A54C5">
              <w:rPr>
                <w:sz w:val="20"/>
                <w:szCs w:val="20"/>
              </w:rPr>
              <w:t>c</w:t>
            </w:r>
            <w:r w:rsidRPr="001371B0">
              <w:rPr>
                <w:sz w:val="20"/>
                <w:szCs w:val="20"/>
              </w:rPr>
              <w:t>osis +/- goiter</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D4F6320" w14:textId="77777777" w:rsidR="001371B0" w:rsidRPr="001371B0" w:rsidRDefault="001371B0" w:rsidP="00850614">
            <w:pPr>
              <w:spacing w:after="0"/>
              <w:jc w:val="right"/>
              <w:rPr>
                <w:sz w:val="20"/>
                <w:szCs w:val="20"/>
              </w:rPr>
            </w:pPr>
            <w:r w:rsidRPr="001371B0">
              <w:rPr>
                <w:sz w:val="20"/>
                <w:szCs w:val="20"/>
              </w:rPr>
              <w:t>1,143</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99AC680" w14:textId="77777777" w:rsidR="001371B0" w:rsidRPr="001371B0" w:rsidRDefault="001371B0" w:rsidP="00850614">
            <w:pPr>
              <w:spacing w:after="0"/>
              <w:jc w:val="right"/>
            </w:pPr>
            <w:r w:rsidRPr="001371B0">
              <w:t>1.3</w:t>
            </w:r>
          </w:p>
        </w:tc>
      </w:tr>
      <w:tr w:rsidR="001371B0" w:rsidRPr="001371B0" w14:paraId="218B797D"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DD44DF8" w14:textId="77777777" w:rsidR="001371B0" w:rsidRPr="001371B0" w:rsidRDefault="001371B0" w:rsidP="00323D9D">
            <w:pPr>
              <w:spacing w:after="0"/>
              <w:rPr>
                <w:sz w:val="20"/>
                <w:szCs w:val="20"/>
              </w:rPr>
            </w:pPr>
            <w:r w:rsidRPr="001371B0">
              <w:rPr>
                <w:sz w:val="20"/>
                <w:szCs w:val="20"/>
              </w:rPr>
              <w:t>gu - nephritis - in other diseases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4C003AD" w14:textId="77777777" w:rsidR="001371B0" w:rsidRPr="001371B0" w:rsidRDefault="001371B0" w:rsidP="00AA5110">
            <w:pPr>
              <w:spacing w:after="0"/>
              <w:jc w:val="right"/>
              <w:rPr>
                <w:sz w:val="20"/>
                <w:szCs w:val="20"/>
              </w:rPr>
            </w:pPr>
            <w:r w:rsidRPr="001371B0">
              <w:rPr>
                <w:sz w:val="20"/>
                <w:szCs w:val="20"/>
              </w:rPr>
              <w:t>690</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559E2DC" w14:textId="77777777" w:rsidR="001371B0" w:rsidRPr="001371B0" w:rsidRDefault="001371B0" w:rsidP="00AA5110">
            <w:pPr>
              <w:spacing w:after="0"/>
              <w:jc w:val="right"/>
              <w:rPr>
                <w:sz w:val="20"/>
                <w:szCs w:val="20"/>
              </w:rPr>
            </w:pPr>
            <w:r w:rsidRPr="001371B0">
              <w:rPr>
                <w:sz w:val="20"/>
                <w:szCs w:val="20"/>
              </w:rPr>
              <w:t>5.1</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5460D1AF"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1591685" w14:textId="77777777" w:rsidR="001371B0" w:rsidRPr="001371B0" w:rsidRDefault="001371B0" w:rsidP="00323D9D">
            <w:pPr>
              <w:spacing w:after="0"/>
              <w:rPr>
                <w:sz w:val="20"/>
                <w:szCs w:val="20"/>
              </w:rPr>
            </w:pPr>
            <w:r w:rsidRPr="001371B0">
              <w:rPr>
                <w:sz w:val="20"/>
                <w:szCs w:val="20"/>
              </w:rPr>
              <w:t>bh - adjustment/stress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1C1AE07" w14:textId="77777777" w:rsidR="001371B0" w:rsidRPr="001371B0" w:rsidRDefault="001371B0" w:rsidP="00850614">
            <w:pPr>
              <w:spacing w:after="0"/>
              <w:jc w:val="right"/>
              <w:rPr>
                <w:sz w:val="20"/>
                <w:szCs w:val="20"/>
              </w:rPr>
            </w:pPr>
            <w:r w:rsidRPr="001371B0">
              <w:rPr>
                <w:sz w:val="20"/>
                <w:szCs w:val="20"/>
              </w:rPr>
              <w:t>5,032</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E3E27D9" w14:textId="77777777" w:rsidR="001371B0" w:rsidRPr="001371B0" w:rsidRDefault="001371B0" w:rsidP="00850614">
            <w:pPr>
              <w:spacing w:after="0"/>
              <w:jc w:val="right"/>
            </w:pPr>
            <w:r w:rsidRPr="001371B0">
              <w:t>1.3</w:t>
            </w:r>
          </w:p>
        </w:tc>
      </w:tr>
      <w:tr w:rsidR="001371B0" w:rsidRPr="001371B0" w14:paraId="2DCB97EA"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EC07916" w14:textId="77777777" w:rsidR="001371B0" w:rsidRPr="001371B0" w:rsidRDefault="001371B0" w:rsidP="00323D9D">
            <w:pPr>
              <w:spacing w:after="0"/>
              <w:rPr>
                <w:sz w:val="20"/>
                <w:szCs w:val="20"/>
              </w:rPr>
            </w:pPr>
            <w:r w:rsidRPr="001371B0">
              <w:rPr>
                <w:sz w:val="20"/>
                <w:szCs w:val="20"/>
              </w:rPr>
              <w:t>gu - nephritis / nephrosis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8F2488A" w14:textId="77777777" w:rsidR="001371B0" w:rsidRPr="001371B0" w:rsidRDefault="001371B0" w:rsidP="00AA5110">
            <w:pPr>
              <w:spacing w:after="0"/>
              <w:jc w:val="right"/>
              <w:rPr>
                <w:sz w:val="20"/>
                <w:szCs w:val="20"/>
              </w:rPr>
            </w:pPr>
            <w:r w:rsidRPr="001371B0">
              <w:rPr>
                <w:sz w:val="20"/>
                <w:szCs w:val="20"/>
              </w:rPr>
              <w:t>10,803</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1D5A03D" w14:textId="77777777" w:rsidR="001371B0" w:rsidRPr="001371B0" w:rsidRDefault="001371B0" w:rsidP="00AA5110">
            <w:pPr>
              <w:spacing w:after="0"/>
              <w:jc w:val="right"/>
              <w:rPr>
                <w:sz w:val="20"/>
                <w:szCs w:val="20"/>
              </w:rPr>
            </w:pPr>
            <w:r w:rsidRPr="001371B0">
              <w:rPr>
                <w:sz w:val="20"/>
                <w:szCs w:val="20"/>
              </w:rPr>
              <w:t>4.6</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3B71104A"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B8AAF56" w14:textId="77777777" w:rsidR="001371B0" w:rsidRPr="001371B0" w:rsidRDefault="001371B0" w:rsidP="00323D9D">
            <w:pPr>
              <w:spacing w:after="0"/>
              <w:rPr>
                <w:sz w:val="20"/>
                <w:szCs w:val="20"/>
              </w:rPr>
            </w:pPr>
            <w:r w:rsidRPr="001371B0">
              <w:rPr>
                <w:sz w:val="20"/>
                <w:szCs w:val="20"/>
              </w:rPr>
              <w:t>cv - thrombophlebitis - deep - le/nos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27568E3" w14:textId="77777777" w:rsidR="001371B0" w:rsidRPr="001371B0" w:rsidRDefault="001371B0" w:rsidP="00850614">
            <w:pPr>
              <w:spacing w:after="0"/>
              <w:jc w:val="right"/>
              <w:rPr>
                <w:sz w:val="20"/>
                <w:szCs w:val="20"/>
              </w:rPr>
            </w:pPr>
            <w:r w:rsidRPr="001371B0">
              <w:rPr>
                <w:sz w:val="20"/>
                <w:szCs w:val="20"/>
              </w:rPr>
              <w:t>13,600</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D457CA5" w14:textId="77777777" w:rsidR="001371B0" w:rsidRPr="001371B0" w:rsidRDefault="001371B0" w:rsidP="00850614">
            <w:pPr>
              <w:spacing w:after="0"/>
              <w:jc w:val="right"/>
            </w:pPr>
            <w:r w:rsidRPr="001371B0">
              <w:t>1.3</w:t>
            </w:r>
          </w:p>
        </w:tc>
      </w:tr>
      <w:tr w:rsidR="001371B0" w:rsidRPr="001371B0" w14:paraId="4B1BDCD2"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68FBAE8" w14:textId="77777777" w:rsidR="001371B0" w:rsidRPr="001371B0" w:rsidRDefault="001371B0" w:rsidP="00323D9D">
            <w:pPr>
              <w:spacing w:after="0"/>
              <w:rPr>
                <w:sz w:val="20"/>
                <w:szCs w:val="20"/>
              </w:rPr>
            </w:pPr>
            <w:r w:rsidRPr="001371B0">
              <w:rPr>
                <w:sz w:val="20"/>
                <w:szCs w:val="20"/>
              </w:rPr>
              <w:t>gi - hepatitis - other chronic</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3023A64" w14:textId="77777777" w:rsidR="001371B0" w:rsidRPr="001371B0" w:rsidRDefault="001371B0" w:rsidP="00AA5110">
            <w:pPr>
              <w:spacing w:after="0"/>
              <w:jc w:val="right"/>
              <w:rPr>
                <w:sz w:val="20"/>
                <w:szCs w:val="20"/>
              </w:rPr>
            </w:pPr>
            <w:r w:rsidRPr="001371B0">
              <w:rPr>
                <w:sz w:val="20"/>
                <w:szCs w:val="20"/>
              </w:rPr>
              <w:t>534</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786B538" w14:textId="77777777" w:rsidR="001371B0" w:rsidRPr="001371B0" w:rsidRDefault="001371B0" w:rsidP="00AA5110">
            <w:pPr>
              <w:spacing w:after="0"/>
              <w:jc w:val="right"/>
              <w:rPr>
                <w:sz w:val="20"/>
                <w:szCs w:val="20"/>
              </w:rPr>
            </w:pPr>
            <w:r w:rsidRPr="001371B0">
              <w:rPr>
                <w:sz w:val="20"/>
                <w:szCs w:val="20"/>
              </w:rPr>
              <w:t>4.0</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55E2E33C"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C3466FA" w14:textId="77777777" w:rsidR="001371B0" w:rsidRPr="001371B0" w:rsidRDefault="001371B0" w:rsidP="00323D9D">
            <w:pPr>
              <w:spacing w:after="0"/>
              <w:rPr>
                <w:sz w:val="20"/>
                <w:szCs w:val="20"/>
              </w:rPr>
            </w:pPr>
            <w:r w:rsidRPr="001371B0">
              <w:rPr>
                <w:sz w:val="20"/>
                <w:szCs w:val="20"/>
              </w:rPr>
              <w:t>cv - chronic cor pulmonale</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15F6ED9" w14:textId="77777777" w:rsidR="001371B0" w:rsidRPr="001371B0" w:rsidRDefault="001371B0" w:rsidP="00850614">
            <w:pPr>
              <w:spacing w:after="0"/>
              <w:jc w:val="right"/>
              <w:rPr>
                <w:sz w:val="20"/>
                <w:szCs w:val="20"/>
              </w:rPr>
            </w:pPr>
            <w:r w:rsidRPr="001371B0">
              <w:rPr>
                <w:sz w:val="20"/>
                <w:szCs w:val="20"/>
              </w:rPr>
              <w:t>1,516</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52C2F35" w14:textId="77777777" w:rsidR="001371B0" w:rsidRPr="001371B0" w:rsidRDefault="001371B0" w:rsidP="00850614">
            <w:pPr>
              <w:spacing w:after="0"/>
              <w:jc w:val="right"/>
            </w:pPr>
            <w:r w:rsidRPr="001371B0">
              <w:t>1.2</w:t>
            </w:r>
          </w:p>
        </w:tc>
      </w:tr>
      <w:tr w:rsidR="001371B0" w:rsidRPr="001371B0" w14:paraId="0DCD1865"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6F33E0F" w14:textId="77777777" w:rsidR="001371B0" w:rsidRPr="001371B0" w:rsidRDefault="001371B0" w:rsidP="00323D9D">
            <w:pPr>
              <w:spacing w:after="0"/>
              <w:rPr>
                <w:sz w:val="20"/>
                <w:szCs w:val="20"/>
              </w:rPr>
            </w:pPr>
            <w:r w:rsidRPr="001371B0">
              <w:rPr>
                <w:sz w:val="20"/>
                <w:szCs w:val="20"/>
              </w:rPr>
              <w:t>blood - acquired hemolytic anemia</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CA069CA" w14:textId="77777777" w:rsidR="001371B0" w:rsidRPr="001371B0" w:rsidRDefault="001371B0" w:rsidP="00AA5110">
            <w:pPr>
              <w:spacing w:after="0"/>
              <w:jc w:val="right"/>
              <w:rPr>
                <w:sz w:val="20"/>
                <w:szCs w:val="20"/>
              </w:rPr>
            </w:pPr>
            <w:r w:rsidRPr="001371B0">
              <w:rPr>
                <w:sz w:val="20"/>
                <w:szCs w:val="20"/>
              </w:rPr>
              <w:t>716</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10747E4" w14:textId="77777777" w:rsidR="001371B0" w:rsidRPr="001371B0" w:rsidRDefault="001371B0" w:rsidP="00AA5110">
            <w:pPr>
              <w:spacing w:after="0"/>
              <w:jc w:val="right"/>
              <w:rPr>
                <w:sz w:val="20"/>
                <w:szCs w:val="20"/>
              </w:rPr>
            </w:pPr>
            <w:r w:rsidRPr="001371B0">
              <w:rPr>
                <w:sz w:val="20"/>
                <w:szCs w:val="20"/>
              </w:rPr>
              <w:t>3.7</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3F5DEA0B"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0E87759" w14:textId="77777777" w:rsidR="001371B0" w:rsidRPr="001371B0" w:rsidRDefault="001371B0" w:rsidP="00323D9D">
            <w:pPr>
              <w:spacing w:after="0"/>
              <w:rPr>
                <w:sz w:val="20"/>
                <w:szCs w:val="20"/>
              </w:rPr>
            </w:pPr>
            <w:r w:rsidRPr="001371B0">
              <w:rPr>
                <w:sz w:val="20"/>
                <w:szCs w:val="20"/>
              </w:rPr>
              <w:t>endo - goiter - non-toxic</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1375285" w14:textId="77777777" w:rsidR="001371B0" w:rsidRPr="001371B0" w:rsidRDefault="001371B0" w:rsidP="00850614">
            <w:pPr>
              <w:spacing w:after="0"/>
              <w:jc w:val="right"/>
              <w:rPr>
                <w:sz w:val="20"/>
                <w:szCs w:val="20"/>
              </w:rPr>
            </w:pPr>
            <w:r w:rsidRPr="001371B0">
              <w:rPr>
                <w:sz w:val="20"/>
                <w:szCs w:val="20"/>
              </w:rPr>
              <w:t>2,705</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2659335" w14:textId="77777777" w:rsidR="001371B0" w:rsidRPr="001371B0" w:rsidRDefault="001371B0" w:rsidP="00850614">
            <w:pPr>
              <w:spacing w:after="0"/>
              <w:jc w:val="right"/>
            </w:pPr>
            <w:r w:rsidRPr="001371B0">
              <w:t>1.2</w:t>
            </w:r>
          </w:p>
        </w:tc>
      </w:tr>
      <w:tr w:rsidR="001371B0" w:rsidRPr="001371B0" w14:paraId="0970204E"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02DA0C1" w14:textId="77777777" w:rsidR="001371B0" w:rsidRPr="001371B0" w:rsidRDefault="001371B0" w:rsidP="00323D9D">
            <w:pPr>
              <w:spacing w:after="0"/>
              <w:rPr>
                <w:sz w:val="20"/>
                <w:szCs w:val="20"/>
              </w:rPr>
            </w:pPr>
            <w:r w:rsidRPr="001371B0">
              <w:rPr>
                <w:sz w:val="20"/>
                <w:szCs w:val="20"/>
              </w:rPr>
              <w:t>ns – migraine</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17CD039" w14:textId="77777777" w:rsidR="001371B0" w:rsidRPr="001371B0" w:rsidRDefault="001371B0" w:rsidP="00AA5110">
            <w:pPr>
              <w:spacing w:after="0"/>
              <w:jc w:val="right"/>
              <w:rPr>
                <w:sz w:val="20"/>
                <w:szCs w:val="20"/>
              </w:rPr>
            </w:pPr>
            <w:r w:rsidRPr="001371B0">
              <w:rPr>
                <w:sz w:val="20"/>
                <w:szCs w:val="20"/>
              </w:rPr>
              <w:t>9,383</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C4CF8D1" w14:textId="77777777" w:rsidR="001371B0" w:rsidRPr="001371B0" w:rsidRDefault="001371B0" w:rsidP="00AA5110">
            <w:pPr>
              <w:spacing w:after="0"/>
              <w:jc w:val="right"/>
              <w:rPr>
                <w:sz w:val="20"/>
                <w:szCs w:val="20"/>
              </w:rPr>
            </w:pPr>
            <w:r w:rsidRPr="001371B0">
              <w:rPr>
                <w:sz w:val="20"/>
                <w:szCs w:val="20"/>
              </w:rPr>
              <w:t>3.0</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5FF24928"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CED7EA3" w14:textId="77777777" w:rsidR="001371B0" w:rsidRPr="001371B0" w:rsidRDefault="001371B0" w:rsidP="00323D9D">
            <w:pPr>
              <w:spacing w:after="0"/>
              <w:rPr>
                <w:sz w:val="20"/>
                <w:szCs w:val="20"/>
              </w:rPr>
            </w:pPr>
            <w:r w:rsidRPr="001371B0">
              <w:rPr>
                <w:sz w:val="20"/>
                <w:szCs w:val="20"/>
              </w:rPr>
              <w:t>endo - hypothyroid – primary</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E201DC3" w14:textId="77777777" w:rsidR="001371B0" w:rsidRPr="001371B0" w:rsidRDefault="001371B0" w:rsidP="00850614">
            <w:pPr>
              <w:spacing w:after="0"/>
              <w:jc w:val="right"/>
              <w:rPr>
                <w:sz w:val="20"/>
                <w:szCs w:val="20"/>
              </w:rPr>
            </w:pPr>
            <w:r w:rsidRPr="001371B0">
              <w:rPr>
                <w:sz w:val="20"/>
                <w:szCs w:val="20"/>
              </w:rPr>
              <w:t>4,417</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122A711" w14:textId="77777777" w:rsidR="001371B0" w:rsidRPr="001371B0" w:rsidRDefault="001371B0" w:rsidP="00850614">
            <w:pPr>
              <w:spacing w:after="0"/>
              <w:jc w:val="right"/>
            </w:pPr>
            <w:r w:rsidRPr="001371B0">
              <w:t>1.2</w:t>
            </w:r>
          </w:p>
        </w:tc>
      </w:tr>
      <w:tr w:rsidR="001371B0" w:rsidRPr="001371B0" w14:paraId="3C4BF6B3"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D93FDBE" w14:textId="77777777" w:rsidR="001371B0" w:rsidRPr="001371B0" w:rsidRDefault="001371B0" w:rsidP="00323D9D">
            <w:pPr>
              <w:spacing w:after="0"/>
              <w:rPr>
                <w:sz w:val="20"/>
                <w:szCs w:val="20"/>
              </w:rPr>
            </w:pPr>
            <w:r w:rsidRPr="001371B0">
              <w:rPr>
                <w:sz w:val="20"/>
                <w:szCs w:val="20"/>
              </w:rPr>
              <w:t>ns – myopathy</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17A3EB6" w14:textId="77777777" w:rsidR="001371B0" w:rsidRPr="001371B0" w:rsidRDefault="001371B0" w:rsidP="00AA5110">
            <w:pPr>
              <w:spacing w:after="0"/>
              <w:jc w:val="right"/>
              <w:rPr>
                <w:sz w:val="20"/>
                <w:szCs w:val="20"/>
              </w:rPr>
            </w:pPr>
            <w:r w:rsidRPr="001371B0">
              <w:rPr>
                <w:sz w:val="20"/>
                <w:szCs w:val="20"/>
              </w:rPr>
              <w:t>1,812</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9C49A0A" w14:textId="77777777" w:rsidR="001371B0" w:rsidRPr="001371B0" w:rsidRDefault="001371B0" w:rsidP="00AA5110">
            <w:pPr>
              <w:spacing w:after="0"/>
              <w:jc w:val="right"/>
              <w:rPr>
                <w:sz w:val="20"/>
                <w:szCs w:val="20"/>
              </w:rPr>
            </w:pPr>
            <w:r w:rsidRPr="001371B0">
              <w:rPr>
                <w:sz w:val="20"/>
                <w:szCs w:val="20"/>
              </w:rPr>
              <w:t>2.9</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36566E3D"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CCFF6A0" w14:textId="77777777" w:rsidR="001371B0" w:rsidRPr="001371B0" w:rsidRDefault="001371B0" w:rsidP="00323D9D">
            <w:pPr>
              <w:spacing w:after="0"/>
              <w:rPr>
                <w:sz w:val="20"/>
                <w:szCs w:val="20"/>
              </w:rPr>
            </w:pPr>
            <w:r w:rsidRPr="001371B0">
              <w:rPr>
                <w:sz w:val="20"/>
                <w:szCs w:val="20"/>
              </w:rPr>
              <w:t>id - candida – other</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1351125" w14:textId="77777777" w:rsidR="001371B0" w:rsidRPr="001371B0" w:rsidRDefault="001371B0" w:rsidP="00850614">
            <w:pPr>
              <w:spacing w:after="0"/>
              <w:jc w:val="right"/>
              <w:rPr>
                <w:sz w:val="20"/>
                <w:szCs w:val="20"/>
              </w:rPr>
            </w:pPr>
            <w:r w:rsidRPr="001371B0">
              <w:rPr>
                <w:sz w:val="20"/>
                <w:szCs w:val="20"/>
              </w:rPr>
              <w:t>1,615</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BDF9B0C" w14:textId="77777777" w:rsidR="001371B0" w:rsidRPr="001371B0" w:rsidRDefault="001371B0" w:rsidP="00850614">
            <w:pPr>
              <w:spacing w:after="0"/>
              <w:jc w:val="right"/>
            </w:pPr>
            <w:r w:rsidRPr="001371B0">
              <w:t>1.2</w:t>
            </w:r>
          </w:p>
        </w:tc>
      </w:tr>
      <w:tr w:rsidR="001371B0" w:rsidRPr="001371B0" w14:paraId="203CC963"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943F49D" w14:textId="77777777" w:rsidR="001371B0" w:rsidRPr="001371B0" w:rsidRDefault="001371B0" w:rsidP="00323D9D">
            <w:pPr>
              <w:spacing w:after="0"/>
              <w:rPr>
                <w:sz w:val="20"/>
                <w:szCs w:val="20"/>
              </w:rPr>
            </w:pPr>
            <w:r w:rsidRPr="001371B0">
              <w:rPr>
                <w:sz w:val="20"/>
                <w:szCs w:val="20"/>
              </w:rPr>
              <w:t>blood - primary thrombocytopenia</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F0BFEBB" w14:textId="77777777" w:rsidR="001371B0" w:rsidRPr="001371B0" w:rsidRDefault="001371B0" w:rsidP="00AA5110">
            <w:pPr>
              <w:spacing w:after="0"/>
              <w:jc w:val="right"/>
              <w:rPr>
                <w:sz w:val="20"/>
                <w:szCs w:val="20"/>
              </w:rPr>
            </w:pPr>
            <w:r w:rsidRPr="001371B0">
              <w:rPr>
                <w:sz w:val="20"/>
                <w:szCs w:val="20"/>
              </w:rPr>
              <w:t>586</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A3821A7" w14:textId="77777777" w:rsidR="001371B0" w:rsidRPr="001371B0" w:rsidRDefault="001371B0" w:rsidP="00AA5110">
            <w:pPr>
              <w:spacing w:after="0"/>
              <w:jc w:val="right"/>
              <w:rPr>
                <w:sz w:val="20"/>
                <w:szCs w:val="20"/>
              </w:rPr>
            </w:pPr>
            <w:r w:rsidRPr="001371B0">
              <w:rPr>
                <w:sz w:val="20"/>
                <w:szCs w:val="20"/>
              </w:rPr>
              <w:t>2.6</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766FD5B6"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B66A359" w14:textId="77777777" w:rsidR="001371B0" w:rsidRPr="001371B0" w:rsidRDefault="001371B0" w:rsidP="00323D9D">
            <w:pPr>
              <w:spacing w:after="0"/>
              <w:rPr>
                <w:sz w:val="20"/>
                <w:szCs w:val="20"/>
              </w:rPr>
            </w:pPr>
            <w:r w:rsidRPr="001371B0">
              <w:rPr>
                <w:sz w:val="20"/>
                <w:szCs w:val="20"/>
              </w:rPr>
              <w:t>cv – endocarditis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B956D76" w14:textId="77777777" w:rsidR="001371B0" w:rsidRPr="001371B0" w:rsidRDefault="001371B0" w:rsidP="00850614">
            <w:pPr>
              <w:spacing w:after="0"/>
              <w:jc w:val="right"/>
              <w:rPr>
                <w:sz w:val="20"/>
                <w:szCs w:val="20"/>
              </w:rPr>
            </w:pPr>
            <w:r w:rsidRPr="001371B0">
              <w:rPr>
                <w:sz w:val="20"/>
                <w:szCs w:val="20"/>
              </w:rPr>
              <w:t>1,170</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E9549CB" w14:textId="77777777" w:rsidR="001371B0" w:rsidRPr="001371B0" w:rsidRDefault="001371B0" w:rsidP="00850614">
            <w:pPr>
              <w:spacing w:after="0"/>
              <w:jc w:val="right"/>
            </w:pPr>
            <w:r w:rsidRPr="001371B0">
              <w:t>1.1</w:t>
            </w:r>
          </w:p>
        </w:tc>
      </w:tr>
      <w:tr w:rsidR="001371B0" w:rsidRPr="001371B0" w14:paraId="118C6000"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706B03B" w14:textId="77777777" w:rsidR="001371B0" w:rsidRPr="001371B0" w:rsidRDefault="001371B0" w:rsidP="00323D9D">
            <w:pPr>
              <w:spacing w:after="0"/>
              <w:rPr>
                <w:sz w:val="20"/>
                <w:szCs w:val="20"/>
              </w:rPr>
            </w:pPr>
            <w:r w:rsidRPr="001371B0">
              <w:rPr>
                <w:sz w:val="20"/>
                <w:szCs w:val="20"/>
              </w:rPr>
              <w:t xml:space="preserve">skin - other skin conditions </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6A3BC66" w14:textId="77777777" w:rsidR="001371B0" w:rsidRPr="001371B0" w:rsidRDefault="001371B0" w:rsidP="00AA5110">
            <w:pPr>
              <w:spacing w:after="0"/>
              <w:jc w:val="right"/>
              <w:rPr>
                <w:sz w:val="20"/>
                <w:szCs w:val="20"/>
              </w:rPr>
            </w:pPr>
            <w:r w:rsidRPr="001371B0">
              <w:rPr>
                <w:sz w:val="20"/>
                <w:szCs w:val="20"/>
              </w:rPr>
              <w:t>134,310</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27F5D49" w14:textId="77777777" w:rsidR="001371B0" w:rsidRPr="001371B0" w:rsidRDefault="001371B0" w:rsidP="00AA5110">
            <w:pPr>
              <w:spacing w:after="0"/>
              <w:jc w:val="right"/>
              <w:rPr>
                <w:sz w:val="20"/>
                <w:szCs w:val="20"/>
              </w:rPr>
            </w:pPr>
            <w:r w:rsidRPr="001371B0">
              <w:rPr>
                <w:sz w:val="20"/>
                <w:szCs w:val="20"/>
              </w:rPr>
              <w:t>2.6</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2B2A9742"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BF97B5F" w14:textId="77777777" w:rsidR="001371B0" w:rsidRPr="001371B0" w:rsidRDefault="001371B0" w:rsidP="00323D9D">
            <w:pPr>
              <w:spacing w:after="0"/>
              <w:rPr>
                <w:sz w:val="20"/>
                <w:szCs w:val="20"/>
              </w:rPr>
            </w:pPr>
            <w:r w:rsidRPr="001371B0">
              <w:rPr>
                <w:sz w:val="20"/>
                <w:szCs w:val="20"/>
              </w:rPr>
              <w:t>gi - peritonitis - nec/nos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CFEAE6C" w14:textId="77777777" w:rsidR="001371B0" w:rsidRPr="001371B0" w:rsidRDefault="001371B0" w:rsidP="00850614">
            <w:pPr>
              <w:spacing w:after="0"/>
              <w:jc w:val="right"/>
              <w:rPr>
                <w:sz w:val="20"/>
                <w:szCs w:val="20"/>
              </w:rPr>
            </w:pPr>
            <w:r w:rsidRPr="001371B0">
              <w:rPr>
                <w:sz w:val="20"/>
                <w:szCs w:val="20"/>
              </w:rPr>
              <w:t>930</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17646F0" w14:textId="77777777" w:rsidR="001371B0" w:rsidRPr="001371B0" w:rsidRDefault="001371B0" w:rsidP="00850614">
            <w:pPr>
              <w:spacing w:after="0"/>
              <w:jc w:val="right"/>
            </w:pPr>
            <w:r w:rsidRPr="001371B0">
              <w:t>1.1</w:t>
            </w:r>
          </w:p>
        </w:tc>
      </w:tr>
      <w:tr w:rsidR="001371B0" w:rsidRPr="001371B0" w14:paraId="6E8646DE"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14B8850" w14:textId="77777777" w:rsidR="001371B0" w:rsidRPr="001371B0" w:rsidRDefault="001371B0" w:rsidP="00323D9D">
            <w:pPr>
              <w:spacing w:after="0"/>
              <w:rPr>
                <w:sz w:val="20"/>
                <w:szCs w:val="20"/>
              </w:rPr>
            </w:pPr>
            <w:r w:rsidRPr="001371B0">
              <w:rPr>
                <w:sz w:val="20"/>
                <w:szCs w:val="20"/>
              </w:rPr>
              <w:t>ms - joint - other arthropathy</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9B93443" w14:textId="77777777" w:rsidR="001371B0" w:rsidRPr="001371B0" w:rsidRDefault="001371B0" w:rsidP="00AA5110">
            <w:pPr>
              <w:spacing w:after="0"/>
              <w:jc w:val="right"/>
              <w:rPr>
                <w:sz w:val="20"/>
                <w:szCs w:val="20"/>
              </w:rPr>
            </w:pPr>
            <w:r w:rsidRPr="001371B0">
              <w:rPr>
                <w:sz w:val="20"/>
                <w:szCs w:val="20"/>
              </w:rPr>
              <w:t>33,319</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116C7F5" w14:textId="77777777" w:rsidR="001371B0" w:rsidRPr="001371B0" w:rsidRDefault="001371B0" w:rsidP="00AA5110">
            <w:pPr>
              <w:spacing w:after="0"/>
              <w:jc w:val="right"/>
              <w:rPr>
                <w:sz w:val="20"/>
                <w:szCs w:val="20"/>
              </w:rPr>
            </w:pPr>
            <w:r w:rsidRPr="001371B0">
              <w:rPr>
                <w:sz w:val="20"/>
                <w:szCs w:val="20"/>
              </w:rPr>
              <w:t>2.3</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5201BEC5"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8007152" w14:textId="77777777" w:rsidR="001371B0" w:rsidRPr="001371B0" w:rsidRDefault="001371B0" w:rsidP="00323D9D">
            <w:pPr>
              <w:spacing w:after="0"/>
              <w:rPr>
                <w:sz w:val="20"/>
                <w:szCs w:val="20"/>
              </w:rPr>
            </w:pPr>
            <w:r w:rsidRPr="001371B0">
              <w:rPr>
                <w:sz w:val="20"/>
                <w:szCs w:val="20"/>
              </w:rPr>
              <w:t>bh - depression/affective ds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40823E4" w14:textId="77777777" w:rsidR="001371B0" w:rsidRPr="001371B0" w:rsidRDefault="001371B0" w:rsidP="00850614">
            <w:pPr>
              <w:spacing w:after="0"/>
              <w:jc w:val="right"/>
              <w:rPr>
                <w:sz w:val="20"/>
                <w:szCs w:val="20"/>
              </w:rPr>
            </w:pPr>
            <w:r w:rsidRPr="001371B0">
              <w:rPr>
                <w:sz w:val="20"/>
                <w:szCs w:val="20"/>
              </w:rPr>
              <w:t>116,790</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755B825" w14:textId="77777777" w:rsidR="001371B0" w:rsidRPr="001371B0" w:rsidRDefault="001371B0" w:rsidP="00850614">
            <w:pPr>
              <w:spacing w:after="0"/>
              <w:jc w:val="right"/>
            </w:pPr>
            <w:r w:rsidRPr="001371B0">
              <w:t>1.1</w:t>
            </w:r>
          </w:p>
        </w:tc>
      </w:tr>
      <w:tr w:rsidR="001371B0" w:rsidRPr="001371B0" w14:paraId="6C1503BE"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059B447" w14:textId="77777777" w:rsidR="001371B0" w:rsidRPr="001371B0" w:rsidRDefault="001371B0" w:rsidP="00323D9D">
            <w:pPr>
              <w:spacing w:after="0"/>
              <w:rPr>
                <w:sz w:val="20"/>
                <w:szCs w:val="20"/>
              </w:rPr>
            </w:pPr>
            <w:r w:rsidRPr="001371B0">
              <w:rPr>
                <w:sz w:val="20"/>
                <w:szCs w:val="20"/>
              </w:rPr>
              <w:t>blood – neutropenia</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C65C48E" w14:textId="77777777" w:rsidR="001371B0" w:rsidRPr="001371B0" w:rsidRDefault="001371B0" w:rsidP="00AA5110">
            <w:pPr>
              <w:spacing w:after="0"/>
              <w:jc w:val="right"/>
              <w:rPr>
                <w:sz w:val="20"/>
                <w:szCs w:val="20"/>
              </w:rPr>
            </w:pPr>
            <w:r w:rsidRPr="001371B0">
              <w:rPr>
                <w:sz w:val="20"/>
                <w:szCs w:val="20"/>
              </w:rPr>
              <w:t>2,528</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73287B3" w14:textId="77777777" w:rsidR="001371B0" w:rsidRPr="001371B0" w:rsidRDefault="001371B0" w:rsidP="00AA5110">
            <w:pPr>
              <w:spacing w:after="0"/>
              <w:jc w:val="right"/>
              <w:rPr>
                <w:sz w:val="20"/>
                <w:szCs w:val="20"/>
              </w:rPr>
            </w:pPr>
            <w:r w:rsidRPr="001371B0">
              <w:rPr>
                <w:sz w:val="20"/>
                <w:szCs w:val="20"/>
              </w:rPr>
              <w:t>2.2</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188CD1A5"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D5364D4" w14:textId="77777777" w:rsidR="001371B0" w:rsidRPr="001371B0" w:rsidRDefault="001371B0" w:rsidP="00323D9D">
            <w:pPr>
              <w:spacing w:after="0"/>
              <w:rPr>
                <w:sz w:val="20"/>
                <w:szCs w:val="20"/>
              </w:rPr>
            </w:pPr>
            <w:r w:rsidRPr="001371B0">
              <w:rPr>
                <w:sz w:val="20"/>
                <w:szCs w:val="20"/>
              </w:rPr>
              <w:t>id - other bacterial id</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3501A91" w14:textId="77777777" w:rsidR="001371B0" w:rsidRPr="001371B0" w:rsidRDefault="001371B0" w:rsidP="00850614">
            <w:pPr>
              <w:spacing w:after="0"/>
              <w:jc w:val="right"/>
              <w:rPr>
                <w:sz w:val="20"/>
                <w:szCs w:val="20"/>
              </w:rPr>
            </w:pPr>
            <w:r w:rsidRPr="001371B0">
              <w:rPr>
                <w:sz w:val="20"/>
                <w:szCs w:val="20"/>
              </w:rPr>
              <w:t>12,208</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31808C4" w14:textId="77777777" w:rsidR="001371B0" w:rsidRPr="001371B0" w:rsidRDefault="001371B0" w:rsidP="00850614">
            <w:pPr>
              <w:spacing w:after="0"/>
              <w:jc w:val="right"/>
            </w:pPr>
            <w:r w:rsidRPr="001371B0">
              <w:t>1.0</w:t>
            </w:r>
          </w:p>
        </w:tc>
      </w:tr>
      <w:tr w:rsidR="001371B0" w:rsidRPr="001371B0" w14:paraId="1AA0DC74"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D3D873B" w14:textId="77777777" w:rsidR="001371B0" w:rsidRPr="001371B0" w:rsidRDefault="001371B0" w:rsidP="00323D9D">
            <w:pPr>
              <w:spacing w:after="0"/>
              <w:rPr>
                <w:sz w:val="20"/>
                <w:szCs w:val="20"/>
              </w:rPr>
            </w:pPr>
            <w:r w:rsidRPr="001371B0">
              <w:rPr>
                <w:sz w:val="20"/>
                <w:szCs w:val="20"/>
              </w:rPr>
              <w:t>cv - other pericardial disease</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C79E256" w14:textId="77777777" w:rsidR="001371B0" w:rsidRPr="001371B0" w:rsidRDefault="001371B0" w:rsidP="00AA5110">
            <w:pPr>
              <w:spacing w:after="0"/>
              <w:jc w:val="right"/>
              <w:rPr>
                <w:sz w:val="20"/>
                <w:szCs w:val="20"/>
              </w:rPr>
            </w:pPr>
            <w:r w:rsidRPr="001371B0">
              <w:rPr>
                <w:sz w:val="20"/>
                <w:szCs w:val="20"/>
              </w:rPr>
              <w:t>1,215</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AECD97B" w14:textId="77777777" w:rsidR="001371B0" w:rsidRPr="001371B0" w:rsidRDefault="001371B0" w:rsidP="00AA5110">
            <w:pPr>
              <w:spacing w:after="0"/>
              <w:jc w:val="right"/>
              <w:rPr>
                <w:sz w:val="20"/>
                <w:szCs w:val="20"/>
              </w:rPr>
            </w:pPr>
            <w:r w:rsidRPr="001371B0">
              <w:rPr>
                <w:sz w:val="20"/>
                <w:szCs w:val="20"/>
              </w:rPr>
              <w:t>2.1</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5B600E29"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F0C29DE" w14:textId="77777777" w:rsidR="001371B0" w:rsidRPr="001371B0" w:rsidRDefault="001371B0" w:rsidP="00323D9D">
            <w:pPr>
              <w:spacing w:after="0"/>
              <w:rPr>
                <w:sz w:val="20"/>
                <w:szCs w:val="20"/>
              </w:rPr>
            </w:pPr>
            <w:r w:rsidRPr="001371B0">
              <w:rPr>
                <w:sz w:val="20"/>
                <w:szCs w:val="20"/>
              </w:rPr>
              <w:t>blood - anemia - nec/nos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0AEDD7F" w14:textId="77777777" w:rsidR="001371B0" w:rsidRPr="001371B0" w:rsidRDefault="001371B0" w:rsidP="00850614">
            <w:pPr>
              <w:spacing w:after="0"/>
              <w:jc w:val="right"/>
              <w:rPr>
                <w:sz w:val="20"/>
                <w:szCs w:val="20"/>
              </w:rPr>
            </w:pPr>
            <w:r w:rsidRPr="001371B0">
              <w:rPr>
                <w:sz w:val="20"/>
                <w:szCs w:val="20"/>
              </w:rPr>
              <w:t>9,884</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F7445A7" w14:textId="77777777" w:rsidR="001371B0" w:rsidRPr="001371B0" w:rsidRDefault="001371B0" w:rsidP="00850614">
            <w:pPr>
              <w:spacing w:after="0"/>
              <w:jc w:val="right"/>
            </w:pPr>
            <w:r w:rsidRPr="001371B0">
              <w:t>1.0</w:t>
            </w:r>
          </w:p>
        </w:tc>
      </w:tr>
      <w:tr w:rsidR="001371B0" w:rsidRPr="001371B0" w14:paraId="5D8883E2"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8361E3E" w14:textId="77777777" w:rsidR="001371B0" w:rsidRPr="001371B0" w:rsidRDefault="001371B0" w:rsidP="00323D9D">
            <w:pPr>
              <w:spacing w:after="0"/>
              <w:rPr>
                <w:sz w:val="20"/>
                <w:szCs w:val="20"/>
              </w:rPr>
            </w:pPr>
            <w:r w:rsidRPr="001371B0">
              <w:rPr>
                <w:sz w:val="20"/>
                <w:szCs w:val="20"/>
              </w:rPr>
              <w:t>resp - pulmonary fibrosis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F32EAAB" w14:textId="77777777" w:rsidR="001371B0" w:rsidRPr="001371B0" w:rsidRDefault="001371B0" w:rsidP="00AA5110">
            <w:pPr>
              <w:spacing w:after="0"/>
              <w:jc w:val="right"/>
              <w:rPr>
                <w:sz w:val="20"/>
                <w:szCs w:val="20"/>
              </w:rPr>
            </w:pPr>
            <w:r w:rsidRPr="001371B0">
              <w:rPr>
                <w:sz w:val="20"/>
                <w:szCs w:val="20"/>
              </w:rPr>
              <w:t>803</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F617A2A" w14:textId="77777777" w:rsidR="001371B0" w:rsidRPr="001371B0" w:rsidRDefault="001371B0" w:rsidP="00AA5110">
            <w:pPr>
              <w:spacing w:after="0"/>
              <w:jc w:val="right"/>
              <w:rPr>
                <w:sz w:val="20"/>
                <w:szCs w:val="20"/>
              </w:rPr>
            </w:pPr>
            <w:r w:rsidRPr="001371B0">
              <w:rPr>
                <w:sz w:val="20"/>
                <w:szCs w:val="20"/>
              </w:rPr>
              <w:t>2.0</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79986124"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5D391A5" w14:textId="77777777" w:rsidR="001371B0" w:rsidRPr="001371B0" w:rsidRDefault="001371B0" w:rsidP="00323D9D">
            <w:pPr>
              <w:spacing w:after="0"/>
              <w:rPr>
                <w:sz w:val="20"/>
                <w:szCs w:val="20"/>
              </w:rPr>
            </w:pPr>
            <w:r w:rsidRPr="001371B0">
              <w:rPr>
                <w:sz w:val="20"/>
                <w:szCs w:val="20"/>
              </w:rPr>
              <w:t>blood - other white blood disorders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087529E" w14:textId="77777777" w:rsidR="001371B0" w:rsidRPr="001371B0" w:rsidRDefault="001371B0" w:rsidP="00850614">
            <w:pPr>
              <w:spacing w:after="0"/>
              <w:jc w:val="right"/>
              <w:rPr>
                <w:sz w:val="20"/>
                <w:szCs w:val="20"/>
              </w:rPr>
            </w:pPr>
            <w:r w:rsidRPr="001371B0">
              <w:rPr>
                <w:sz w:val="20"/>
                <w:szCs w:val="20"/>
              </w:rPr>
              <w:t>518</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2792B8C" w14:textId="77777777" w:rsidR="001371B0" w:rsidRPr="001371B0" w:rsidRDefault="001371B0" w:rsidP="00850614">
            <w:pPr>
              <w:spacing w:after="0"/>
              <w:jc w:val="right"/>
            </w:pPr>
            <w:r w:rsidRPr="001371B0">
              <w:t>0.9</w:t>
            </w:r>
          </w:p>
        </w:tc>
      </w:tr>
      <w:tr w:rsidR="001371B0" w:rsidRPr="001371B0" w14:paraId="3375CD91"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9385B3A" w14:textId="77777777" w:rsidR="001371B0" w:rsidRPr="001371B0" w:rsidRDefault="001371B0" w:rsidP="00323D9D">
            <w:pPr>
              <w:spacing w:after="0"/>
              <w:rPr>
                <w:sz w:val="20"/>
                <w:szCs w:val="20"/>
              </w:rPr>
            </w:pPr>
            <w:r w:rsidRPr="001371B0">
              <w:rPr>
                <w:sz w:val="20"/>
                <w:szCs w:val="20"/>
              </w:rPr>
              <w:t>eye - other eye inflammation</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210B003" w14:textId="77777777" w:rsidR="001371B0" w:rsidRPr="001371B0" w:rsidRDefault="001371B0" w:rsidP="00AA5110">
            <w:pPr>
              <w:spacing w:after="0"/>
              <w:jc w:val="right"/>
              <w:rPr>
                <w:sz w:val="20"/>
                <w:szCs w:val="20"/>
              </w:rPr>
            </w:pPr>
            <w:r w:rsidRPr="001371B0">
              <w:rPr>
                <w:sz w:val="20"/>
                <w:szCs w:val="20"/>
              </w:rPr>
              <w:t>936</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53D4B2B" w14:textId="77777777" w:rsidR="001371B0" w:rsidRPr="001371B0" w:rsidRDefault="001371B0" w:rsidP="00AA5110">
            <w:pPr>
              <w:spacing w:after="0"/>
              <w:jc w:val="right"/>
              <w:rPr>
                <w:sz w:val="20"/>
                <w:szCs w:val="20"/>
              </w:rPr>
            </w:pPr>
            <w:r w:rsidRPr="001371B0">
              <w:rPr>
                <w:sz w:val="20"/>
                <w:szCs w:val="20"/>
              </w:rPr>
              <w:t>1.9</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0B796F90"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CB9B0F7" w14:textId="77777777" w:rsidR="001371B0" w:rsidRPr="001371B0" w:rsidRDefault="001371B0" w:rsidP="00323D9D">
            <w:pPr>
              <w:spacing w:after="0"/>
              <w:rPr>
                <w:sz w:val="20"/>
                <w:szCs w:val="20"/>
              </w:rPr>
            </w:pPr>
            <w:r w:rsidRPr="001371B0">
              <w:rPr>
                <w:sz w:val="20"/>
                <w:szCs w:val="20"/>
              </w:rPr>
              <w:t>gu - other ureteral disorders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AC6E2C7" w14:textId="77777777" w:rsidR="001371B0" w:rsidRPr="001371B0" w:rsidRDefault="001371B0" w:rsidP="00850614">
            <w:pPr>
              <w:spacing w:after="0"/>
              <w:jc w:val="right"/>
              <w:rPr>
                <w:sz w:val="20"/>
                <w:szCs w:val="20"/>
              </w:rPr>
            </w:pPr>
            <w:r w:rsidRPr="001371B0">
              <w:rPr>
                <w:sz w:val="20"/>
                <w:szCs w:val="20"/>
              </w:rPr>
              <w:t>2,988</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AF6A71E" w14:textId="77777777" w:rsidR="001371B0" w:rsidRPr="001371B0" w:rsidRDefault="001371B0" w:rsidP="00850614">
            <w:pPr>
              <w:spacing w:after="0"/>
              <w:jc w:val="right"/>
            </w:pPr>
            <w:r w:rsidRPr="001371B0">
              <w:t>0.9</w:t>
            </w:r>
          </w:p>
        </w:tc>
      </w:tr>
      <w:tr w:rsidR="001371B0" w:rsidRPr="001371B0" w14:paraId="2E090059"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95BF8D6" w14:textId="77777777" w:rsidR="001371B0" w:rsidRPr="001371B0" w:rsidRDefault="001371B0" w:rsidP="00323D9D">
            <w:pPr>
              <w:spacing w:after="0"/>
              <w:rPr>
                <w:sz w:val="20"/>
                <w:szCs w:val="20"/>
              </w:rPr>
            </w:pPr>
            <w:r w:rsidRPr="001371B0">
              <w:rPr>
                <w:sz w:val="20"/>
                <w:szCs w:val="20"/>
              </w:rPr>
              <w:t>ms - elbow – enthesopathy</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865F651" w14:textId="77777777" w:rsidR="001371B0" w:rsidRPr="001371B0" w:rsidRDefault="001371B0" w:rsidP="00AA5110">
            <w:pPr>
              <w:spacing w:after="0"/>
              <w:jc w:val="right"/>
              <w:rPr>
                <w:sz w:val="20"/>
                <w:szCs w:val="20"/>
              </w:rPr>
            </w:pPr>
            <w:r w:rsidRPr="001371B0">
              <w:rPr>
                <w:sz w:val="20"/>
                <w:szCs w:val="20"/>
              </w:rPr>
              <w:t>740</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AA773B1" w14:textId="77777777" w:rsidR="001371B0" w:rsidRPr="001371B0" w:rsidRDefault="001371B0" w:rsidP="00AA5110">
            <w:pPr>
              <w:spacing w:after="0"/>
              <w:jc w:val="right"/>
              <w:rPr>
                <w:sz w:val="20"/>
                <w:szCs w:val="20"/>
              </w:rPr>
            </w:pPr>
            <w:r w:rsidRPr="001371B0">
              <w:rPr>
                <w:sz w:val="20"/>
                <w:szCs w:val="20"/>
              </w:rPr>
              <w:t>1.8</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750E2736"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B03419F" w14:textId="77777777" w:rsidR="001371B0" w:rsidRPr="001371B0" w:rsidRDefault="001371B0" w:rsidP="00323D9D">
            <w:pPr>
              <w:spacing w:after="0"/>
              <w:rPr>
                <w:sz w:val="20"/>
                <w:szCs w:val="20"/>
              </w:rPr>
            </w:pPr>
            <w:r w:rsidRPr="001371B0">
              <w:rPr>
                <w:sz w:val="20"/>
                <w:szCs w:val="20"/>
              </w:rPr>
              <w:t>gu - chronic renal failure</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6F9461C" w14:textId="77777777" w:rsidR="001371B0" w:rsidRPr="001371B0" w:rsidRDefault="001371B0" w:rsidP="00850614">
            <w:pPr>
              <w:spacing w:after="0"/>
              <w:jc w:val="right"/>
              <w:rPr>
                <w:sz w:val="20"/>
                <w:szCs w:val="20"/>
              </w:rPr>
            </w:pPr>
            <w:r w:rsidRPr="001371B0">
              <w:rPr>
                <w:sz w:val="20"/>
                <w:szCs w:val="20"/>
              </w:rPr>
              <w:t>29,810</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4034F61" w14:textId="77777777" w:rsidR="001371B0" w:rsidRPr="001371B0" w:rsidRDefault="001371B0" w:rsidP="00850614">
            <w:pPr>
              <w:spacing w:after="0"/>
              <w:jc w:val="right"/>
            </w:pPr>
            <w:r w:rsidRPr="001371B0">
              <w:t>0.9</w:t>
            </w:r>
          </w:p>
        </w:tc>
      </w:tr>
      <w:tr w:rsidR="001371B0" w:rsidRPr="001371B0" w14:paraId="0C1A35A3"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A5F3472" w14:textId="77777777" w:rsidR="001371B0" w:rsidRPr="001371B0" w:rsidRDefault="001371B0" w:rsidP="00323D9D">
            <w:pPr>
              <w:spacing w:after="0"/>
              <w:rPr>
                <w:sz w:val="20"/>
                <w:szCs w:val="20"/>
              </w:rPr>
            </w:pPr>
            <w:r w:rsidRPr="001371B0">
              <w:rPr>
                <w:sz w:val="20"/>
                <w:szCs w:val="20"/>
              </w:rPr>
              <w:t>ms - bone - other bone / cartilage</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16BB249" w14:textId="77777777" w:rsidR="001371B0" w:rsidRPr="001371B0" w:rsidRDefault="001371B0" w:rsidP="00AA5110">
            <w:pPr>
              <w:spacing w:after="0"/>
              <w:jc w:val="right"/>
              <w:rPr>
                <w:sz w:val="20"/>
                <w:szCs w:val="20"/>
              </w:rPr>
            </w:pPr>
            <w:r w:rsidRPr="001371B0">
              <w:rPr>
                <w:sz w:val="20"/>
                <w:szCs w:val="20"/>
              </w:rPr>
              <w:t>21,987</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BA36F30" w14:textId="77777777" w:rsidR="001371B0" w:rsidRPr="001371B0" w:rsidRDefault="001371B0" w:rsidP="00AA5110">
            <w:pPr>
              <w:spacing w:after="0"/>
              <w:jc w:val="right"/>
              <w:rPr>
                <w:sz w:val="20"/>
                <w:szCs w:val="20"/>
              </w:rPr>
            </w:pPr>
            <w:r w:rsidRPr="001371B0">
              <w:rPr>
                <w:sz w:val="20"/>
                <w:szCs w:val="20"/>
              </w:rPr>
              <w:t>1.7</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07ED6805"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9BC4AA7" w14:textId="77777777" w:rsidR="001371B0" w:rsidRPr="001371B0" w:rsidRDefault="001371B0" w:rsidP="00323D9D">
            <w:pPr>
              <w:spacing w:after="0"/>
              <w:rPr>
                <w:sz w:val="20"/>
                <w:szCs w:val="20"/>
              </w:rPr>
            </w:pPr>
            <w:r w:rsidRPr="001371B0">
              <w:rPr>
                <w:sz w:val="20"/>
                <w:szCs w:val="20"/>
              </w:rPr>
              <w:t>id – sepsis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788C369" w14:textId="77777777" w:rsidR="001371B0" w:rsidRPr="001371B0" w:rsidRDefault="001371B0" w:rsidP="00850614">
            <w:pPr>
              <w:spacing w:after="0"/>
              <w:jc w:val="right"/>
              <w:rPr>
                <w:sz w:val="20"/>
                <w:szCs w:val="20"/>
              </w:rPr>
            </w:pPr>
            <w:r w:rsidRPr="001371B0">
              <w:rPr>
                <w:sz w:val="20"/>
                <w:szCs w:val="20"/>
              </w:rPr>
              <w:t>15,351</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4BD4559" w14:textId="77777777" w:rsidR="001371B0" w:rsidRPr="001371B0" w:rsidRDefault="001371B0" w:rsidP="00850614">
            <w:pPr>
              <w:spacing w:after="0"/>
              <w:jc w:val="right"/>
            </w:pPr>
            <w:r w:rsidRPr="001371B0">
              <w:t>0.8</w:t>
            </w:r>
          </w:p>
        </w:tc>
      </w:tr>
      <w:tr w:rsidR="001371B0" w:rsidRPr="001371B0" w14:paraId="05F4A43C"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4885A92" w14:textId="77777777" w:rsidR="001371B0" w:rsidRPr="001371B0" w:rsidRDefault="001371B0" w:rsidP="00323D9D">
            <w:pPr>
              <w:spacing w:after="0"/>
              <w:rPr>
                <w:sz w:val="20"/>
                <w:szCs w:val="20"/>
              </w:rPr>
            </w:pPr>
            <w:r w:rsidRPr="001371B0">
              <w:rPr>
                <w:sz w:val="20"/>
                <w:szCs w:val="20"/>
              </w:rPr>
              <w:t>blood - anemia due to chronic illness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E078142" w14:textId="77777777" w:rsidR="001371B0" w:rsidRPr="001371B0" w:rsidRDefault="001371B0" w:rsidP="00AA5110">
            <w:pPr>
              <w:spacing w:after="0"/>
              <w:jc w:val="right"/>
              <w:rPr>
                <w:sz w:val="20"/>
                <w:szCs w:val="20"/>
              </w:rPr>
            </w:pPr>
            <w:r w:rsidRPr="001371B0">
              <w:rPr>
                <w:sz w:val="20"/>
                <w:szCs w:val="20"/>
              </w:rPr>
              <w:t>744</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0F6A23B" w14:textId="77777777" w:rsidR="001371B0" w:rsidRPr="001371B0" w:rsidRDefault="001371B0" w:rsidP="00AA5110">
            <w:pPr>
              <w:spacing w:after="0"/>
              <w:jc w:val="right"/>
              <w:rPr>
                <w:sz w:val="20"/>
                <w:szCs w:val="20"/>
              </w:rPr>
            </w:pPr>
            <w:r w:rsidRPr="001371B0">
              <w:rPr>
                <w:sz w:val="20"/>
                <w:szCs w:val="20"/>
              </w:rPr>
              <w:t>1.7</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70BAA8CB"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3EA5B26" w14:textId="77777777" w:rsidR="001371B0" w:rsidRPr="001371B0" w:rsidRDefault="001371B0" w:rsidP="00323D9D">
            <w:pPr>
              <w:spacing w:after="0"/>
              <w:rPr>
                <w:sz w:val="20"/>
                <w:szCs w:val="20"/>
              </w:rPr>
            </w:pPr>
            <w:r w:rsidRPr="001371B0">
              <w:rPr>
                <w:sz w:val="20"/>
                <w:szCs w:val="20"/>
              </w:rPr>
              <w:t>endo – malnutrition</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0B78DC2" w14:textId="77777777" w:rsidR="001371B0" w:rsidRPr="001371B0" w:rsidRDefault="001371B0" w:rsidP="00850614">
            <w:pPr>
              <w:spacing w:after="0"/>
              <w:jc w:val="right"/>
              <w:rPr>
                <w:sz w:val="20"/>
                <w:szCs w:val="20"/>
              </w:rPr>
            </w:pPr>
            <w:r w:rsidRPr="001371B0">
              <w:rPr>
                <w:sz w:val="20"/>
                <w:szCs w:val="20"/>
              </w:rPr>
              <w:t>5,560</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CC613DB" w14:textId="77777777" w:rsidR="001371B0" w:rsidRPr="001371B0" w:rsidRDefault="001371B0" w:rsidP="00850614">
            <w:pPr>
              <w:spacing w:after="0"/>
              <w:jc w:val="right"/>
            </w:pPr>
            <w:r w:rsidRPr="001371B0">
              <w:t>0.8</w:t>
            </w:r>
          </w:p>
        </w:tc>
      </w:tr>
      <w:tr w:rsidR="001371B0" w:rsidRPr="001371B0" w14:paraId="3FDCD7C9"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54D4606" w14:textId="77777777" w:rsidR="001371B0" w:rsidRPr="001371B0" w:rsidRDefault="001371B0" w:rsidP="00323D9D">
            <w:pPr>
              <w:spacing w:after="0"/>
              <w:rPr>
                <w:sz w:val="20"/>
                <w:szCs w:val="20"/>
              </w:rPr>
            </w:pPr>
            <w:r w:rsidRPr="001371B0">
              <w:rPr>
                <w:sz w:val="20"/>
                <w:szCs w:val="20"/>
              </w:rPr>
              <w:t>ns – epilepsy</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0841ECF" w14:textId="77777777" w:rsidR="001371B0" w:rsidRPr="001371B0" w:rsidRDefault="001371B0" w:rsidP="00AA5110">
            <w:pPr>
              <w:spacing w:after="0"/>
              <w:jc w:val="right"/>
              <w:rPr>
                <w:sz w:val="20"/>
                <w:szCs w:val="20"/>
              </w:rPr>
            </w:pPr>
            <w:r w:rsidRPr="001371B0">
              <w:rPr>
                <w:sz w:val="20"/>
                <w:szCs w:val="20"/>
              </w:rPr>
              <w:t>7,690</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79EC1BD" w14:textId="77777777" w:rsidR="001371B0" w:rsidRPr="001371B0" w:rsidRDefault="001371B0" w:rsidP="00AA5110">
            <w:pPr>
              <w:spacing w:after="0"/>
              <w:jc w:val="right"/>
              <w:rPr>
                <w:sz w:val="20"/>
                <w:szCs w:val="20"/>
              </w:rPr>
            </w:pPr>
            <w:r w:rsidRPr="001371B0">
              <w:rPr>
                <w:sz w:val="20"/>
                <w:szCs w:val="20"/>
              </w:rPr>
              <w:t>1.5</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207B67FF"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95170B0" w14:textId="77777777" w:rsidR="001371B0" w:rsidRPr="001371B0" w:rsidRDefault="001371B0" w:rsidP="00323D9D">
            <w:pPr>
              <w:spacing w:after="0"/>
              <w:rPr>
                <w:sz w:val="20"/>
                <w:szCs w:val="20"/>
              </w:rPr>
            </w:pPr>
            <w:r w:rsidRPr="001371B0">
              <w:rPr>
                <w:sz w:val="20"/>
                <w:szCs w:val="20"/>
              </w:rPr>
              <w:t>gu - acute renal failure</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45CDB9E" w14:textId="77777777" w:rsidR="001371B0" w:rsidRPr="001371B0" w:rsidRDefault="001371B0" w:rsidP="00850614">
            <w:pPr>
              <w:spacing w:after="0"/>
              <w:jc w:val="right"/>
              <w:rPr>
                <w:sz w:val="20"/>
                <w:szCs w:val="20"/>
              </w:rPr>
            </w:pPr>
            <w:r w:rsidRPr="001371B0">
              <w:rPr>
                <w:sz w:val="20"/>
                <w:szCs w:val="20"/>
              </w:rPr>
              <w:t>5,668</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9620167" w14:textId="77777777" w:rsidR="001371B0" w:rsidRPr="001371B0" w:rsidRDefault="001371B0" w:rsidP="00850614">
            <w:pPr>
              <w:spacing w:after="0"/>
              <w:jc w:val="right"/>
            </w:pPr>
            <w:r w:rsidRPr="001371B0">
              <w:t>0.7</w:t>
            </w:r>
          </w:p>
        </w:tc>
      </w:tr>
      <w:tr w:rsidR="001371B0" w:rsidRPr="001371B0" w14:paraId="7D8733AA"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64F0E2B" w14:textId="77777777" w:rsidR="001371B0" w:rsidRPr="001371B0" w:rsidRDefault="001371B0" w:rsidP="00323D9D">
            <w:pPr>
              <w:spacing w:after="0"/>
              <w:rPr>
                <w:sz w:val="20"/>
                <w:szCs w:val="20"/>
              </w:rPr>
            </w:pPr>
            <w:r w:rsidRPr="001371B0">
              <w:rPr>
                <w:sz w:val="20"/>
                <w:szCs w:val="20"/>
              </w:rPr>
              <w:t>blood - other coagulation defect</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1DF3A6B" w14:textId="77777777" w:rsidR="001371B0" w:rsidRPr="001371B0" w:rsidRDefault="001371B0" w:rsidP="00AA5110">
            <w:pPr>
              <w:spacing w:after="0"/>
              <w:jc w:val="right"/>
              <w:rPr>
                <w:sz w:val="20"/>
                <w:szCs w:val="20"/>
              </w:rPr>
            </w:pPr>
            <w:r w:rsidRPr="001371B0">
              <w:rPr>
                <w:sz w:val="20"/>
                <w:szCs w:val="20"/>
              </w:rPr>
              <w:t>818</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BD120EC" w14:textId="77777777" w:rsidR="001371B0" w:rsidRPr="001371B0" w:rsidRDefault="001371B0" w:rsidP="00AA5110">
            <w:pPr>
              <w:spacing w:after="0"/>
              <w:jc w:val="right"/>
              <w:rPr>
                <w:sz w:val="20"/>
                <w:szCs w:val="20"/>
              </w:rPr>
            </w:pPr>
            <w:r w:rsidRPr="001371B0">
              <w:rPr>
                <w:sz w:val="20"/>
                <w:szCs w:val="20"/>
              </w:rPr>
              <w:t>1.5</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40E8AF90"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9A3F923" w14:textId="77777777" w:rsidR="001371B0" w:rsidRPr="001371B0" w:rsidRDefault="001371B0" w:rsidP="00323D9D">
            <w:pPr>
              <w:spacing w:after="0"/>
              <w:rPr>
                <w:sz w:val="20"/>
                <w:szCs w:val="20"/>
              </w:rPr>
            </w:pPr>
            <w:r w:rsidRPr="001371B0">
              <w:rPr>
                <w:sz w:val="20"/>
                <w:szCs w:val="20"/>
              </w:rPr>
              <w:t>ns – encephalopathy</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629974AD" w14:textId="77777777" w:rsidR="001371B0" w:rsidRPr="001371B0" w:rsidRDefault="001371B0" w:rsidP="00850614">
            <w:pPr>
              <w:spacing w:after="0"/>
              <w:jc w:val="right"/>
              <w:rPr>
                <w:sz w:val="20"/>
                <w:szCs w:val="20"/>
              </w:rPr>
            </w:pPr>
            <w:r w:rsidRPr="001371B0">
              <w:rPr>
                <w:sz w:val="20"/>
                <w:szCs w:val="20"/>
              </w:rPr>
              <w:t>2,112</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41DFD32" w14:textId="77777777" w:rsidR="001371B0" w:rsidRPr="001371B0" w:rsidRDefault="001371B0" w:rsidP="00850614">
            <w:pPr>
              <w:spacing w:after="0"/>
              <w:jc w:val="right"/>
            </w:pPr>
            <w:r w:rsidRPr="001371B0">
              <w:t>0.7</w:t>
            </w:r>
          </w:p>
        </w:tc>
      </w:tr>
      <w:tr w:rsidR="001371B0" w:rsidRPr="001371B0" w14:paraId="46B795E9"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6D5EC0E" w14:textId="77777777" w:rsidR="001371B0" w:rsidRPr="001371B0" w:rsidRDefault="001371B0" w:rsidP="00323D9D">
            <w:pPr>
              <w:spacing w:after="0"/>
              <w:rPr>
                <w:sz w:val="20"/>
                <w:szCs w:val="20"/>
              </w:rPr>
            </w:pPr>
            <w:r w:rsidRPr="001371B0">
              <w:rPr>
                <w:sz w:val="20"/>
                <w:szCs w:val="20"/>
              </w:rPr>
              <w:t>skin - dermatitis – nos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17CDB320" w14:textId="77777777" w:rsidR="001371B0" w:rsidRPr="001371B0" w:rsidRDefault="001371B0" w:rsidP="00AA5110">
            <w:pPr>
              <w:spacing w:after="0"/>
              <w:jc w:val="right"/>
              <w:rPr>
                <w:sz w:val="20"/>
                <w:szCs w:val="20"/>
              </w:rPr>
            </w:pPr>
            <w:r w:rsidRPr="001371B0">
              <w:rPr>
                <w:sz w:val="20"/>
                <w:szCs w:val="20"/>
              </w:rPr>
              <w:t>1,161</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95D8487" w14:textId="77777777" w:rsidR="001371B0" w:rsidRPr="001371B0" w:rsidRDefault="001371B0" w:rsidP="00AA5110">
            <w:pPr>
              <w:spacing w:after="0"/>
              <w:jc w:val="right"/>
              <w:rPr>
                <w:sz w:val="20"/>
                <w:szCs w:val="20"/>
              </w:rPr>
            </w:pPr>
            <w:r w:rsidRPr="001371B0">
              <w:rPr>
                <w:sz w:val="20"/>
                <w:szCs w:val="20"/>
              </w:rPr>
              <w:t>1.5</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23B207D6"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FE35995" w14:textId="77777777" w:rsidR="001371B0" w:rsidRPr="001371B0" w:rsidRDefault="001371B0" w:rsidP="00323D9D">
            <w:pPr>
              <w:spacing w:after="0"/>
              <w:rPr>
                <w:sz w:val="20"/>
                <w:szCs w:val="20"/>
              </w:rPr>
            </w:pPr>
            <w:r w:rsidRPr="001371B0">
              <w:rPr>
                <w:sz w:val="20"/>
                <w:szCs w:val="20"/>
              </w:rPr>
              <w:t>eye - macular degeneration</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FF095D9" w14:textId="77777777" w:rsidR="001371B0" w:rsidRPr="001371B0" w:rsidRDefault="001371B0" w:rsidP="00850614">
            <w:pPr>
              <w:spacing w:after="0"/>
              <w:jc w:val="right"/>
              <w:rPr>
                <w:sz w:val="20"/>
                <w:szCs w:val="20"/>
              </w:rPr>
            </w:pPr>
            <w:r w:rsidRPr="001371B0">
              <w:rPr>
                <w:sz w:val="20"/>
                <w:szCs w:val="20"/>
              </w:rPr>
              <w:t>6,573</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5BB19540" w14:textId="77777777" w:rsidR="001371B0" w:rsidRPr="001371B0" w:rsidRDefault="001371B0" w:rsidP="00850614">
            <w:pPr>
              <w:spacing w:after="0"/>
              <w:jc w:val="right"/>
            </w:pPr>
            <w:r w:rsidRPr="001371B0">
              <w:t>0.7</w:t>
            </w:r>
          </w:p>
        </w:tc>
      </w:tr>
      <w:tr w:rsidR="001371B0" w:rsidRPr="001371B0" w14:paraId="3A69BBD3"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BFEE76F" w14:textId="77777777" w:rsidR="001371B0" w:rsidRPr="001371B0" w:rsidRDefault="001371B0" w:rsidP="00323D9D">
            <w:pPr>
              <w:spacing w:after="0"/>
              <w:rPr>
                <w:sz w:val="20"/>
                <w:szCs w:val="20"/>
              </w:rPr>
            </w:pPr>
            <w:r w:rsidRPr="001371B0">
              <w:rPr>
                <w:sz w:val="20"/>
                <w:szCs w:val="20"/>
              </w:rPr>
              <w:t>blood - thrombocytopenia – nos</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D01545B" w14:textId="77777777" w:rsidR="001371B0" w:rsidRPr="001371B0" w:rsidRDefault="001371B0" w:rsidP="00AA5110">
            <w:pPr>
              <w:spacing w:after="0"/>
              <w:jc w:val="right"/>
              <w:rPr>
                <w:sz w:val="20"/>
                <w:szCs w:val="20"/>
              </w:rPr>
            </w:pPr>
            <w:r w:rsidRPr="001371B0">
              <w:rPr>
                <w:sz w:val="20"/>
                <w:szCs w:val="20"/>
              </w:rPr>
              <w:t>803</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70E0864" w14:textId="77777777" w:rsidR="001371B0" w:rsidRPr="001371B0" w:rsidRDefault="001371B0" w:rsidP="00AA5110">
            <w:pPr>
              <w:spacing w:after="0"/>
              <w:jc w:val="right"/>
              <w:rPr>
                <w:sz w:val="20"/>
                <w:szCs w:val="20"/>
              </w:rPr>
            </w:pPr>
            <w:r w:rsidRPr="001371B0">
              <w:rPr>
                <w:sz w:val="20"/>
                <w:szCs w:val="20"/>
              </w:rPr>
              <w:t>1.4</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0064BC4C"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33986C87" w14:textId="77777777" w:rsidR="001371B0" w:rsidRPr="001371B0" w:rsidRDefault="001371B0" w:rsidP="00323D9D">
            <w:pPr>
              <w:spacing w:after="0"/>
              <w:rPr>
                <w:sz w:val="20"/>
                <w:szCs w:val="20"/>
              </w:rPr>
            </w:pPr>
            <w:r w:rsidRPr="001371B0">
              <w:rPr>
                <w:sz w:val="20"/>
                <w:szCs w:val="20"/>
              </w:rPr>
              <w:t>ms - hip – fracture</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988445E" w14:textId="77777777" w:rsidR="001371B0" w:rsidRPr="001371B0" w:rsidRDefault="001371B0" w:rsidP="00850614">
            <w:pPr>
              <w:spacing w:after="0"/>
              <w:jc w:val="right"/>
              <w:rPr>
                <w:sz w:val="20"/>
                <w:szCs w:val="20"/>
              </w:rPr>
            </w:pPr>
            <w:r w:rsidRPr="001371B0">
              <w:rPr>
                <w:sz w:val="20"/>
                <w:szCs w:val="20"/>
              </w:rPr>
              <w:t>2,664</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7BB3C3C1" w14:textId="77777777" w:rsidR="001371B0" w:rsidRPr="001371B0" w:rsidRDefault="001371B0" w:rsidP="00850614">
            <w:pPr>
              <w:spacing w:after="0"/>
              <w:jc w:val="right"/>
            </w:pPr>
            <w:r w:rsidRPr="001371B0">
              <w:t>0.7</w:t>
            </w:r>
          </w:p>
        </w:tc>
      </w:tr>
      <w:tr w:rsidR="001371B0" w:rsidRPr="001371B0" w14:paraId="3B96EBCE" w14:textId="77777777" w:rsidTr="00850614">
        <w:trPr>
          <w:trHeight w:val="20"/>
          <w:jc w:val="center"/>
        </w:trPr>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557591C" w14:textId="77777777" w:rsidR="001371B0" w:rsidRPr="001371B0" w:rsidRDefault="001371B0" w:rsidP="00323D9D">
            <w:pPr>
              <w:spacing w:after="0"/>
              <w:rPr>
                <w:sz w:val="20"/>
                <w:szCs w:val="20"/>
              </w:rPr>
            </w:pPr>
            <w:r w:rsidRPr="001371B0">
              <w:rPr>
                <w:sz w:val="20"/>
                <w:szCs w:val="20"/>
              </w:rPr>
              <w:t>cv - pulmonary embolism</w:t>
            </w:r>
          </w:p>
        </w:tc>
        <w:tc>
          <w:tcPr>
            <w:tcW w:w="210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3023748" w14:textId="77777777" w:rsidR="001371B0" w:rsidRPr="001371B0" w:rsidRDefault="001371B0" w:rsidP="00AA5110">
            <w:pPr>
              <w:spacing w:after="0"/>
              <w:jc w:val="right"/>
              <w:rPr>
                <w:sz w:val="20"/>
                <w:szCs w:val="20"/>
              </w:rPr>
            </w:pPr>
            <w:r w:rsidRPr="001371B0">
              <w:rPr>
                <w:sz w:val="20"/>
                <w:szCs w:val="20"/>
              </w:rPr>
              <w:t>1,641</w:t>
            </w:r>
          </w:p>
        </w:tc>
        <w:tc>
          <w:tcPr>
            <w:tcW w:w="12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70F69CD" w14:textId="77777777" w:rsidR="001371B0" w:rsidRPr="001371B0" w:rsidRDefault="001371B0" w:rsidP="00AA5110">
            <w:pPr>
              <w:spacing w:after="0"/>
              <w:jc w:val="right"/>
              <w:rPr>
                <w:sz w:val="20"/>
                <w:szCs w:val="20"/>
              </w:rPr>
            </w:pPr>
            <w:r w:rsidRPr="001371B0">
              <w:rPr>
                <w:sz w:val="20"/>
                <w:szCs w:val="20"/>
              </w:rPr>
              <w:t>1.4</w:t>
            </w:r>
          </w:p>
        </w:tc>
        <w:tc>
          <w:tcPr>
            <w:tcW w:w="600" w:type="dxa"/>
            <w:tcBorders>
              <w:top w:val="nil"/>
              <w:left w:val="single" w:sz="4" w:space="0" w:color="D9D9D9"/>
              <w:bottom w:val="nil"/>
              <w:right w:val="single" w:sz="4" w:space="0" w:color="D9D9D9"/>
            </w:tcBorders>
            <w:shd w:val="clear" w:color="auto" w:fill="auto"/>
            <w:tcMar>
              <w:top w:w="14" w:type="dxa"/>
              <w:left w:w="72" w:type="dxa"/>
              <w:bottom w:w="14" w:type="dxa"/>
              <w:right w:w="288" w:type="dxa"/>
            </w:tcMar>
            <w:vAlign w:val="center"/>
            <w:hideMark/>
          </w:tcPr>
          <w:p w14:paraId="755A8A21" w14:textId="77777777" w:rsidR="001371B0" w:rsidRPr="001371B0" w:rsidRDefault="001371B0" w:rsidP="00323D9D">
            <w:pPr>
              <w:spacing w:after="0"/>
              <w:rPr>
                <w:sz w:val="20"/>
                <w:szCs w:val="20"/>
              </w:rPr>
            </w:pPr>
            <w:r w:rsidRPr="001371B0">
              <w:rPr>
                <w:sz w:val="20"/>
                <w:szCs w:val="20"/>
              </w:rPr>
              <w:t> </w:t>
            </w:r>
          </w:p>
        </w:tc>
        <w:tc>
          <w:tcPr>
            <w:tcW w:w="45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2D720EB7" w14:textId="77777777" w:rsidR="001371B0" w:rsidRPr="001371B0" w:rsidRDefault="001371B0" w:rsidP="00323D9D">
            <w:pPr>
              <w:spacing w:after="0"/>
              <w:rPr>
                <w:sz w:val="20"/>
                <w:szCs w:val="20"/>
              </w:rPr>
            </w:pPr>
            <w:r w:rsidRPr="001371B0">
              <w:rPr>
                <w:sz w:val="20"/>
                <w:szCs w:val="20"/>
              </w:rPr>
              <w:t>bh - organic mental ds</w:t>
            </w:r>
          </w:p>
        </w:tc>
        <w:tc>
          <w:tcPr>
            <w:tcW w:w="204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0BAB3B0E" w14:textId="77777777" w:rsidR="001371B0" w:rsidRPr="001371B0" w:rsidRDefault="001371B0" w:rsidP="00850614">
            <w:pPr>
              <w:spacing w:after="0"/>
              <w:jc w:val="right"/>
              <w:rPr>
                <w:sz w:val="20"/>
                <w:szCs w:val="20"/>
              </w:rPr>
            </w:pPr>
            <w:r w:rsidRPr="001371B0">
              <w:rPr>
                <w:sz w:val="20"/>
                <w:szCs w:val="20"/>
              </w:rPr>
              <w:t>32,525</w:t>
            </w:r>
          </w:p>
        </w:tc>
        <w:tc>
          <w:tcPr>
            <w:tcW w:w="1280" w:type="dxa"/>
            <w:tcBorders>
              <w:top w:val="single" w:sz="4" w:space="0" w:color="D9D9D9"/>
              <w:left w:val="single" w:sz="4" w:space="0" w:color="D9D9D9"/>
              <w:bottom w:val="single" w:sz="4" w:space="0" w:color="D9D9D9"/>
              <w:right w:val="single" w:sz="4" w:space="0" w:color="D9D9D9"/>
            </w:tcBorders>
            <w:shd w:val="clear" w:color="auto" w:fill="auto"/>
            <w:tcMar>
              <w:top w:w="14" w:type="dxa"/>
              <w:left w:w="144" w:type="dxa"/>
              <w:bottom w:w="14" w:type="dxa"/>
              <w:right w:w="288" w:type="dxa"/>
            </w:tcMar>
            <w:vAlign w:val="center"/>
            <w:hideMark/>
          </w:tcPr>
          <w:p w14:paraId="430540E2" w14:textId="77777777" w:rsidR="001371B0" w:rsidRPr="001371B0" w:rsidRDefault="001371B0" w:rsidP="00850614">
            <w:pPr>
              <w:spacing w:after="0"/>
              <w:jc w:val="right"/>
            </w:pPr>
            <w:r w:rsidRPr="001371B0">
              <w:t>0.5</w:t>
            </w:r>
          </w:p>
        </w:tc>
      </w:tr>
    </w:tbl>
    <w:p w14:paraId="132B8845" w14:textId="77777777" w:rsidR="00F43214" w:rsidRDefault="00F43214" w:rsidP="00F43214"/>
    <w:p w14:paraId="00B37C94" w14:textId="6601305A" w:rsidR="00F43214" w:rsidRDefault="00B356E4" w:rsidP="00F43214">
      <w:pPr>
        <w:sectPr w:rsidR="00F43214" w:rsidSect="00123D0D">
          <w:pgSz w:w="15840" w:h="12240" w:orient="landscape" w:code="1"/>
          <w:pgMar w:top="720" w:right="720" w:bottom="720" w:left="720" w:header="720" w:footer="720" w:gutter="0"/>
          <w:cols w:space="720"/>
          <w:vAlign w:val="center"/>
          <w:docGrid w:linePitch="360"/>
        </w:sectPr>
      </w:pPr>
      <w:r w:rsidRPr="00BA00DE">
        <w:rPr>
          <w:noProof/>
        </w:rPr>
        <mc:AlternateContent>
          <mc:Choice Requires="wps">
            <w:drawing>
              <wp:anchor distT="0" distB="0" distL="114300" distR="114300" simplePos="0" relativeHeight="251665408" behindDoc="0" locked="0" layoutInCell="1" allowOverlap="1" wp14:anchorId="65CA09C8" wp14:editId="7E555520">
                <wp:simplePos x="0" y="0"/>
                <wp:positionH relativeFrom="margin">
                  <wp:posOffset>2032000</wp:posOffset>
                </wp:positionH>
                <wp:positionV relativeFrom="page">
                  <wp:posOffset>0</wp:posOffset>
                </wp:positionV>
                <wp:extent cx="5084064" cy="402336"/>
                <wp:effectExtent l="0" t="0" r="0" b="0"/>
                <wp:wrapNone/>
                <wp:docPr id="1486358567" name="TextBox 32"/>
                <wp:cNvGraphicFramePr/>
                <a:graphic xmlns:a="http://schemas.openxmlformats.org/drawingml/2006/main">
                  <a:graphicData uri="http://schemas.microsoft.com/office/word/2010/wordprocessingShape">
                    <wps:wsp>
                      <wps:cNvSpPr txBox="1"/>
                      <wps:spPr>
                        <a:xfrm>
                          <a:off x="0" y="0"/>
                          <a:ext cx="5084064" cy="402336"/>
                        </a:xfrm>
                        <a:prstGeom prst="rect">
                          <a:avLst/>
                        </a:prstGeom>
                        <a:noFill/>
                      </wps:spPr>
                      <wps:txbx>
                        <w:txbxContent>
                          <w:p w14:paraId="1BDC2B49" w14:textId="48B674DE" w:rsidR="00D36345" w:rsidRDefault="00D36345" w:rsidP="00D36345">
                            <w:pPr>
                              <w:pStyle w:val="Caption"/>
                              <w:spacing w:after="0"/>
                              <w:jc w:val="center"/>
                            </w:pPr>
                            <w:r>
                              <w:t xml:space="preserve">Supplementary Appendix </w:t>
                            </w:r>
                            <w:fldSimple w:instr=" SEQ Supplementary_Appendix \* ARABIC ">
                              <w:r>
                                <w:rPr>
                                  <w:noProof/>
                                </w:rPr>
                                <w:t>7</w:t>
                              </w:r>
                            </w:fldSimple>
                          </w:p>
                          <w:p w14:paraId="354A84E9" w14:textId="32B8C187" w:rsidR="00CD1615" w:rsidRPr="000D3393" w:rsidRDefault="00232F0A" w:rsidP="00E82535">
                            <w:pPr>
                              <w:pStyle w:val="Caption"/>
                              <w:spacing w:after="0"/>
                              <w:jc w:val="center"/>
                              <w:rPr>
                                <w:b/>
                                <w:bCs/>
                                <w:i w:val="0"/>
                                <w:iCs w:val="0"/>
                              </w:rPr>
                            </w:pPr>
                            <w:r w:rsidRPr="00232F0A">
                              <w:rPr>
                                <w:rFonts w:ascii="Calibri" w:eastAsia="Calibri" w:hAnsi="Calibri"/>
                                <w:b/>
                                <w:bCs/>
                                <w:i w:val="0"/>
                                <w:iCs w:val="0"/>
                                <w:color w:val="000000"/>
                                <w:kern w:val="24"/>
                                <w:position w:val="1"/>
                                <w:sz w:val="24"/>
                                <w:szCs w:val="24"/>
                              </w:rPr>
                              <w:t xml:space="preserve">Statistics and machine learning can semi-automate </w:t>
                            </w:r>
                            <w:r w:rsidR="00E82535">
                              <w:rPr>
                                <w:rFonts w:ascii="Calibri" w:eastAsia="Calibri" w:hAnsi="Calibri"/>
                                <w:b/>
                                <w:bCs/>
                                <w:i w:val="0"/>
                                <w:iCs w:val="0"/>
                                <w:color w:val="000000"/>
                                <w:kern w:val="24"/>
                                <w:position w:val="1"/>
                                <w:sz w:val="24"/>
                                <w:szCs w:val="24"/>
                              </w:rPr>
                              <w:t>relationship table</w:t>
                            </w:r>
                            <w:r w:rsidRPr="00232F0A">
                              <w:rPr>
                                <w:rFonts w:ascii="Calibri" w:eastAsia="Calibri" w:hAnsi="Calibri"/>
                                <w:b/>
                                <w:bCs/>
                                <w:i w:val="0"/>
                                <w:iCs w:val="0"/>
                                <w:color w:val="000000"/>
                                <w:kern w:val="24"/>
                                <w:position w:val="1"/>
                                <w:sz w:val="24"/>
                                <w:szCs w:val="24"/>
                              </w:rPr>
                              <w:t xml:space="preserve"> build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5CA09C8" id="_x0000_s1059" type="#_x0000_t202" style="position:absolute;margin-left:160pt;margin-top:0;width:400.3pt;height:3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" filled="f" stroked="f">
                <v:textbox>
                  <w:txbxContent>
                    <w:p w14:paraId="1BDC2B49" w14:textId="48B674DE" w:rsidR="00D36345" w:rsidRDefault="00D36345" w:rsidP="00D36345">
                      <w:pPr>
                        <w:pStyle w:val="Caption"/>
                        <w:spacing w:after="0"/>
                        <w:jc w:val="center"/>
                      </w:pPr>
                      <w:r>
                        <w:t xml:space="preserve">Supplementary Appendix </w:t>
                      </w:r>
                      <w:fldSimple w:instr=" SEQ Supplementary_Appendix \* ARABIC ">
                        <w:r>
                          <w:rPr>
                            <w:noProof/>
                          </w:rPr>
                          <w:t>7</w:t>
                        </w:r>
                      </w:fldSimple>
                    </w:p>
                    <w:p w14:paraId="354A84E9" w14:textId="32B8C187" w:rsidR="00CD1615" w:rsidRPr="000D3393" w:rsidRDefault="00232F0A" w:rsidP="00E82535">
                      <w:pPr>
                        <w:pStyle w:val="Caption"/>
                        <w:spacing w:after="0"/>
                        <w:jc w:val="center"/>
                        <w:rPr>
                          <w:b/>
                          <w:bCs/>
                          <w:i w:val="0"/>
                          <w:iCs w:val="0"/>
                        </w:rPr>
                      </w:pPr>
                      <w:r w:rsidRPr="00232F0A">
                        <w:rPr>
                          <w:rFonts w:ascii="Calibri" w:eastAsia="Calibri" w:hAnsi="Calibri"/>
                          <w:b/>
                          <w:bCs/>
                          <w:i w:val="0"/>
                          <w:iCs w:val="0"/>
                          <w:color w:val="000000"/>
                          <w:kern w:val="24"/>
                          <w:position w:val="1"/>
                          <w:sz w:val="24"/>
                          <w:szCs w:val="24"/>
                        </w:rPr>
                        <w:t xml:space="preserve">Statistics and machine learning can semi-automate </w:t>
                      </w:r>
                      <w:r w:rsidR="00E82535">
                        <w:rPr>
                          <w:rFonts w:ascii="Calibri" w:eastAsia="Calibri" w:hAnsi="Calibri"/>
                          <w:b/>
                          <w:bCs/>
                          <w:i w:val="0"/>
                          <w:iCs w:val="0"/>
                          <w:color w:val="000000"/>
                          <w:kern w:val="24"/>
                          <w:position w:val="1"/>
                          <w:sz w:val="24"/>
                          <w:szCs w:val="24"/>
                        </w:rPr>
                        <w:t>relationship table</w:t>
                      </w:r>
                      <w:r w:rsidRPr="00232F0A">
                        <w:rPr>
                          <w:rFonts w:ascii="Calibri" w:eastAsia="Calibri" w:hAnsi="Calibri"/>
                          <w:b/>
                          <w:bCs/>
                          <w:i w:val="0"/>
                          <w:iCs w:val="0"/>
                          <w:color w:val="000000"/>
                          <w:kern w:val="24"/>
                          <w:position w:val="1"/>
                          <w:sz w:val="24"/>
                          <w:szCs w:val="24"/>
                        </w:rPr>
                        <w:t xml:space="preserve"> build</w:t>
                      </w:r>
                    </w:p>
                  </w:txbxContent>
                </v:textbox>
                <w10:wrap anchorx="margin" anchory="page"/>
              </v:shape>
            </w:pict>
          </mc:Fallback>
        </mc:AlternateContent>
      </w:r>
    </w:p>
    <w:p w14:paraId="64907E78" w14:textId="77777777" w:rsidR="005757A4" w:rsidRDefault="005757A4" w:rsidP="005757A4">
      <w:pPr>
        <w:sectPr w:rsidR="005757A4" w:rsidSect="005757A4">
          <w:endnotePr>
            <w:numFmt w:val="decimal"/>
          </w:endnotePr>
          <w:pgSz w:w="12240" w:h="15840"/>
          <w:pgMar w:top="1440" w:right="1440" w:bottom="1440" w:left="1440" w:header="720" w:footer="720" w:gutter="0"/>
          <w:cols w:space="720"/>
          <w:docGrid w:linePitch="360"/>
        </w:sectPr>
      </w:pPr>
    </w:p>
    <w:p w14:paraId="0F3EEC64" w14:textId="4AB94D32" w:rsidR="00C20506" w:rsidRDefault="005757A4" w:rsidP="006E23EA">
      <w:pPr>
        <w:pStyle w:val="Title"/>
      </w:pPr>
      <w:r>
        <w:lastRenderedPageBreak/>
        <w:t>References</w:t>
      </w:r>
    </w:p>
    <w:sectPr w:rsidR="00C20506" w:rsidSect="005757A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0E43C" w14:textId="77777777" w:rsidR="00361CBD" w:rsidRDefault="00361CBD" w:rsidP="005757A4">
      <w:pPr>
        <w:spacing w:after="0"/>
      </w:pPr>
      <w:r>
        <w:separator/>
      </w:r>
    </w:p>
  </w:endnote>
  <w:endnote w:type="continuationSeparator" w:id="0">
    <w:p w14:paraId="16D8335C" w14:textId="77777777" w:rsidR="00361CBD" w:rsidRDefault="00361CBD" w:rsidP="005757A4">
      <w:pPr>
        <w:spacing w:after="0"/>
      </w:pPr>
      <w:r>
        <w:continuationSeparator/>
      </w:r>
    </w:p>
  </w:endnote>
  <w:endnote w:id="1">
    <w:p w14:paraId="431B702D"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Pr="00853664">
        <w:rPr>
          <w:rStyle w:val="EndnoteTextChar"/>
          <w:color w:val="0D0D0D" w:themeColor="text1" w:themeTint="F2"/>
        </w:rPr>
        <w:t xml:space="preserve">OECD, Health at a Glance 2021: OECD Indicators (2021), available at </w:t>
      </w:r>
      <w:hyperlink r:id="rId1" w:history="1">
        <w:r w:rsidRPr="00853664">
          <w:rPr>
            <w:rStyle w:val="Hyperlink"/>
            <w:color w:val="0D0D0D" w:themeColor="text1" w:themeTint="F2"/>
          </w:rPr>
          <w:t>https://www.oecd.org/health/health-at-a-glance.</w:t>
        </w:r>
      </w:hyperlink>
    </w:p>
  </w:endnote>
  <w:endnote w:id="2">
    <w:p w14:paraId="0EAB444B"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Pr="00853664">
        <w:rPr>
          <w:rStyle w:val="EndnoteTextChar"/>
          <w:color w:val="0D0D0D" w:themeColor="text1" w:themeTint="F2"/>
        </w:rPr>
        <w:t xml:space="preserve">Commonwealth Fund, Mirror, Mirror 2021: International Comparison Reflects Flaws and Opportunities for Better U.S. Health Care (2021), available at </w:t>
      </w:r>
      <w:hyperlink r:id="rId2" w:history="1">
        <w:r w:rsidRPr="00853664">
          <w:rPr>
            <w:rStyle w:val="EndnoteTextChar"/>
            <w:color w:val="0D0D0D" w:themeColor="text1" w:themeTint="F2"/>
          </w:rPr>
          <w:t>https://www.commonwealthfund.org/publications/issue-briefs/2021/aug/mirror-mirror-2021-international-comparison-reflects-flaws-opportunities-better-us-health-care</w:t>
        </w:r>
      </w:hyperlink>
      <w:r w:rsidRPr="00853664">
        <w:rPr>
          <w:rStyle w:val="EndnoteTextChar"/>
          <w:color w:val="0D0D0D" w:themeColor="text1" w:themeTint="F2"/>
        </w:rPr>
        <w:t>.</w:t>
      </w:r>
    </w:p>
  </w:endnote>
  <w:endnote w:id="3">
    <w:p w14:paraId="5B67B1D5"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Sackett DL, Rosenberg WM, Gray JA, Haynes RB, Richardson WS. Evidence based medicine: what it is and what it isn't. </w:t>
      </w:r>
      <w:r w:rsidRPr="00853664">
        <w:rPr>
          <w:i/>
          <w:iCs/>
          <w:color w:val="0D0D0D" w:themeColor="text1" w:themeTint="F2"/>
        </w:rPr>
        <w:t>BMJ</w:t>
      </w:r>
      <w:r w:rsidRPr="00853664">
        <w:rPr>
          <w:color w:val="0D0D0D" w:themeColor="text1" w:themeTint="F2"/>
        </w:rPr>
        <w:t xml:space="preserve"> 1996;312:71-2.</w:t>
      </w:r>
    </w:p>
  </w:endnote>
  <w:endnote w:id="4">
    <w:p w14:paraId="341E283F"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Pr="00853664">
        <w:rPr>
          <w:rStyle w:val="EndnoteTextChar"/>
          <w:color w:val="0D0D0D" w:themeColor="text1" w:themeTint="F2"/>
        </w:rPr>
        <w:t xml:space="preserve">Institute of Medicine, The Learning Healthcare System: Workshop Summary (2007), available at </w:t>
      </w:r>
      <w:hyperlink r:id="rId3" w:history="1">
        <w:r w:rsidRPr="00853664">
          <w:rPr>
            <w:rStyle w:val="EndnoteTextChar"/>
            <w:color w:val="0D0D0D" w:themeColor="text1" w:themeTint="F2"/>
          </w:rPr>
          <w:t>https://nap.nationalacademies.org/catalog/11903/the-learning-healthcare-system-workshop-summary</w:t>
        </w:r>
      </w:hyperlink>
      <w:r w:rsidRPr="00853664">
        <w:rPr>
          <w:rStyle w:val="EndnoteTextChar"/>
          <w:color w:val="0D0D0D" w:themeColor="text1" w:themeTint="F2"/>
        </w:rPr>
        <w:t>.</w:t>
      </w:r>
    </w:p>
  </w:endnote>
  <w:endnote w:id="5">
    <w:p w14:paraId="6ABE61BE" w14:textId="77777777" w:rsidR="00AC6F4F" w:rsidRPr="00853664" w:rsidRDefault="00AC6F4F" w:rsidP="00AC6F4F">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Institute of Medicine, Best Care at Lower Cost: The Path to Continuously Learning Health Care in America (2013), available at </w:t>
      </w:r>
      <w:hyperlink r:id="rId4" w:history="1">
        <w:r w:rsidRPr="00853664">
          <w:rPr>
            <w:color w:val="0D0D0D" w:themeColor="text1" w:themeTint="F2"/>
          </w:rPr>
          <w:t>https://www.nap.edu/catalog/13423/best-care-at-lower-cost-the-path-to-continuously-learning-health-care-in-america</w:t>
        </w:r>
      </w:hyperlink>
      <w:r w:rsidRPr="00853664">
        <w:rPr>
          <w:color w:val="0D0D0D" w:themeColor="text1" w:themeTint="F2"/>
        </w:rPr>
        <w:t>.</w:t>
      </w:r>
    </w:p>
  </w:endnote>
  <w:endnote w:id="6">
    <w:p w14:paraId="03FAD9FF"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Duke Clinical Research Institute. DukeCath Version 1.1 Documentation for Users. Durham, NC: Duke Clinical Research Institute; 2017. Available at: </w:t>
      </w:r>
      <w:hyperlink r:id="rId5" w:tgtFrame="_new" w:history="1">
        <w:r w:rsidRPr="00853664">
          <w:rPr>
            <w:rStyle w:val="Hyperlink"/>
            <w:color w:val="0D0D0D" w:themeColor="text1" w:themeTint="F2"/>
          </w:rPr>
          <w:t>https://dcri.org/sites/default/files/2024-01/DukeCath_V1.1_documentation-for-users_170302.pdf</w:t>
        </w:r>
      </w:hyperlink>
      <w:r w:rsidRPr="00853664">
        <w:rPr>
          <w:color w:val="0D0D0D" w:themeColor="text1" w:themeTint="F2"/>
        </w:rPr>
        <w:t>. Accessed March 3, 2025.</w:t>
      </w:r>
    </w:p>
  </w:endnote>
  <w:endnote w:id="7">
    <w:p w14:paraId="4989CEB3"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Sackett DL, Rosenberg WM, Gray JA, Haynes RB, Richardson WS. Evidence based medicine: what it is and what it isn't. </w:t>
      </w:r>
      <w:r w:rsidRPr="00853664">
        <w:rPr>
          <w:i/>
          <w:iCs/>
          <w:color w:val="0D0D0D" w:themeColor="text1" w:themeTint="F2"/>
        </w:rPr>
        <w:t>BMJ</w:t>
      </w:r>
      <w:r w:rsidRPr="00853664">
        <w:rPr>
          <w:color w:val="0D0D0D" w:themeColor="text1" w:themeTint="F2"/>
        </w:rPr>
        <w:t xml:space="preserve"> 1996;312:71-2.</w:t>
      </w:r>
    </w:p>
  </w:endnote>
  <w:endnote w:id="8">
    <w:p w14:paraId="46CB724F"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Tonelli MR. The limitations of evidence-based medicine. </w:t>
      </w:r>
      <w:r w:rsidRPr="00853664">
        <w:rPr>
          <w:i/>
          <w:iCs/>
          <w:color w:val="0D0D0D" w:themeColor="text1" w:themeTint="F2"/>
        </w:rPr>
        <w:t>Respir Care.</w:t>
      </w:r>
      <w:r w:rsidRPr="00853664">
        <w:rPr>
          <w:color w:val="0D0D0D" w:themeColor="text1" w:themeTint="F2"/>
        </w:rPr>
        <w:t xml:space="preserve"> 2001;46:1434–40.</w:t>
      </w:r>
    </w:p>
  </w:endnote>
  <w:endnote w:id="9">
    <w:p w14:paraId="05ED0CE8"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Greenhalgh T, Howick J, Maskrey N. Evidence based medicine: a movement in crisis? </w:t>
      </w:r>
      <w:r w:rsidRPr="00853664">
        <w:rPr>
          <w:i/>
          <w:iCs/>
          <w:color w:val="0D0D0D" w:themeColor="text1" w:themeTint="F2"/>
        </w:rPr>
        <w:t>BMJ.</w:t>
      </w:r>
      <w:r w:rsidRPr="00853664">
        <w:rPr>
          <w:color w:val="0D0D0D" w:themeColor="text1" w:themeTint="F2"/>
        </w:rPr>
        <w:t xml:space="preserve"> 2014;348:g3725.</w:t>
      </w:r>
    </w:p>
  </w:endnote>
  <w:endnote w:id="10">
    <w:p w14:paraId="7214C957"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Woolf SH, Grol R, Hutchinson A, Eccles M, Grimshaw J. Potential benefits, limitations, and harms of clinical guidelines. BMJ. 1999;318:527–30.</w:t>
      </w:r>
    </w:p>
  </w:endnote>
  <w:endnote w:id="11">
    <w:p w14:paraId="227CFD20"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Tinetti ME, Fried TR, Boyd CM. Designing health care for the most common chronic condition—multimorbidity. JAMA. 2012;307:2493–94.</w:t>
      </w:r>
    </w:p>
  </w:endnote>
  <w:endnote w:id="12">
    <w:p w14:paraId="30078B78"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Ioannidis JPA. Evidence-based medicine has been hijacked: a report to David Sackett. J Clin Epidemiol. 2016;73:82–86.</w:t>
      </w:r>
    </w:p>
  </w:endnote>
  <w:endnote w:id="13">
    <w:p w14:paraId="2C7E4214"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Tonelli MR. The philosophical limits of evidence-based medicine. Acad Med. 1998;73:1234–40.</w:t>
      </w:r>
    </w:p>
  </w:endnote>
  <w:endnote w:id="14">
    <w:p w14:paraId="02B9B7AF"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Greenhalgh T, Howick J, Maskrey N. Evidence based medicine: a movement in crisis? BMJ. 2014;348:g3725.</w:t>
      </w:r>
    </w:p>
  </w:endnote>
  <w:endnote w:id="15">
    <w:p w14:paraId="5E8B7AA8" w14:textId="77777777" w:rsidR="00E00A6A" w:rsidRPr="00853664" w:rsidRDefault="00E00A6A" w:rsidP="00E00A6A">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Ioannidis JPA. Evidence-based medicine has been hijacked: a report to David Sackett. J Clin Epidemiol. 2016;73:82–86.</w:t>
      </w:r>
    </w:p>
  </w:endnote>
  <w:endnote w:id="16">
    <w:p w14:paraId="195F0B9A"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See Johns Hopkins Berman Institute of Bioethics, Learning Health Systems (2023), available at </w:t>
      </w:r>
      <w:hyperlink r:id="rId6" w:history="1">
        <w:r w:rsidRPr="00853664">
          <w:rPr>
            <w:color w:val="0D0D0D" w:themeColor="text1" w:themeTint="F2"/>
          </w:rPr>
          <w:t>https://bioethics.jhu.edu/learning-health-systems</w:t>
        </w:r>
      </w:hyperlink>
      <w:r w:rsidRPr="00853664">
        <w:rPr>
          <w:color w:val="0D0D0D" w:themeColor="text1" w:themeTint="F2"/>
        </w:rPr>
        <w:t>.</w:t>
      </w:r>
    </w:p>
  </w:endnote>
  <w:endnote w:id="17">
    <w:p w14:paraId="6E4CE032"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Duke-Margolis Center for Health Policy, Lessons from Learning Health Care Systems and Recommendations for Successful Implementation (2023), available at </w:t>
      </w:r>
      <w:hyperlink r:id="rId7" w:history="1">
        <w:r w:rsidRPr="00853664">
          <w:rPr>
            <w:color w:val="0D0D0D" w:themeColor="text1" w:themeTint="F2"/>
          </w:rPr>
          <w:t>https://healthpolicy.duke.edu/publications/lessons-learning-health-care-systems-and-recommendations-successful-implementation</w:t>
        </w:r>
      </w:hyperlink>
    </w:p>
  </w:endnote>
  <w:endnote w:id="18">
    <w:p w14:paraId="1641C26C"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Paige L. McDonald et al., Data to Knowledge to Improvement: Creating the Learning Health System, 384 BMJ e076175 (2024), available at </w:t>
      </w:r>
      <w:hyperlink r:id="rId8" w:history="1">
        <w:r w:rsidRPr="00853664">
          <w:rPr>
            <w:color w:val="0D0D0D" w:themeColor="text1" w:themeTint="F2"/>
          </w:rPr>
          <w:t>https://www.bmj.com/content/384/bmj-2023-076175</w:t>
        </w:r>
      </w:hyperlink>
      <w:r w:rsidRPr="00853664">
        <w:rPr>
          <w:color w:val="0D0D0D" w:themeColor="text1" w:themeTint="F2"/>
        </w:rPr>
        <w:t>.</w:t>
      </w:r>
    </w:p>
  </w:endnote>
  <w:endnote w:id="19">
    <w:p w14:paraId="73CC5E35"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Hripcsak G, et al. </w:t>
      </w:r>
      <w:r w:rsidRPr="00853664">
        <w:rPr>
          <w:i/>
          <w:iCs/>
          <w:color w:val="0D0D0D" w:themeColor="text1" w:themeTint="F2"/>
        </w:rPr>
        <w:t>J Biomed Inform</w:t>
      </w:r>
      <w:r w:rsidRPr="00853664">
        <w:rPr>
          <w:color w:val="0D0D0D" w:themeColor="text1" w:themeTint="F2"/>
        </w:rPr>
        <w:t>. 2015;52:1-10.</w:t>
      </w:r>
    </w:p>
  </w:endnote>
  <w:endnote w:id="20">
    <w:p w14:paraId="02470135"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Fleurence RL, et al. </w:t>
      </w:r>
      <w:r w:rsidRPr="00853664">
        <w:rPr>
          <w:i/>
          <w:iCs/>
          <w:color w:val="0D0D0D" w:themeColor="text1" w:themeTint="F2"/>
        </w:rPr>
        <w:t>J Am Med Inform Assoc</w:t>
      </w:r>
      <w:r w:rsidRPr="00853664">
        <w:rPr>
          <w:color w:val="0D0D0D" w:themeColor="text1" w:themeTint="F2"/>
        </w:rPr>
        <w:t>. 2014;21(4):578–82.</w:t>
      </w:r>
    </w:p>
  </w:endnote>
  <w:endnote w:id="21">
    <w:p w14:paraId="7905FBBB"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Krumholz HM. </w:t>
      </w:r>
      <w:r w:rsidRPr="00853664">
        <w:rPr>
          <w:i/>
          <w:iCs/>
          <w:color w:val="0D0D0D" w:themeColor="text1" w:themeTint="F2"/>
        </w:rPr>
        <w:t>Health Aff (Millwood)</w:t>
      </w:r>
      <w:r w:rsidRPr="00853664">
        <w:rPr>
          <w:color w:val="0D0D0D" w:themeColor="text1" w:themeTint="F2"/>
        </w:rPr>
        <w:t>. 2014;33(7):1163–70.</w:t>
      </w:r>
    </w:p>
  </w:endnote>
  <w:endnote w:id="22">
    <w:p w14:paraId="75973EF3"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Bibliometric analyses from PubMed/Web of Science on EHR-based research publications.</w:t>
      </w:r>
    </w:p>
  </w:endnote>
  <w:endnote w:id="23">
    <w:p w14:paraId="4656F786"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OHDSI Global Network Report, 2023.</w:t>
      </w:r>
    </w:p>
  </w:endnote>
  <w:endnote w:id="24">
    <w:p w14:paraId="1162A447"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IQVIA Real-World Data Report, 2023.</w:t>
      </w:r>
    </w:p>
  </w:endnote>
  <w:endnote w:id="25">
    <w:p w14:paraId="1044EE0B"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Hernán MA, et al. </w:t>
      </w:r>
      <w:r w:rsidRPr="00853664">
        <w:rPr>
          <w:i/>
          <w:iCs/>
          <w:color w:val="0D0D0D" w:themeColor="text1" w:themeTint="F2"/>
        </w:rPr>
        <w:t>N Engl J Med</w:t>
      </w:r>
      <w:r w:rsidRPr="00853664">
        <w:rPr>
          <w:color w:val="0D0D0D" w:themeColor="text1" w:themeTint="F2"/>
        </w:rPr>
        <w:t>. 2016;375:2093–2103.</w:t>
      </w:r>
    </w:p>
  </w:endnote>
  <w:endnote w:id="26">
    <w:p w14:paraId="3F6CE2F4"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Rajkomar A, et al. </w:t>
      </w:r>
      <w:r w:rsidRPr="00853664">
        <w:rPr>
          <w:i/>
          <w:iCs/>
          <w:color w:val="0D0D0D" w:themeColor="text1" w:themeTint="F2"/>
        </w:rPr>
        <w:t>NPJ Digit Med</w:t>
      </w:r>
      <w:r w:rsidRPr="00853664">
        <w:rPr>
          <w:color w:val="0D0D0D" w:themeColor="text1" w:themeTint="F2"/>
        </w:rPr>
        <w:t>. 2019;2:18.</w:t>
      </w:r>
    </w:p>
  </w:endnote>
  <w:endnote w:id="27">
    <w:p w14:paraId="4F4B8501"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Alaa AM, van der Schaar M. </w:t>
      </w:r>
      <w:r w:rsidRPr="00853664">
        <w:rPr>
          <w:i/>
          <w:iCs/>
          <w:color w:val="0D0D0D" w:themeColor="text1" w:themeTint="F2"/>
        </w:rPr>
        <w:t>Nat Commun</w:t>
      </w:r>
      <w:r w:rsidRPr="00853664">
        <w:rPr>
          <w:color w:val="0D0D0D" w:themeColor="text1" w:themeTint="F2"/>
        </w:rPr>
        <w:t>. 2019;10:5425.</w:t>
      </w:r>
    </w:p>
  </w:endnote>
  <w:endnote w:id="28">
    <w:p w14:paraId="1F3A5374"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Hripcsak G, et al. </w:t>
      </w:r>
      <w:r w:rsidRPr="00853664">
        <w:rPr>
          <w:i/>
          <w:iCs/>
          <w:color w:val="0D0D0D" w:themeColor="text1" w:themeTint="F2"/>
        </w:rPr>
        <w:t>J Am Med Inform Assoc</w:t>
      </w:r>
      <w:r w:rsidRPr="00853664">
        <w:rPr>
          <w:color w:val="0D0D0D" w:themeColor="text1" w:themeTint="F2"/>
        </w:rPr>
        <w:t>. 2021;28(4):678–85.</w:t>
      </w:r>
    </w:p>
  </w:endnote>
  <w:endnote w:id="29">
    <w:p w14:paraId="1A689919" w14:textId="3393C5B5" w:rsidR="00FD2E14" w:rsidRPr="00853664" w:rsidRDefault="00FD2E14" w:rsidP="00FD2E1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00D71FDD" w:rsidRPr="00853664">
        <w:rPr>
          <w:color w:val="0D0D0D" w:themeColor="text1" w:themeTint="F2"/>
        </w:rPr>
        <w:t xml:space="preserve">Rieke N, Hancox J, Li W, et al. The future of digital health with federated learning. </w:t>
      </w:r>
      <w:r w:rsidR="00D71FDD" w:rsidRPr="00853664">
        <w:rPr>
          <w:i/>
          <w:iCs/>
          <w:color w:val="0D0D0D" w:themeColor="text1" w:themeTint="F2"/>
        </w:rPr>
        <w:t>NPJ Digit Med.</w:t>
      </w:r>
      <w:r w:rsidR="00D71FDD" w:rsidRPr="00853664">
        <w:rPr>
          <w:color w:val="0D0D0D" w:themeColor="text1" w:themeTint="F2"/>
        </w:rPr>
        <w:t xml:space="preserve"> 2020;3:119.</w:t>
      </w:r>
    </w:p>
  </w:endnote>
  <w:endnote w:id="30">
    <w:p w14:paraId="39C62694" w14:textId="3A5C2A50" w:rsidR="00FD2E14" w:rsidRPr="00853664" w:rsidRDefault="00FD2E14" w:rsidP="00FD2E1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00D71FDD" w:rsidRPr="00853664">
        <w:rPr>
          <w:color w:val="0D0D0D" w:themeColor="text1" w:themeTint="F2"/>
        </w:rPr>
        <w:t xml:space="preserve">Sheller MJ, Reina GA, Edwards B, Martin J, Bakas S. Multi-institutional deep learning modeling without sharing patient data: A feasibility study on brain tumor segmentation. </w:t>
      </w:r>
      <w:r w:rsidR="00D71FDD" w:rsidRPr="00853664">
        <w:rPr>
          <w:i/>
          <w:iCs/>
          <w:color w:val="0D0D0D" w:themeColor="text1" w:themeTint="F2"/>
        </w:rPr>
        <w:t>Int J Comput Assist Radiol Surg.</w:t>
      </w:r>
      <w:r w:rsidR="00D71FDD" w:rsidRPr="00853664">
        <w:rPr>
          <w:color w:val="0D0D0D" w:themeColor="text1" w:themeTint="F2"/>
        </w:rPr>
        <w:t xml:space="preserve"> 2020;15(7):1187-1196. </w:t>
      </w:r>
    </w:p>
  </w:endnote>
  <w:endnote w:id="31">
    <w:p w14:paraId="2158637E" w14:textId="336EB5AA" w:rsidR="00156627" w:rsidRPr="00853664" w:rsidRDefault="00156627" w:rsidP="00156627">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00D71FDD" w:rsidRPr="00853664">
        <w:rPr>
          <w:color w:val="0D0D0D" w:themeColor="text1" w:themeTint="F2"/>
        </w:rPr>
        <w:t xml:space="preserve">Kaissis G, Makowski MR, Rückert D, Braren RF. Secure, privacy-preserving and federated machine learning in medical imaging. </w:t>
      </w:r>
      <w:r w:rsidR="00D71FDD" w:rsidRPr="00853664">
        <w:rPr>
          <w:i/>
          <w:iCs/>
          <w:color w:val="0D0D0D" w:themeColor="text1" w:themeTint="F2"/>
        </w:rPr>
        <w:t>Nat Mach Intell.</w:t>
      </w:r>
      <w:r w:rsidR="00D71FDD" w:rsidRPr="00853664">
        <w:rPr>
          <w:color w:val="0D0D0D" w:themeColor="text1" w:themeTint="F2"/>
        </w:rPr>
        <w:t xml:space="preserve"> 2020;2(6):305-311. </w:t>
      </w:r>
    </w:p>
  </w:endnote>
  <w:endnote w:id="32">
    <w:p w14:paraId="5C04B13C" w14:textId="3F0D9ADC" w:rsidR="00CA2947" w:rsidRPr="00853664" w:rsidRDefault="00CA2947" w:rsidP="00CA2947">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00D71FDD" w:rsidRPr="00853664">
        <w:rPr>
          <w:color w:val="0D0D0D" w:themeColor="text1" w:themeTint="F2"/>
        </w:rPr>
        <w:t xml:space="preserve">Xu J, Glicksberg BS, Su C, et al. Federated learning for healthcare informatics. </w:t>
      </w:r>
      <w:r w:rsidR="00D71FDD" w:rsidRPr="00853664">
        <w:rPr>
          <w:i/>
          <w:iCs/>
          <w:color w:val="0D0D0D" w:themeColor="text1" w:themeTint="F2"/>
        </w:rPr>
        <w:t>J Am Med Inform Assoc.</w:t>
      </w:r>
      <w:r w:rsidR="00D71FDD" w:rsidRPr="00853664">
        <w:rPr>
          <w:color w:val="0D0D0D" w:themeColor="text1" w:themeTint="F2"/>
        </w:rPr>
        <w:t xml:space="preserve"> 2021;28(3):522-530.</w:t>
      </w:r>
    </w:p>
  </w:endnote>
  <w:endnote w:id="33">
    <w:p w14:paraId="373CE497" w14:textId="31E906C4" w:rsidR="00EB35C4" w:rsidRPr="00853664" w:rsidRDefault="00EB35C4" w:rsidP="00EB35C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0068475A" w:rsidRPr="00853664">
        <w:rPr>
          <w:color w:val="0D0D0D" w:themeColor="text1" w:themeTint="F2"/>
        </w:rPr>
        <w:t xml:space="preserve">Kairouz P, McMahan HB, Avent B, et al. Advances and open problems in federated learning. </w:t>
      </w:r>
      <w:r w:rsidR="0068475A" w:rsidRPr="00853664">
        <w:rPr>
          <w:i/>
          <w:iCs/>
          <w:color w:val="0D0D0D" w:themeColor="text1" w:themeTint="F2"/>
        </w:rPr>
        <w:t>Found Trends Mach Learn.</w:t>
      </w:r>
      <w:r w:rsidR="0068475A" w:rsidRPr="00853664">
        <w:rPr>
          <w:color w:val="0D0D0D" w:themeColor="text1" w:themeTint="F2"/>
        </w:rPr>
        <w:t xml:space="preserve"> 2021;14(1–2):1-210.</w:t>
      </w:r>
    </w:p>
  </w:endnote>
  <w:endnote w:id="34">
    <w:p w14:paraId="428ED7B3"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Adapted from Bandeian S, Tompkins CP, Davison A. A Future Health Care Analytic System: Part 1—What the Destination Looks Like. In: Kiel JM, Kim GR, Ball MJ, eds. Healthcare Information Management Systems: Cases, Strategies, and Solutions. 5th ed. Cham, Switzerland: Springer International Publishing; 2022:404.</w:t>
      </w:r>
    </w:p>
  </w:endnote>
  <w:endnote w:id="35">
    <w:p w14:paraId="7CF5C35E"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Sanderson S, Tatt ID, Higgins JPT. Tools for assessing quality and susceptibility to bias in observational studies in epidemiology: a systematic review and annotated bibliography. </w:t>
      </w:r>
      <w:r w:rsidRPr="00853664">
        <w:rPr>
          <w:i/>
          <w:iCs/>
          <w:color w:val="0D0D0D" w:themeColor="text1" w:themeTint="F2"/>
        </w:rPr>
        <w:t>Int J Epidemiol.</w:t>
      </w:r>
      <w:r w:rsidRPr="00853664">
        <w:rPr>
          <w:color w:val="0D0D0D" w:themeColor="text1" w:themeTint="F2"/>
        </w:rPr>
        <w:t xml:space="preserve"> 2007;36(3):666-676. DOI: 10.1093/ije/dym018.</w:t>
      </w:r>
    </w:p>
  </w:endnote>
  <w:endnote w:id="36">
    <w:p w14:paraId="7B54E914"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Nguyen T-L, Collins GS, Spence J, et al. Risk of bias in observational studies using routinely collected data of comparative effectiveness research: a meta-research study. </w:t>
      </w:r>
      <w:r w:rsidRPr="00853664">
        <w:rPr>
          <w:i/>
          <w:iCs/>
          <w:color w:val="0D0D0D" w:themeColor="text1" w:themeTint="F2"/>
        </w:rPr>
        <w:t>BMC Med.</w:t>
      </w:r>
      <w:r w:rsidRPr="00853664">
        <w:rPr>
          <w:color w:val="0D0D0D" w:themeColor="text1" w:themeTint="F2"/>
        </w:rPr>
        <w:t xml:space="preserve"> 2021;19(1):7. DOI: 10.1186/s12916-021-02151-w.</w:t>
      </w:r>
    </w:p>
  </w:endnote>
  <w:endnote w:id="37">
    <w:p w14:paraId="037E8EE5"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Pr="00853664">
        <w:rPr>
          <w:bCs/>
          <w:color w:val="0D0D0D" w:themeColor="text1" w:themeTint="F2"/>
        </w:rPr>
        <w:t xml:space="preserve">Hernán MA, Robins JM. Using big data to emulate a target trial when a randomized trial is not available. </w:t>
      </w:r>
      <w:r w:rsidRPr="00853664">
        <w:rPr>
          <w:bCs/>
          <w:i/>
          <w:iCs/>
          <w:color w:val="0D0D0D" w:themeColor="text1" w:themeTint="F2"/>
        </w:rPr>
        <w:t>N Engl J Med.</w:t>
      </w:r>
      <w:r w:rsidRPr="00853664">
        <w:rPr>
          <w:bCs/>
          <w:color w:val="0D0D0D" w:themeColor="text1" w:themeTint="F2"/>
        </w:rPr>
        <w:t xml:space="preserve"> 2016;375:2093–103.</w:t>
      </w:r>
    </w:p>
  </w:endnote>
  <w:endnote w:id="38">
    <w:p w14:paraId="293C8697" w14:textId="77777777" w:rsidR="005757A4" w:rsidRPr="00853664" w:rsidRDefault="005757A4" w:rsidP="005757A4">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Pr="00853664">
        <w:rPr>
          <w:bCs/>
          <w:color w:val="0D0D0D" w:themeColor="text1" w:themeTint="F2"/>
        </w:rPr>
        <w:t xml:space="preserve">U.S. Food and Drug Administration. The role of artificial intelligence in clinical trial design and research. </w:t>
      </w:r>
      <w:r w:rsidRPr="00853664">
        <w:rPr>
          <w:bCs/>
          <w:i/>
          <w:iCs/>
          <w:color w:val="0D0D0D" w:themeColor="text1" w:themeTint="F2"/>
        </w:rPr>
        <w:t>FDA.</w:t>
      </w:r>
      <w:r w:rsidRPr="00853664">
        <w:rPr>
          <w:bCs/>
          <w:color w:val="0D0D0D" w:themeColor="text1" w:themeTint="F2"/>
        </w:rPr>
        <w:t xml:space="preserve"> 2023. Available from: </w:t>
      </w:r>
      <w:hyperlink r:id="rId9" w:tgtFrame="_new" w:history="1">
        <w:r w:rsidRPr="00853664">
          <w:rPr>
            <w:rStyle w:val="Hyperlink"/>
            <w:bCs/>
            <w:color w:val="0D0D0D" w:themeColor="text1" w:themeTint="F2"/>
          </w:rPr>
          <w:t>https://www.fda.gov/drugs/news-events-human-drugs/role-artificial-intelligence-clinical-trial-design-and-research-dr-elzarrad</w:t>
        </w:r>
      </w:hyperlink>
      <w:r w:rsidRPr="00853664">
        <w:rPr>
          <w:color w:val="0D0D0D" w:themeColor="text1" w:themeTint="F2"/>
        </w:rPr>
        <w:t>.</w:t>
      </w:r>
    </w:p>
  </w:endnote>
  <w:endnote w:id="39">
    <w:p w14:paraId="446B1606" w14:textId="77777777" w:rsidR="00B922DB" w:rsidRPr="00853664" w:rsidRDefault="00B922DB" w:rsidP="00B922DB">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Donabedian A. Evaluating the quality of medical care. </w:t>
      </w:r>
      <w:r w:rsidRPr="00853664">
        <w:rPr>
          <w:i/>
          <w:iCs/>
          <w:color w:val="0D0D0D" w:themeColor="text1" w:themeTint="F2"/>
        </w:rPr>
        <w:t>Milbank Q.</w:t>
      </w:r>
      <w:r w:rsidRPr="00853664">
        <w:rPr>
          <w:color w:val="0D0D0D" w:themeColor="text1" w:themeTint="F2"/>
        </w:rPr>
        <w:t xml:space="preserve"> 1966;44(3):166-206.</w:t>
      </w:r>
    </w:p>
  </w:endnote>
  <w:endnote w:id="40">
    <w:p w14:paraId="7AF41490" w14:textId="77777777" w:rsidR="002B7B07" w:rsidRPr="00853664" w:rsidRDefault="002B7B07" w:rsidP="002B7B07">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Pearl J. Causality: models, reasoning, and inference. 2nd ed. Cambridge: Cambridge University Press, 2009.</w:t>
      </w:r>
    </w:p>
  </w:endnote>
  <w:endnote w:id="41">
    <w:p w14:paraId="00C5CDE1" w14:textId="77777777" w:rsidR="002B7B07" w:rsidRPr="00853664" w:rsidRDefault="002B7B07" w:rsidP="002B7B07">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Hernán MA, Robins JM. Causal inference: what if. Boca Raton, FL: Chapman &amp; Hall/CRC, 2020.</w:t>
      </w:r>
    </w:p>
  </w:endnote>
  <w:endnote w:id="42">
    <w:p w14:paraId="3F77E411" w14:textId="77777777" w:rsidR="002B7B07" w:rsidRPr="00853664" w:rsidRDefault="002B7B07" w:rsidP="002B7B07">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Baron RM, Kenny DA. The moderator–mediator variable distinction in social psychological research: conceptual, strategic, and statistical considerations. J Pers Soc Psychol 1986;51(6):1173–82.</w:t>
      </w:r>
    </w:p>
  </w:endnote>
  <w:endnote w:id="43">
    <w:p w14:paraId="15811AC0" w14:textId="00113A0E" w:rsidR="00697EB0" w:rsidRPr="00853664" w:rsidRDefault="00697EB0">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w:t>
      </w:r>
      <w:r w:rsidR="00874FC4" w:rsidRPr="00853664">
        <w:rPr>
          <w:color w:val="0D0D0D" w:themeColor="text1" w:themeTint="F2"/>
        </w:rPr>
        <w:t>ChatGPT. Response to inquiry on publicly available repositories encoding clinical knowledge relationships. March 2025. OpenAI.</w:t>
      </w:r>
    </w:p>
  </w:endnote>
  <w:endnote w:id="44">
    <w:p w14:paraId="49C00A9E" w14:textId="77777777" w:rsidR="009F7A20" w:rsidRPr="00853664" w:rsidRDefault="009F7A20" w:rsidP="009F7A20">
      <w:pPr>
        <w:pStyle w:val="EndnoteText"/>
        <w:rPr>
          <w:color w:val="0D0D0D" w:themeColor="text1" w:themeTint="F2"/>
        </w:rPr>
      </w:pPr>
      <w:r w:rsidRPr="00853664">
        <w:rPr>
          <w:rStyle w:val="EndnoteReference"/>
          <w:color w:val="0D0D0D" w:themeColor="text1" w:themeTint="F2"/>
        </w:rPr>
        <w:endnoteRef/>
      </w:r>
      <w:r w:rsidRPr="00853664">
        <w:rPr>
          <w:color w:val="0D0D0D" w:themeColor="text1" w:themeTint="F2"/>
        </w:rPr>
        <w:t xml:space="preserve"> Observational Health Data Sciences and Informatics. OMOP Common Data Model (CDM) v5.4. Available at: </w:t>
      </w:r>
      <w:hyperlink r:id="rId10" w:tgtFrame="_new" w:history="1">
        <w:r w:rsidRPr="00853664">
          <w:rPr>
            <w:rStyle w:val="Hyperlink"/>
            <w:color w:val="0D0D0D" w:themeColor="text1" w:themeTint="F2"/>
          </w:rPr>
          <w:t>https://ohdsi.github.io/CommonDataModel/cdm54.html</w:t>
        </w:r>
      </w:hyperlink>
      <w:r w:rsidRPr="00853664">
        <w:rPr>
          <w:color w:val="0D0D0D" w:themeColor="text1" w:themeTint="F2"/>
        </w:rPr>
        <w:t>. Accessed March 11, 2025.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710336"/>
      <w:docPartObj>
        <w:docPartGallery w:val="Page Numbers (Bottom of Page)"/>
        <w:docPartUnique/>
      </w:docPartObj>
    </w:sdtPr>
    <w:sdtEndPr>
      <w:rPr>
        <w:noProof/>
        <w:sz w:val="18"/>
        <w:szCs w:val="18"/>
      </w:rPr>
    </w:sdtEndPr>
    <w:sdtContent>
      <w:p w14:paraId="6B01474E" w14:textId="7AD10115" w:rsidR="00503A51" w:rsidRPr="00503A51" w:rsidRDefault="00503A51">
        <w:pPr>
          <w:pStyle w:val="Footer"/>
          <w:jc w:val="right"/>
          <w:rPr>
            <w:sz w:val="18"/>
            <w:szCs w:val="18"/>
          </w:rPr>
        </w:pPr>
        <w:r w:rsidRPr="00503A51">
          <w:rPr>
            <w:sz w:val="18"/>
            <w:szCs w:val="18"/>
          </w:rPr>
          <w:fldChar w:fldCharType="begin"/>
        </w:r>
        <w:r w:rsidRPr="00503A51">
          <w:rPr>
            <w:sz w:val="18"/>
            <w:szCs w:val="18"/>
          </w:rPr>
          <w:instrText xml:space="preserve"> PAGE   \* MERGEFORMAT </w:instrText>
        </w:r>
        <w:r w:rsidRPr="00503A51">
          <w:rPr>
            <w:sz w:val="18"/>
            <w:szCs w:val="18"/>
          </w:rPr>
          <w:fldChar w:fldCharType="separate"/>
        </w:r>
        <w:r w:rsidRPr="00503A51">
          <w:rPr>
            <w:noProof/>
            <w:sz w:val="18"/>
            <w:szCs w:val="18"/>
          </w:rPr>
          <w:t>2</w:t>
        </w:r>
        <w:r w:rsidRPr="00503A51">
          <w:rPr>
            <w:noProof/>
            <w:sz w:val="18"/>
            <w:szCs w:val="18"/>
          </w:rPr>
          <w:fldChar w:fldCharType="end"/>
        </w:r>
      </w:p>
    </w:sdtContent>
  </w:sdt>
  <w:p w14:paraId="50556878" w14:textId="77777777" w:rsidR="00503A51" w:rsidRDefault="0050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D97BC" w14:textId="77777777" w:rsidR="00361CBD" w:rsidRDefault="00361CBD" w:rsidP="005757A4">
      <w:pPr>
        <w:spacing w:after="0"/>
      </w:pPr>
      <w:r>
        <w:separator/>
      </w:r>
    </w:p>
  </w:footnote>
  <w:footnote w:type="continuationSeparator" w:id="0">
    <w:p w14:paraId="2B3F0668" w14:textId="77777777" w:rsidR="00361CBD" w:rsidRDefault="00361CBD" w:rsidP="005757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6B04"/>
    <w:multiLevelType w:val="multilevel"/>
    <w:tmpl w:val="9990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A52CF"/>
    <w:multiLevelType w:val="hybridMultilevel"/>
    <w:tmpl w:val="DF96FD64"/>
    <w:lvl w:ilvl="0" w:tplc="05607C0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32940"/>
    <w:multiLevelType w:val="hybridMultilevel"/>
    <w:tmpl w:val="55FE5630"/>
    <w:lvl w:ilvl="0" w:tplc="2CBECE28">
      <w:start w:val="1"/>
      <w:numFmt w:val="bullet"/>
      <w:pStyle w:val="Bullet2"/>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7E4CBF"/>
    <w:multiLevelType w:val="multilevel"/>
    <w:tmpl w:val="E732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135064">
    <w:abstractNumId w:val="1"/>
  </w:num>
  <w:num w:numId="2" w16cid:durableId="548106426">
    <w:abstractNumId w:val="2"/>
  </w:num>
  <w:num w:numId="3" w16cid:durableId="1472091487">
    <w:abstractNumId w:val="1"/>
  </w:num>
  <w:num w:numId="4" w16cid:durableId="383603630">
    <w:abstractNumId w:val="1"/>
  </w:num>
  <w:num w:numId="5" w16cid:durableId="1905793049">
    <w:abstractNumId w:val="1"/>
  </w:num>
  <w:num w:numId="6" w16cid:durableId="465242093">
    <w:abstractNumId w:val="1"/>
  </w:num>
  <w:num w:numId="7" w16cid:durableId="758252167">
    <w:abstractNumId w:val="1"/>
  </w:num>
  <w:num w:numId="8" w16cid:durableId="316347532">
    <w:abstractNumId w:val="1"/>
  </w:num>
  <w:num w:numId="9" w16cid:durableId="895236389">
    <w:abstractNumId w:val="1"/>
  </w:num>
  <w:num w:numId="10" w16cid:durableId="352078728">
    <w:abstractNumId w:val="3"/>
  </w:num>
  <w:num w:numId="11" w16cid:durableId="34887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A4"/>
    <w:rsid w:val="0000096E"/>
    <w:rsid w:val="000015B6"/>
    <w:rsid w:val="0000231B"/>
    <w:rsid w:val="00003CE9"/>
    <w:rsid w:val="00003ECA"/>
    <w:rsid w:val="00005116"/>
    <w:rsid w:val="00005AFA"/>
    <w:rsid w:val="00006B79"/>
    <w:rsid w:val="00006D68"/>
    <w:rsid w:val="00007464"/>
    <w:rsid w:val="00012F4E"/>
    <w:rsid w:val="00013CB7"/>
    <w:rsid w:val="0001448D"/>
    <w:rsid w:val="0001465F"/>
    <w:rsid w:val="000154C0"/>
    <w:rsid w:val="00015CD5"/>
    <w:rsid w:val="000166E1"/>
    <w:rsid w:val="00016A6A"/>
    <w:rsid w:val="00025BDB"/>
    <w:rsid w:val="00026317"/>
    <w:rsid w:val="000269DC"/>
    <w:rsid w:val="000276E4"/>
    <w:rsid w:val="00030B77"/>
    <w:rsid w:val="00032ABA"/>
    <w:rsid w:val="00036226"/>
    <w:rsid w:val="000405BB"/>
    <w:rsid w:val="00041986"/>
    <w:rsid w:val="00041F7A"/>
    <w:rsid w:val="00042DE1"/>
    <w:rsid w:val="00043417"/>
    <w:rsid w:val="00046A5A"/>
    <w:rsid w:val="000470A7"/>
    <w:rsid w:val="000471BE"/>
    <w:rsid w:val="00047CF6"/>
    <w:rsid w:val="00050AD7"/>
    <w:rsid w:val="00053947"/>
    <w:rsid w:val="000608ED"/>
    <w:rsid w:val="00062146"/>
    <w:rsid w:val="000654EC"/>
    <w:rsid w:val="0006658B"/>
    <w:rsid w:val="00067292"/>
    <w:rsid w:val="00067781"/>
    <w:rsid w:val="0007175F"/>
    <w:rsid w:val="00072AFC"/>
    <w:rsid w:val="00074773"/>
    <w:rsid w:val="00076A53"/>
    <w:rsid w:val="00080EE1"/>
    <w:rsid w:val="00081835"/>
    <w:rsid w:val="000837B3"/>
    <w:rsid w:val="000845D9"/>
    <w:rsid w:val="00084ADB"/>
    <w:rsid w:val="00086C70"/>
    <w:rsid w:val="000909CB"/>
    <w:rsid w:val="00090BDF"/>
    <w:rsid w:val="000913E3"/>
    <w:rsid w:val="00092882"/>
    <w:rsid w:val="0009316A"/>
    <w:rsid w:val="000937A8"/>
    <w:rsid w:val="0009594F"/>
    <w:rsid w:val="00096E53"/>
    <w:rsid w:val="000A1FA6"/>
    <w:rsid w:val="000A22FF"/>
    <w:rsid w:val="000A25B3"/>
    <w:rsid w:val="000A282B"/>
    <w:rsid w:val="000A5129"/>
    <w:rsid w:val="000A5A3E"/>
    <w:rsid w:val="000A6EB9"/>
    <w:rsid w:val="000A7502"/>
    <w:rsid w:val="000A7989"/>
    <w:rsid w:val="000B04A7"/>
    <w:rsid w:val="000B09CF"/>
    <w:rsid w:val="000B2458"/>
    <w:rsid w:val="000B319D"/>
    <w:rsid w:val="000B6CF2"/>
    <w:rsid w:val="000B7133"/>
    <w:rsid w:val="000B7C22"/>
    <w:rsid w:val="000B7CC6"/>
    <w:rsid w:val="000C0580"/>
    <w:rsid w:val="000C1335"/>
    <w:rsid w:val="000C1623"/>
    <w:rsid w:val="000C1739"/>
    <w:rsid w:val="000C1F38"/>
    <w:rsid w:val="000C24F0"/>
    <w:rsid w:val="000C2541"/>
    <w:rsid w:val="000C5F16"/>
    <w:rsid w:val="000C6A0C"/>
    <w:rsid w:val="000D2176"/>
    <w:rsid w:val="000D29C9"/>
    <w:rsid w:val="000D29E9"/>
    <w:rsid w:val="000D3393"/>
    <w:rsid w:val="000D3479"/>
    <w:rsid w:val="000D4DD0"/>
    <w:rsid w:val="000D5AC4"/>
    <w:rsid w:val="000D6A09"/>
    <w:rsid w:val="000D6A1D"/>
    <w:rsid w:val="000E0A3B"/>
    <w:rsid w:val="000E1953"/>
    <w:rsid w:val="000E2E8D"/>
    <w:rsid w:val="000E48D6"/>
    <w:rsid w:val="000E4EC4"/>
    <w:rsid w:val="000E597E"/>
    <w:rsid w:val="000F03FA"/>
    <w:rsid w:val="000F2134"/>
    <w:rsid w:val="000F3E5C"/>
    <w:rsid w:val="000F6800"/>
    <w:rsid w:val="00100D30"/>
    <w:rsid w:val="001100BB"/>
    <w:rsid w:val="0011015C"/>
    <w:rsid w:val="00110871"/>
    <w:rsid w:val="0011115E"/>
    <w:rsid w:val="0011138C"/>
    <w:rsid w:val="001117F1"/>
    <w:rsid w:val="00115A6F"/>
    <w:rsid w:val="00117858"/>
    <w:rsid w:val="00120620"/>
    <w:rsid w:val="00122233"/>
    <w:rsid w:val="00122965"/>
    <w:rsid w:val="001233A0"/>
    <w:rsid w:val="00123516"/>
    <w:rsid w:val="00123D0D"/>
    <w:rsid w:val="00125768"/>
    <w:rsid w:val="001273E0"/>
    <w:rsid w:val="001304B0"/>
    <w:rsid w:val="00132974"/>
    <w:rsid w:val="00135E09"/>
    <w:rsid w:val="0013602B"/>
    <w:rsid w:val="00136A16"/>
    <w:rsid w:val="001371B0"/>
    <w:rsid w:val="001404C9"/>
    <w:rsid w:val="00141304"/>
    <w:rsid w:val="00145DFF"/>
    <w:rsid w:val="00150294"/>
    <w:rsid w:val="00154F61"/>
    <w:rsid w:val="0015587A"/>
    <w:rsid w:val="0015650F"/>
    <w:rsid w:val="00156627"/>
    <w:rsid w:val="0015714D"/>
    <w:rsid w:val="00157CD0"/>
    <w:rsid w:val="00160143"/>
    <w:rsid w:val="00160B9A"/>
    <w:rsid w:val="0016199F"/>
    <w:rsid w:val="00161B7C"/>
    <w:rsid w:val="00161EA6"/>
    <w:rsid w:val="00163681"/>
    <w:rsid w:val="00165978"/>
    <w:rsid w:val="00166862"/>
    <w:rsid w:val="00170106"/>
    <w:rsid w:val="0017123B"/>
    <w:rsid w:val="001714A8"/>
    <w:rsid w:val="00172593"/>
    <w:rsid w:val="00172F4D"/>
    <w:rsid w:val="00173A50"/>
    <w:rsid w:val="00176605"/>
    <w:rsid w:val="00176D98"/>
    <w:rsid w:val="00176FF6"/>
    <w:rsid w:val="00177785"/>
    <w:rsid w:val="00181F7A"/>
    <w:rsid w:val="00183534"/>
    <w:rsid w:val="00184C3D"/>
    <w:rsid w:val="00185366"/>
    <w:rsid w:val="00185747"/>
    <w:rsid w:val="00185BB4"/>
    <w:rsid w:val="00186577"/>
    <w:rsid w:val="00187152"/>
    <w:rsid w:val="00190CA0"/>
    <w:rsid w:val="001924B8"/>
    <w:rsid w:val="001929D5"/>
    <w:rsid w:val="00196F25"/>
    <w:rsid w:val="0019701E"/>
    <w:rsid w:val="001971EF"/>
    <w:rsid w:val="001A0000"/>
    <w:rsid w:val="001A465A"/>
    <w:rsid w:val="001A4B58"/>
    <w:rsid w:val="001A7029"/>
    <w:rsid w:val="001B0539"/>
    <w:rsid w:val="001B1FDB"/>
    <w:rsid w:val="001B3C8E"/>
    <w:rsid w:val="001B6DFB"/>
    <w:rsid w:val="001B7078"/>
    <w:rsid w:val="001B70CC"/>
    <w:rsid w:val="001B7B10"/>
    <w:rsid w:val="001C057E"/>
    <w:rsid w:val="001C1F3D"/>
    <w:rsid w:val="001C4680"/>
    <w:rsid w:val="001C479A"/>
    <w:rsid w:val="001C4DE1"/>
    <w:rsid w:val="001C51BD"/>
    <w:rsid w:val="001C75D2"/>
    <w:rsid w:val="001C7754"/>
    <w:rsid w:val="001D238A"/>
    <w:rsid w:val="001D35E9"/>
    <w:rsid w:val="001D4BEC"/>
    <w:rsid w:val="001D56A0"/>
    <w:rsid w:val="001D5A38"/>
    <w:rsid w:val="001D7F09"/>
    <w:rsid w:val="001E003C"/>
    <w:rsid w:val="001E044A"/>
    <w:rsid w:val="001E0FEC"/>
    <w:rsid w:val="001E1D1C"/>
    <w:rsid w:val="001E22B5"/>
    <w:rsid w:val="001E2C33"/>
    <w:rsid w:val="001E3C0E"/>
    <w:rsid w:val="001E46FF"/>
    <w:rsid w:val="001E4FD8"/>
    <w:rsid w:val="001E6C14"/>
    <w:rsid w:val="001E70FE"/>
    <w:rsid w:val="001F096F"/>
    <w:rsid w:val="001F19B1"/>
    <w:rsid w:val="001F5601"/>
    <w:rsid w:val="001F74E4"/>
    <w:rsid w:val="00200F6F"/>
    <w:rsid w:val="0020159F"/>
    <w:rsid w:val="002017EC"/>
    <w:rsid w:val="002018EE"/>
    <w:rsid w:val="002035FD"/>
    <w:rsid w:val="0021025A"/>
    <w:rsid w:val="0021108F"/>
    <w:rsid w:val="00212495"/>
    <w:rsid w:val="00212729"/>
    <w:rsid w:val="00213363"/>
    <w:rsid w:val="00215E99"/>
    <w:rsid w:val="0021679E"/>
    <w:rsid w:val="00217E06"/>
    <w:rsid w:val="0022099C"/>
    <w:rsid w:val="0022257A"/>
    <w:rsid w:val="00222C22"/>
    <w:rsid w:val="0022537B"/>
    <w:rsid w:val="002275EF"/>
    <w:rsid w:val="00227644"/>
    <w:rsid w:val="002276A6"/>
    <w:rsid w:val="0023175F"/>
    <w:rsid w:val="00232668"/>
    <w:rsid w:val="00232F0A"/>
    <w:rsid w:val="0023525D"/>
    <w:rsid w:val="0023663D"/>
    <w:rsid w:val="00236A5F"/>
    <w:rsid w:val="00236C25"/>
    <w:rsid w:val="00237CDE"/>
    <w:rsid w:val="002433B0"/>
    <w:rsid w:val="00243B90"/>
    <w:rsid w:val="00244F5F"/>
    <w:rsid w:val="00245BE3"/>
    <w:rsid w:val="00245EA3"/>
    <w:rsid w:val="002460E8"/>
    <w:rsid w:val="0024668C"/>
    <w:rsid w:val="002507E7"/>
    <w:rsid w:val="00251909"/>
    <w:rsid w:val="00253CCF"/>
    <w:rsid w:val="0025453B"/>
    <w:rsid w:val="00254914"/>
    <w:rsid w:val="00254CCA"/>
    <w:rsid w:val="00256C3C"/>
    <w:rsid w:val="00256FA6"/>
    <w:rsid w:val="00256FC9"/>
    <w:rsid w:val="002603A5"/>
    <w:rsid w:val="002618F4"/>
    <w:rsid w:val="00263474"/>
    <w:rsid w:val="00263B8F"/>
    <w:rsid w:val="00265072"/>
    <w:rsid w:val="00265334"/>
    <w:rsid w:val="00266A8E"/>
    <w:rsid w:val="002710D9"/>
    <w:rsid w:val="00271268"/>
    <w:rsid w:val="00271C26"/>
    <w:rsid w:val="00273314"/>
    <w:rsid w:val="002736F5"/>
    <w:rsid w:val="002761CB"/>
    <w:rsid w:val="00281006"/>
    <w:rsid w:val="00281407"/>
    <w:rsid w:val="00282417"/>
    <w:rsid w:val="00282BC8"/>
    <w:rsid w:val="00286277"/>
    <w:rsid w:val="00287E55"/>
    <w:rsid w:val="00290D70"/>
    <w:rsid w:val="00291425"/>
    <w:rsid w:val="00294EE6"/>
    <w:rsid w:val="002956AA"/>
    <w:rsid w:val="002963E3"/>
    <w:rsid w:val="00296936"/>
    <w:rsid w:val="00297094"/>
    <w:rsid w:val="002A20DF"/>
    <w:rsid w:val="002A26EA"/>
    <w:rsid w:val="002A3DBC"/>
    <w:rsid w:val="002A6A69"/>
    <w:rsid w:val="002B1DBE"/>
    <w:rsid w:val="002B4EE8"/>
    <w:rsid w:val="002B50FB"/>
    <w:rsid w:val="002B7B07"/>
    <w:rsid w:val="002C2229"/>
    <w:rsid w:val="002C29CC"/>
    <w:rsid w:val="002C5359"/>
    <w:rsid w:val="002D11E0"/>
    <w:rsid w:val="002D19CA"/>
    <w:rsid w:val="002D3566"/>
    <w:rsid w:val="002D575B"/>
    <w:rsid w:val="002D6447"/>
    <w:rsid w:val="002D6B11"/>
    <w:rsid w:val="002D6C07"/>
    <w:rsid w:val="002E0A6B"/>
    <w:rsid w:val="002E0FF8"/>
    <w:rsid w:val="002E3681"/>
    <w:rsid w:val="002E4E43"/>
    <w:rsid w:val="002E51B0"/>
    <w:rsid w:val="002E53F3"/>
    <w:rsid w:val="002E5E2D"/>
    <w:rsid w:val="002E68D7"/>
    <w:rsid w:val="002F0F9F"/>
    <w:rsid w:val="002F147E"/>
    <w:rsid w:val="002F22FB"/>
    <w:rsid w:val="002F3D2D"/>
    <w:rsid w:val="002F47DB"/>
    <w:rsid w:val="002F5FD5"/>
    <w:rsid w:val="002F6053"/>
    <w:rsid w:val="002F78DE"/>
    <w:rsid w:val="002F7F38"/>
    <w:rsid w:val="003000A0"/>
    <w:rsid w:val="00302583"/>
    <w:rsid w:val="003025DE"/>
    <w:rsid w:val="00302D24"/>
    <w:rsid w:val="003037E4"/>
    <w:rsid w:val="003061B7"/>
    <w:rsid w:val="00306740"/>
    <w:rsid w:val="00310A98"/>
    <w:rsid w:val="00310C36"/>
    <w:rsid w:val="00311AE6"/>
    <w:rsid w:val="00313F55"/>
    <w:rsid w:val="0031464B"/>
    <w:rsid w:val="003147C0"/>
    <w:rsid w:val="003163F8"/>
    <w:rsid w:val="003236FF"/>
    <w:rsid w:val="00323D9D"/>
    <w:rsid w:val="0032790E"/>
    <w:rsid w:val="00331060"/>
    <w:rsid w:val="00331103"/>
    <w:rsid w:val="00332E6F"/>
    <w:rsid w:val="003336B9"/>
    <w:rsid w:val="003336DD"/>
    <w:rsid w:val="003340E5"/>
    <w:rsid w:val="0033549A"/>
    <w:rsid w:val="0033656A"/>
    <w:rsid w:val="00336703"/>
    <w:rsid w:val="00340913"/>
    <w:rsid w:val="00343A43"/>
    <w:rsid w:val="00344392"/>
    <w:rsid w:val="003448CD"/>
    <w:rsid w:val="00347381"/>
    <w:rsid w:val="003507A2"/>
    <w:rsid w:val="00350B01"/>
    <w:rsid w:val="00350B75"/>
    <w:rsid w:val="00350CF8"/>
    <w:rsid w:val="00351432"/>
    <w:rsid w:val="00351C00"/>
    <w:rsid w:val="00351D1B"/>
    <w:rsid w:val="0035479E"/>
    <w:rsid w:val="00355D75"/>
    <w:rsid w:val="00360583"/>
    <w:rsid w:val="00360853"/>
    <w:rsid w:val="00361CBD"/>
    <w:rsid w:val="00363AC7"/>
    <w:rsid w:val="0036436E"/>
    <w:rsid w:val="00370A8E"/>
    <w:rsid w:val="00371946"/>
    <w:rsid w:val="00371F06"/>
    <w:rsid w:val="003728A8"/>
    <w:rsid w:val="00373076"/>
    <w:rsid w:val="003749DD"/>
    <w:rsid w:val="00374F7F"/>
    <w:rsid w:val="00376025"/>
    <w:rsid w:val="003773B5"/>
    <w:rsid w:val="0038028C"/>
    <w:rsid w:val="00381457"/>
    <w:rsid w:val="00383872"/>
    <w:rsid w:val="00385981"/>
    <w:rsid w:val="00385B53"/>
    <w:rsid w:val="00385DBB"/>
    <w:rsid w:val="0038613C"/>
    <w:rsid w:val="003929BD"/>
    <w:rsid w:val="00392DCA"/>
    <w:rsid w:val="00397C3F"/>
    <w:rsid w:val="003A00EF"/>
    <w:rsid w:val="003A1B61"/>
    <w:rsid w:val="003A23A4"/>
    <w:rsid w:val="003A3276"/>
    <w:rsid w:val="003A4E5E"/>
    <w:rsid w:val="003A504A"/>
    <w:rsid w:val="003A59AC"/>
    <w:rsid w:val="003A628B"/>
    <w:rsid w:val="003A7308"/>
    <w:rsid w:val="003B3671"/>
    <w:rsid w:val="003B4EC4"/>
    <w:rsid w:val="003B5219"/>
    <w:rsid w:val="003B5561"/>
    <w:rsid w:val="003B622B"/>
    <w:rsid w:val="003B7D62"/>
    <w:rsid w:val="003C22A1"/>
    <w:rsid w:val="003C4E02"/>
    <w:rsid w:val="003C5A98"/>
    <w:rsid w:val="003C6A45"/>
    <w:rsid w:val="003C722F"/>
    <w:rsid w:val="003D08E9"/>
    <w:rsid w:val="003D111D"/>
    <w:rsid w:val="003D19CC"/>
    <w:rsid w:val="003D1E15"/>
    <w:rsid w:val="003D28E2"/>
    <w:rsid w:val="003D2BC3"/>
    <w:rsid w:val="003D5991"/>
    <w:rsid w:val="003D654B"/>
    <w:rsid w:val="003E044E"/>
    <w:rsid w:val="003E2782"/>
    <w:rsid w:val="003E3FFB"/>
    <w:rsid w:val="003E47CF"/>
    <w:rsid w:val="003E63F3"/>
    <w:rsid w:val="003E73DC"/>
    <w:rsid w:val="003E7CE6"/>
    <w:rsid w:val="003F0863"/>
    <w:rsid w:val="003F0DC3"/>
    <w:rsid w:val="003F3804"/>
    <w:rsid w:val="003F5A00"/>
    <w:rsid w:val="003F6CBC"/>
    <w:rsid w:val="004002A1"/>
    <w:rsid w:val="004016A7"/>
    <w:rsid w:val="00401E79"/>
    <w:rsid w:val="0040262B"/>
    <w:rsid w:val="00403CD8"/>
    <w:rsid w:val="00404EE6"/>
    <w:rsid w:val="0040549B"/>
    <w:rsid w:val="00405C02"/>
    <w:rsid w:val="00405D17"/>
    <w:rsid w:val="004061DF"/>
    <w:rsid w:val="004063CB"/>
    <w:rsid w:val="0041052A"/>
    <w:rsid w:val="004143BA"/>
    <w:rsid w:val="00415FE8"/>
    <w:rsid w:val="004221A8"/>
    <w:rsid w:val="00422214"/>
    <w:rsid w:val="00422842"/>
    <w:rsid w:val="00423B16"/>
    <w:rsid w:val="004308E0"/>
    <w:rsid w:val="00430D01"/>
    <w:rsid w:val="004339A7"/>
    <w:rsid w:val="0043570B"/>
    <w:rsid w:val="004405DA"/>
    <w:rsid w:val="00440C29"/>
    <w:rsid w:val="0044207D"/>
    <w:rsid w:val="00444FA7"/>
    <w:rsid w:val="00445690"/>
    <w:rsid w:val="004470E0"/>
    <w:rsid w:val="0045062A"/>
    <w:rsid w:val="00450682"/>
    <w:rsid w:val="00450C3A"/>
    <w:rsid w:val="004516F8"/>
    <w:rsid w:val="004521EA"/>
    <w:rsid w:val="00452313"/>
    <w:rsid w:val="0045257D"/>
    <w:rsid w:val="00453AD1"/>
    <w:rsid w:val="004541CF"/>
    <w:rsid w:val="00462D94"/>
    <w:rsid w:val="00463C0B"/>
    <w:rsid w:val="00463EBB"/>
    <w:rsid w:val="00466981"/>
    <w:rsid w:val="00467D41"/>
    <w:rsid w:val="00473085"/>
    <w:rsid w:val="00474911"/>
    <w:rsid w:val="00475751"/>
    <w:rsid w:val="00475788"/>
    <w:rsid w:val="004766CC"/>
    <w:rsid w:val="00482FB8"/>
    <w:rsid w:val="00484106"/>
    <w:rsid w:val="004844C4"/>
    <w:rsid w:val="0048530A"/>
    <w:rsid w:val="0049206A"/>
    <w:rsid w:val="004920A3"/>
    <w:rsid w:val="004932D6"/>
    <w:rsid w:val="004934E2"/>
    <w:rsid w:val="004963B0"/>
    <w:rsid w:val="004A0B79"/>
    <w:rsid w:val="004A1AB2"/>
    <w:rsid w:val="004A4ADB"/>
    <w:rsid w:val="004A4B3A"/>
    <w:rsid w:val="004A6E59"/>
    <w:rsid w:val="004A7588"/>
    <w:rsid w:val="004A765A"/>
    <w:rsid w:val="004B0814"/>
    <w:rsid w:val="004B13E9"/>
    <w:rsid w:val="004B1797"/>
    <w:rsid w:val="004B1A64"/>
    <w:rsid w:val="004B566F"/>
    <w:rsid w:val="004B6642"/>
    <w:rsid w:val="004B7E11"/>
    <w:rsid w:val="004C2B13"/>
    <w:rsid w:val="004C39F5"/>
    <w:rsid w:val="004C4A2B"/>
    <w:rsid w:val="004C6C3F"/>
    <w:rsid w:val="004C7581"/>
    <w:rsid w:val="004D6F21"/>
    <w:rsid w:val="004E025A"/>
    <w:rsid w:val="004E0592"/>
    <w:rsid w:val="004E2926"/>
    <w:rsid w:val="004E2FE4"/>
    <w:rsid w:val="004E3500"/>
    <w:rsid w:val="004E37E5"/>
    <w:rsid w:val="004E5CEB"/>
    <w:rsid w:val="004E6092"/>
    <w:rsid w:val="004F0FCF"/>
    <w:rsid w:val="004F1882"/>
    <w:rsid w:val="004F468E"/>
    <w:rsid w:val="004F5F24"/>
    <w:rsid w:val="004F6F59"/>
    <w:rsid w:val="00501531"/>
    <w:rsid w:val="00502823"/>
    <w:rsid w:val="00503955"/>
    <w:rsid w:val="00503A51"/>
    <w:rsid w:val="00503D46"/>
    <w:rsid w:val="00504A21"/>
    <w:rsid w:val="005061C5"/>
    <w:rsid w:val="00506305"/>
    <w:rsid w:val="005066C9"/>
    <w:rsid w:val="00506DBD"/>
    <w:rsid w:val="00507BBC"/>
    <w:rsid w:val="00507D4B"/>
    <w:rsid w:val="00510FA3"/>
    <w:rsid w:val="00510FD5"/>
    <w:rsid w:val="00513625"/>
    <w:rsid w:val="00514F8D"/>
    <w:rsid w:val="00517543"/>
    <w:rsid w:val="005177CB"/>
    <w:rsid w:val="00520812"/>
    <w:rsid w:val="00521DA1"/>
    <w:rsid w:val="00521F94"/>
    <w:rsid w:val="00522592"/>
    <w:rsid w:val="0052461F"/>
    <w:rsid w:val="00534A82"/>
    <w:rsid w:val="005350B0"/>
    <w:rsid w:val="005361B1"/>
    <w:rsid w:val="005407FC"/>
    <w:rsid w:val="00541F65"/>
    <w:rsid w:val="0054516E"/>
    <w:rsid w:val="00545E81"/>
    <w:rsid w:val="00550B69"/>
    <w:rsid w:val="00552248"/>
    <w:rsid w:val="0055479B"/>
    <w:rsid w:val="00556680"/>
    <w:rsid w:val="00557CEE"/>
    <w:rsid w:val="00564B49"/>
    <w:rsid w:val="00564D7C"/>
    <w:rsid w:val="00565EB1"/>
    <w:rsid w:val="00567C8B"/>
    <w:rsid w:val="005700BB"/>
    <w:rsid w:val="0057334D"/>
    <w:rsid w:val="005736AD"/>
    <w:rsid w:val="00573A30"/>
    <w:rsid w:val="00574F5E"/>
    <w:rsid w:val="005757A4"/>
    <w:rsid w:val="00575BD7"/>
    <w:rsid w:val="00577F55"/>
    <w:rsid w:val="00580A60"/>
    <w:rsid w:val="00581131"/>
    <w:rsid w:val="00582806"/>
    <w:rsid w:val="0058350F"/>
    <w:rsid w:val="00583977"/>
    <w:rsid w:val="005857B0"/>
    <w:rsid w:val="00586519"/>
    <w:rsid w:val="00587191"/>
    <w:rsid w:val="00587661"/>
    <w:rsid w:val="00591CD6"/>
    <w:rsid w:val="005923A0"/>
    <w:rsid w:val="005926E9"/>
    <w:rsid w:val="00595407"/>
    <w:rsid w:val="005A01A7"/>
    <w:rsid w:val="005A0327"/>
    <w:rsid w:val="005A0AE2"/>
    <w:rsid w:val="005A0DA0"/>
    <w:rsid w:val="005A36F4"/>
    <w:rsid w:val="005A795A"/>
    <w:rsid w:val="005B2C75"/>
    <w:rsid w:val="005B5DB6"/>
    <w:rsid w:val="005B6AE1"/>
    <w:rsid w:val="005B7263"/>
    <w:rsid w:val="005B7C38"/>
    <w:rsid w:val="005C14C3"/>
    <w:rsid w:val="005C176A"/>
    <w:rsid w:val="005C1C44"/>
    <w:rsid w:val="005C229A"/>
    <w:rsid w:val="005C67EC"/>
    <w:rsid w:val="005C7240"/>
    <w:rsid w:val="005D0197"/>
    <w:rsid w:val="005D1E77"/>
    <w:rsid w:val="005D2742"/>
    <w:rsid w:val="005D2930"/>
    <w:rsid w:val="005D2C45"/>
    <w:rsid w:val="005D4798"/>
    <w:rsid w:val="005D5F64"/>
    <w:rsid w:val="005D7DF1"/>
    <w:rsid w:val="005E0EDB"/>
    <w:rsid w:val="005E328F"/>
    <w:rsid w:val="005E444A"/>
    <w:rsid w:val="005E676E"/>
    <w:rsid w:val="005E685C"/>
    <w:rsid w:val="005E7135"/>
    <w:rsid w:val="005F0253"/>
    <w:rsid w:val="005F1A0B"/>
    <w:rsid w:val="005F5F68"/>
    <w:rsid w:val="005F6944"/>
    <w:rsid w:val="005F7B11"/>
    <w:rsid w:val="00600706"/>
    <w:rsid w:val="006010FF"/>
    <w:rsid w:val="00601D87"/>
    <w:rsid w:val="006035FE"/>
    <w:rsid w:val="006049F3"/>
    <w:rsid w:val="00605ED2"/>
    <w:rsid w:val="00606CDE"/>
    <w:rsid w:val="006109C2"/>
    <w:rsid w:val="00614B82"/>
    <w:rsid w:val="00615FEF"/>
    <w:rsid w:val="0061619A"/>
    <w:rsid w:val="00616828"/>
    <w:rsid w:val="006174A7"/>
    <w:rsid w:val="00621FCA"/>
    <w:rsid w:val="00621FF6"/>
    <w:rsid w:val="00622E57"/>
    <w:rsid w:val="00624F9F"/>
    <w:rsid w:val="00626B5B"/>
    <w:rsid w:val="006310C7"/>
    <w:rsid w:val="00634093"/>
    <w:rsid w:val="00636119"/>
    <w:rsid w:val="00640900"/>
    <w:rsid w:val="00643ED2"/>
    <w:rsid w:val="00646CED"/>
    <w:rsid w:val="006479DE"/>
    <w:rsid w:val="00650589"/>
    <w:rsid w:val="006522CE"/>
    <w:rsid w:val="00656838"/>
    <w:rsid w:val="0066096B"/>
    <w:rsid w:val="00661049"/>
    <w:rsid w:val="00662773"/>
    <w:rsid w:val="00662C73"/>
    <w:rsid w:val="0066395A"/>
    <w:rsid w:val="00670008"/>
    <w:rsid w:val="00670781"/>
    <w:rsid w:val="00670C3B"/>
    <w:rsid w:val="00672F59"/>
    <w:rsid w:val="00675016"/>
    <w:rsid w:val="00677AE9"/>
    <w:rsid w:val="00680AA7"/>
    <w:rsid w:val="00681296"/>
    <w:rsid w:val="0068148E"/>
    <w:rsid w:val="0068475A"/>
    <w:rsid w:val="006851CA"/>
    <w:rsid w:val="00686453"/>
    <w:rsid w:val="006923F4"/>
    <w:rsid w:val="00694D09"/>
    <w:rsid w:val="006966EF"/>
    <w:rsid w:val="0069774B"/>
    <w:rsid w:val="00697EB0"/>
    <w:rsid w:val="006A0E52"/>
    <w:rsid w:val="006A54C5"/>
    <w:rsid w:val="006A7A57"/>
    <w:rsid w:val="006B0A97"/>
    <w:rsid w:val="006B1B69"/>
    <w:rsid w:val="006B285A"/>
    <w:rsid w:val="006B321B"/>
    <w:rsid w:val="006B3F76"/>
    <w:rsid w:val="006B5EBB"/>
    <w:rsid w:val="006C0BC2"/>
    <w:rsid w:val="006C1469"/>
    <w:rsid w:val="006C355C"/>
    <w:rsid w:val="006C4873"/>
    <w:rsid w:val="006C4E19"/>
    <w:rsid w:val="006C6803"/>
    <w:rsid w:val="006C6DF0"/>
    <w:rsid w:val="006D33FE"/>
    <w:rsid w:val="006D34CA"/>
    <w:rsid w:val="006D3833"/>
    <w:rsid w:val="006D3E5E"/>
    <w:rsid w:val="006D606A"/>
    <w:rsid w:val="006D665C"/>
    <w:rsid w:val="006D77D9"/>
    <w:rsid w:val="006D78B2"/>
    <w:rsid w:val="006E05CA"/>
    <w:rsid w:val="006E09B5"/>
    <w:rsid w:val="006E0D77"/>
    <w:rsid w:val="006E0E9F"/>
    <w:rsid w:val="006E142D"/>
    <w:rsid w:val="006E205A"/>
    <w:rsid w:val="006E23EA"/>
    <w:rsid w:val="006E6462"/>
    <w:rsid w:val="006E648C"/>
    <w:rsid w:val="006F1CEF"/>
    <w:rsid w:val="006F2F7A"/>
    <w:rsid w:val="006F4DFE"/>
    <w:rsid w:val="006F6FD0"/>
    <w:rsid w:val="00700AC7"/>
    <w:rsid w:val="00701264"/>
    <w:rsid w:val="00702BEF"/>
    <w:rsid w:val="00706031"/>
    <w:rsid w:val="007069E7"/>
    <w:rsid w:val="00713678"/>
    <w:rsid w:val="0071681C"/>
    <w:rsid w:val="00717820"/>
    <w:rsid w:val="00720CEB"/>
    <w:rsid w:val="00722003"/>
    <w:rsid w:val="007229AC"/>
    <w:rsid w:val="00722AE5"/>
    <w:rsid w:val="00727FB0"/>
    <w:rsid w:val="00730BEC"/>
    <w:rsid w:val="007311AF"/>
    <w:rsid w:val="007322CA"/>
    <w:rsid w:val="00736196"/>
    <w:rsid w:val="00736A87"/>
    <w:rsid w:val="0073700A"/>
    <w:rsid w:val="007409C1"/>
    <w:rsid w:val="007425EF"/>
    <w:rsid w:val="00744466"/>
    <w:rsid w:val="007451BB"/>
    <w:rsid w:val="00745223"/>
    <w:rsid w:val="007507CA"/>
    <w:rsid w:val="00751B0D"/>
    <w:rsid w:val="0075649F"/>
    <w:rsid w:val="00757002"/>
    <w:rsid w:val="0076119E"/>
    <w:rsid w:val="0076145C"/>
    <w:rsid w:val="007632C5"/>
    <w:rsid w:val="0076348C"/>
    <w:rsid w:val="007637DA"/>
    <w:rsid w:val="00767C3E"/>
    <w:rsid w:val="00771C89"/>
    <w:rsid w:val="00772190"/>
    <w:rsid w:val="00775959"/>
    <w:rsid w:val="007760F9"/>
    <w:rsid w:val="00776378"/>
    <w:rsid w:val="00776D7E"/>
    <w:rsid w:val="00776FCB"/>
    <w:rsid w:val="00780992"/>
    <w:rsid w:val="00781D2D"/>
    <w:rsid w:val="00782D38"/>
    <w:rsid w:val="00784D84"/>
    <w:rsid w:val="00786564"/>
    <w:rsid w:val="0078739A"/>
    <w:rsid w:val="00790972"/>
    <w:rsid w:val="00793F73"/>
    <w:rsid w:val="0079478C"/>
    <w:rsid w:val="007A0ECF"/>
    <w:rsid w:val="007A2E4D"/>
    <w:rsid w:val="007A447D"/>
    <w:rsid w:val="007A4613"/>
    <w:rsid w:val="007A54AA"/>
    <w:rsid w:val="007A5A46"/>
    <w:rsid w:val="007A661B"/>
    <w:rsid w:val="007A6F29"/>
    <w:rsid w:val="007A7A92"/>
    <w:rsid w:val="007B1905"/>
    <w:rsid w:val="007B1C20"/>
    <w:rsid w:val="007B23D9"/>
    <w:rsid w:val="007B6353"/>
    <w:rsid w:val="007B6C39"/>
    <w:rsid w:val="007B75BA"/>
    <w:rsid w:val="007B77B2"/>
    <w:rsid w:val="007C0499"/>
    <w:rsid w:val="007C2964"/>
    <w:rsid w:val="007C358D"/>
    <w:rsid w:val="007C4CC0"/>
    <w:rsid w:val="007C5045"/>
    <w:rsid w:val="007D3420"/>
    <w:rsid w:val="007D4CEC"/>
    <w:rsid w:val="007D5D16"/>
    <w:rsid w:val="007D73B9"/>
    <w:rsid w:val="007D7AD7"/>
    <w:rsid w:val="007E19F8"/>
    <w:rsid w:val="007E28B9"/>
    <w:rsid w:val="007E3977"/>
    <w:rsid w:val="007E4457"/>
    <w:rsid w:val="007E5BC0"/>
    <w:rsid w:val="007E6368"/>
    <w:rsid w:val="007E7B31"/>
    <w:rsid w:val="007F1568"/>
    <w:rsid w:val="007F1646"/>
    <w:rsid w:val="007F6B83"/>
    <w:rsid w:val="0080314C"/>
    <w:rsid w:val="0081017E"/>
    <w:rsid w:val="00811BA7"/>
    <w:rsid w:val="00811D17"/>
    <w:rsid w:val="00813024"/>
    <w:rsid w:val="008133DA"/>
    <w:rsid w:val="0081342A"/>
    <w:rsid w:val="00815701"/>
    <w:rsid w:val="0081576E"/>
    <w:rsid w:val="00815F52"/>
    <w:rsid w:val="008208A2"/>
    <w:rsid w:val="00824715"/>
    <w:rsid w:val="00825AF1"/>
    <w:rsid w:val="00825C28"/>
    <w:rsid w:val="00825D22"/>
    <w:rsid w:val="008271A2"/>
    <w:rsid w:val="00830947"/>
    <w:rsid w:val="008315A1"/>
    <w:rsid w:val="00831C93"/>
    <w:rsid w:val="008329B6"/>
    <w:rsid w:val="00835B51"/>
    <w:rsid w:val="008368B8"/>
    <w:rsid w:val="00837F6C"/>
    <w:rsid w:val="00846204"/>
    <w:rsid w:val="00850614"/>
    <w:rsid w:val="00851ECF"/>
    <w:rsid w:val="00853664"/>
    <w:rsid w:val="00860C90"/>
    <w:rsid w:val="00861527"/>
    <w:rsid w:val="008654B0"/>
    <w:rsid w:val="008661CE"/>
    <w:rsid w:val="00874192"/>
    <w:rsid w:val="008742B0"/>
    <w:rsid w:val="00874FC4"/>
    <w:rsid w:val="00875099"/>
    <w:rsid w:val="00877A53"/>
    <w:rsid w:val="008822E8"/>
    <w:rsid w:val="00884584"/>
    <w:rsid w:val="00885360"/>
    <w:rsid w:val="008854B6"/>
    <w:rsid w:val="00885F10"/>
    <w:rsid w:val="00891D3C"/>
    <w:rsid w:val="0089263C"/>
    <w:rsid w:val="0089306D"/>
    <w:rsid w:val="00896408"/>
    <w:rsid w:val="0089720F"/>
    <w:rsid w:val="008A22C0"/>
    <w:rsid w:val="008A301C"/>
    <w:rsid w:val="008A3420"/>
    <w:rsid w:val="008A5DED"/>
    <w:rsid w:val="008A6792"/>
    <w:rsid w:val="008A6FDB"/>
    <w:rsid w:val="008A76B8"/>
    <w:rsid w:val="008B0CAD"/>
    <w:rsid w:val="008B1903"/>
    <w:rsid w:val="008B2D3A"/>
    <w:rsid w:val="008B39A9"/>
    <w:rsid w:val="008B4B43"/>
    <w:rsid w:val="008B695A"/>
    <w:rsid w:val="008B7704"/>
    <w:rsid w:val="008C1121"/>
    <w:rsid w:val="008C1E50"/>
    <w:rsid w:val="008C4095"/>
    <w:rsid w:val="008C5739"/>
    <w:rsid w:val="008C7CBA"/>
    <w:rsid w:val="008C7DFA"/>
    <w:rsid w:val="008D1B90"/>
    <w:rsid w:val="008D4FF7"/>
    <w:rsid w:val="008D60AC"/>
    <w:rsid w:val="008D7D5C"/>
    <w:rsid w:val="008E0656"/>
    <w:rsid w:val="008E0AF0"/>
    <w:rsid w:val="008E0AF9"/>
    <w:rsid w:val="008E2D48"/>
    <w:rsid w:val="008E3A5D"/>
    <w:rsid w:val="008E43B8"/>
    <w:rsid w:val="008E4F79"/>
    <w:rsid w:val="008E5BF7"/>
    <w:rsid w:val="008E6B69"/>
    <w:rsid w:val="008F50CA"/>
    <w:rsid w:val="008F653E"/>
    <w:rsid w:val="008F7467"/>
    <w:rsid w:val="00900151"/>
    <w:rsid w:val="00902AF2"/>
    <w:rsid w:val="00903B3E"/>
    <w:rsid w:val="0090437A"/>
    <w:rsid w:val="00905DC2"/>
    <w:rsid w:val="00905E59"/>
    <w:rsid w:val="0090741A"/>
    <w:rsid w:val="00907B6E"/>
    <w:rsid w:val="009117BE"/>
    <w:rsid w:val="00911E2F"/>
    <w:rsid w:val="0091404A"/>
    <w:rsid w:val="0091520F"/>
    <w:rsid w:val="00915B5E"/>
    <w:rsid w:val="009160EA"/>
    <w:rsid w:val="00916C37"/>
    <w:rsid w:val="00916DA2"/>
    <w:rsid w:val="009177A8"/>
    <w:rsid w:val="00920571"/>
    <w:rsid w:val="00925A1D"/>
    <w:rsid w:val="00926770"/>
    <w:rsid w:val="009301AF"/>
    <w:rsid w:val="00930721"/>
    <w:rsid w:val="0093081A"/>
    <w:rsid w:val="00930A45"/>
    <w:rsid w:val="0093428B"/>
    <w:rsid w:val="00937747"/>
    <w:rsid w:val="00941FAC"/>
    <w:rsid w:val="00942709"/>
    <w:rsid w:val="00944E81"/>
    <w:rsid w:val="00950553"/>
    <w:rsid w:val="0095215D"/>
    <w:rsid w:val="009540D7"/>
    <w:rsid w:val="0095578A"/>
    <w:rsid w:val="0095612D"/>
    <w:rsid w:val="009566B6"/>
    <w:rsid w:val="00957029"/>
    <w:rsid w:val="00960969"/>
    <w:rsid w:val="00960C7C"/>
    <w:rsid w:val="009627D4"/>
    <w:rsid w:val="00963A05"/>
    <w:rsid w:val="009642CC"/>
    <w:rsid w:val="009656D0"/>
    <w:rsid w:val="00965877"/>
    <w:rsid w:val="00965CBD"/>
    <w:rsid w:val="0097077D"/>
    <w:rsid w:val="009707C3"/>
    <w:rsid w:val="0097148A"/>
    <w:rsid w:val="00982227"/>
    <w:rsid w:val="00983F9E"/>
    <w:rsid w:val="00984448"/>
    <w:rsid w:val="00986828"/>
    <w:rsid w:val="009874C7"/>
    <w:rsid w:val="00987AAB"/>
    <w:rsid w:val="00991689"/>
    <w:rsid w:val="009918F7"/>
    <w:rsid w:val="00993752"/>
    <w:rsid w:val="009A04D1"/>
    <w:rsid w:val="009A2CA3"/>
    <w:rsid w:val="009A67CF"/>
    <w:rsid w:val="009B09CD"/>
    <w:rsid w:val="009B1464"/>
    <w:rsid w:val="009B301E"/>
    <w:rsid w:val="009B39FF"/>
    <w:rsid w:val="009B42CE"/>
    <w:rsid w:val="009B5B50"/>
    <w:rsid w:val="009B7149"/>
    <w:rsid w:val="009B721A"/>
    <w:rsid w:val="009C1DDB"/>
    <w:rsid w:val="009C1F48"/>
    <w:rsid w:val="009C4C73"/>
    <w:rsid w:val="009D0168"/>
    <w:rsid w:val="009D104C"/>
    <w:rsid w:val="009D347A"/>
    <w:rsid w:val="009D59AE"/>
    <w:rsid w:val="009D6D9D"/>
    <w:rsid w:val="009E0480"/>
    <w:rsid w:val="009E082A"/>
    <w:rsid w:val="009E265B"/>
    <w:rsid w:val="009E2FD0"/>
    <w:rsid w:val="009E2FDF"/>
    <w:rsid w:val="009E3C3E"/>
    <w:rsid w:val="009E4025"/>
    <w:rsid w:val="009E507B"/>
    <w:rsid w:val="009E6559"/>
    <w:rsid w:val="009F177D"/>
    <w:rsid w:val="009F1FD4"/>
    <w:rsid w:val="009F2387"/>
    <w:rsid w:val="009F31AA"/>
    <w:rsid w:val="009F32CE"/>
    <w:rsid w:val="009F359C"/>
    <w:rsid w:val="009F39CA"/>
    <w:rsid w:val="009F43E3"/>
    <w:rsid w:val="009F573D"/>
    <w:rsid w:val="009F6136"/>
    <w:rsid w:val="009F7A20"/>
    <w:rsid w:val="00A014D2"/>
    <w:rsid w:val="00A01C96"/>
    <w:rsid w:val="00A01F91"/>
    <w:rsid w:val="00A020B5"/>
    <w:rsid w:val="00A02BB8"/>
    <w:rsid w:val="00A03801"/>
    <w:rsid w:val="00A054D2"/>
    <w:rsid w:val="00A06872"/>
    <w:rsid w:val="00A06F21"/>
    <w:rsid w:val="00A10A73"/>
    <w:rsid w:val="00A11A2E"/>
    <w:rsid w:val="00A13CC2"/>
    <w:rsid w:val="00A1411F"/>
    <w:rsid w:val="00A1437C"/>
    <w:rsid w:val="00A15B4C"/>
    <w:rsid w:val="00A204D1"/>
    <w:rsid w:val="00A21F23"/>
    <w:rsid w:val="00A2236C"/>
    <w:rsid w:val="00A2301B"/>
    <w:rsid w:val="00A2448F"/>
    <w:rsid w:val="00A2565E"/>
    <w:rsid w:val="00A261A5"/>
    <w:rsid w:val="00A2751C"/>
    <w:rsid w:val="00A30123"/>
    <w:rsid w:val="00A32057"/>
    <w:rsid w:val="00A3218D"/>
    <w:rsid w:val="00A3411E"/>
    <w:rsid w:val="00A35ED2"/>
    <w:rsid w:val="00A372C5"/>
    <w:rsid w:val="00A37A06"/>
    <w:rsid w:val="00A408C4"/>
    <w:rsid w:val="00A45B7A"/>
    <w:rsid w:val="00A4646F"/>
    <w:rsid w:val="00A46B12"/>
    <w:rsid w:val="00A4756A"/>
    <w:rsid w:val="00A502A8"/>
    <w:rsid w:val="00A50C90"/>
    <w:rsid w:val="00A52251"/>
    <w:rsid w:val="00A52EBE"/>
    <w:rsid w:val="00A53249"/>
    <w:rsid w:val="00A548B0"/>
    <w:rsid w:val="00A556E7"/>
    <w:rsid w:val="00A56272"/>
    <w:rsid w:val="00A60295"/>
    <w:rsid w:val="00A61CBF"/>
    <w:rsid w:val="00A63A46"/>
    <w:rsid w:val="00A64A08"/>
    <w:rsid w:val="00A71D7F"/>
    <w:rsid w:val="00A71DC2"/>
    <w:rsid w:val="00A72F8B"/>
    <w:rsid w:val="00A76F7B"/>
    <w:rsid w:val="00A82095"/>
    <w:rsid w:val="00A843EE"/>
    <w:rsid w:val="00A8561B"/>
    <w:rsid w:val="00A85938"/>
    <w:rsid w:val="00A859C0"/>
    <w:rsid w:val="00A923A6"/>
    <w:rsid w:val="00A93429"/>
    <w:rsid w:val="00A94B08"/>
    <w:rsid w:val="00A95B57"/>
    <w:rsid w:val="00A96CF2"/>
    <w:rsid w:val="00AA0560"/>
    <w:rsid w:val="00AA0A50"/>
    <w:rsid w:val="00AA1066"/>
    <w:rsid w:val="00AA1561"/>
    <w:rsid w:val="00AA1798"/>
    <w:rsid w:val="00AA2887"/>
    <w:rsid w:val="00AA5110"/>
    <w:rsid w:val="00AA5F1C"/>
    <w:rsid w:val="00AB385D"/>
    <w:rsid w:val="00AB56B1"/>
    <w:rsid w:val="00AB6789"/>
    <w:rsid w:val="00AC1B02"/>
    <w:rsid w:val="00AC1BE2"/>
    <w:rsid w:val="00AC411E"/>
    <w:rsid w:val="00AC42E8"/>
    <w:rsid w:val="00AC430A"/>
    <w:rsid w:val="00AC5BBD"/>
    <w:rsid w:val="00AC6F4F"/>
    <w:rsid w:val="00AC720B"/>
    <w:rsid w:val="00AD194F"/>
    <w:rsid w:val="00AD20FF"/>
    <w:rsid w:val="00AD5354"/>
    <w:rsid w:val="00AD7D88"/>
    <w:rsid w:val="00AD7D90"/>
    <w:rsid w:val="00AE1650"/>
    <w:rsid w:val="00AE17C9"/>
    <w:rsid w:val="00AE17CE"/>
    <w:rsid w:val="00AE2F8C"/>
    <w:rsid w:val="00AE3C6D"/>
    <w:rsid w:val="00AE5668"/>
    <w:rsid w:val="00AE744A"/>
    <w:rsid w:val="00AE771B"/>
    <w:rsid w:val="00AF07DD"/>
    <w:rsid w:val="00AF151B"/>
    <w:rsid w:val="00AF32A6"/>
    <w:rsid w:val="00AF4063"/>
    <w:rsid w:val="00AF43A3"/>
    <w:rsid w:val="00AF5B26"/>
    <w:rsid w:val="00AF7435"/>
    <w:rsid w:val="00B00F5B"/>
    <w:rsid w:val="00B025D4"/>
    <w:rsid w:val="00B04B70"/>
    <w:rsid w:val="00B063DA"/>
    <w:rsid w:val="00B06636"/>
    <w:rsid w:val="00B0698B"/>
    <w:rsid w:val="00B06D9E"/>
    <w:rsid w:val="00B107DD"/>
    <w:rsid w:val="00B114C3"/>
    <w:rsid w:val="00B121FA"/>
    <w:rsid w:val="00B124AD"/>
    <w:rsid w:val="00B13A4A"/>
    <w:rsid w:val="00B16EF3"/>
    <w:rsid w:val="00B2030E"/>
    <w:rsid w:val="00B20796"/>
    <w:rsid w:val="00B22F5C"/>
    <w:rsid w:val="00B23843"/>
    <w:rsid w:val="00B23FC8"/>
    <w:rsid w:val="00B25F44"/>
    <w:rsid w:val="00B26AD6"/>
    <w:rsid w:val="00B272E3"/>
    <w:rsid w:val="00B30D4A"/>
    <w:rsid w:val="00B30EFA"/>
    <w:rsid w:val="00B31D3E"/>
    <w:rsid w:val="00B31D69"/>
    <w:rsid w:val="00B34DFB"/>
    <w:rsid w:val="00B356E4"/>
    <w:rsid w:val="00B36136"/>
    <w:rsid w:val="00B36580"/>
    <w:rsid w:val="00B37E6B"/>
    <w:rsid w:val="00B40AF4"/>
    <w:rsid w:val="00B41DB6"/>
    <w:rsid w:val="00B46BFE"/>
    <w:rsid w:val="00B46F60"/>
    <w:rsid w:val="00B47EE7"/>
    <w:rsid w:val="00B51427"/>
    <w:rsid w:val="00B51A13"/>
    <w:rsid w:val="00B51EAF"/>
    <w:rsid w:val="00B52D35"/>
    <w:rsid w:val="00B537F5"/>
    <w:rsid w:val="00B54DB1"/>
    <w:rsid w:val="00B55A28"/>
    <w:rsid w:val="00B60F1E"/>
    <w:rsid w:val="00B61DBD"/>
    <w:rsid w:val="00B61E8A"/>
    <w:rsid w:val="00B626A0"/>
    <w:rsid w:val="00B632E8"/>
    <w:rsid w:val="00B63D0B"/>
    <w:rsid w:val="00B64492"/>
    <w:rsid w:val="00B64C9F"/>
    <w:rsid w:val="00B66A97"/>
    <w:rsid w:val="00B67E10"/>
    <w:rsid w:val="00B702FB"/>
    <w:rsid w:val="00B726B5"/>
    <w:rsid w:val="00B75F72"/>
    <w:rsid w:val="00B76839"/>
    <w:rsid w:val="00B80499"/>
    <w:rsid w:val="00B80F40"/>
    <w:rsid w:val="00B821AA"/>
    <w:rsid w:val="00B83D83"/>
    <w:rsid w:val="00B84F4E"/>
    <w:rsid w:val="00B86F72"/>
    <w:rsid w:val="00B87A4E"/>
    <w:rsid w:val="00B90211"/>
    <w:rsid w:val="00B91136"/>
    <w:rsid w:val="00B91393"/>
    <w:rsid w:val="00B922DB"/>
    <w:rsid w:val="00B92B4F"/>
    <w:rsid w:val="00B92B82"/>
    <w:rsid w:val="00B93178"/>
    <w:rsid w:val="00B934A4"/>
    <w:rsid w:val="00B94BD9"/>
    <w:rsid w:val="00B957B6"/>
    <w:rsid w:val="00B95848"/>
    <w:rsid w:val="00B96434"/>
    <w:rsid w:val="00BA0EFD"/>
    <w:rsid w:val="00BA101A"/>
    <w:rsid w:val="00BA15FC"/>
    <w:rsid w:val="00BA349B"/>
    <w:rsid w:val="00BA383E"/>
    <w:rsid w:val="00BA4AE3"/>
    <w:rsid w:val="00BA4E17"/>
    <w:rsid w:val="00BB06AF"/>
    <w:rsid w:val="00BB1173"/>
    <w:rsid w:val="00BB17EA"/>
    <w:rsid w:val="00BB1889"/>
    <w:rsid w:val="00BB2F1A"/>
    <w:rsid w:val="00BB3EAE"/>
    <w:rsid w:val="00BB5052"/>
    <w:rsid w:val="00BB5224"/>
    <w:rsid w:val="00BB5679"/>
    <w:rsid w:val="00BB6A32"/>
    <w:rsid w:val="00BB7C07"/>
    <w:rsid w:val="00BB7CFA"/>
    <w:rsid w:val="00BC23C3"/>
    <w:rsid w:val="00BC5B67"/>
    <w:rsid w:val="00BC5DD8"/>
    <w:rsid w:val="00BC63EB"/>
    <w:rsid w:val="00BC6499"/>
    <w:rsid w:val="00BC6ACB"/>
    <w:rsid w:val="00BC73E0"/>
    <w:rsid w:val="00BC75BB"/>
    <w:rsid w:val="00BD0B3D"/>
    <w:rsid w:val="00BD1391"/>
    <w:rsid w:val="00BD45E3"/>
    <w:rsid w:val="00BD501C"/>
    <w:rsid w:val="00BD5802"/>
    <w:rsid w:val="00BD7FDF"/>
    <w:rsid w:val="00BE0FEA"/>
    <w:rsid w:val="00BE28E0"/>
    <w:rsid w:val="00BE3107"/>
    <w:rsid w:val="00BE381D"/>
    <w:rsid w:val="00BE4447"/>
    <w:rsid w:val="00BE6831"/>
    <w:rsid w:val="00BE7C2E"/>
    <w:rsid w:val="00BF0227"/>
    <w:rsid w:val="00BF17E5"/>
    <w:rsid w:val="00BF2D1D"/>
    <w:rsid w:val="00BF3E00"/>
    <w:rsid w:val="00BF4110"/>
    <w:rsid w:val="00BF7620"/>
    <w:rsid w:val="00BF76BB"/>
    <w:rsid w:val="00BF7DD2"/>
    <w:rsid w:val="00C00166"/>
    <w:rsid w:val="00C004F9"/>
    <w:rsid w:val="00C017E2"/>
    <w:rsid w:val="00C03995"/>
    <w:rsid w:val="00C03A1C"/>
    <w:rsid w:val="00C10ACD"/>
    <w:rsid w:val="00C12223"/>
    <w:rsid w:val="00C12CC3"/>
    <w:rsid w:val="00C13403"/>
    <w:rsid w:val="00C13C59"/>
    <w:rsid w:val="00C13C9A"/>
    <w:rsid w:val="00C14483"/>
    <w:rsid w:val="00C14FB3"/>
    <w:rsid w:val="00C1540E"/>
    <w:rsid w:val="00C159EB"/>
    <w:rsid w:val="00C15D0E"/>
    <w:rsid w:val="00C177A0"/>
    <w:rsid w:val="00C20506"/>
    <w:rsid w:val="00C20613"/>
    <w:rsid w:val="00C2108F"/>
    <w:rsid w:val="00C21BF7"/>
    <w:rsid w:val="00C246F9"/>
    <w:rsid w:val="00C26184"/>
    <w:rsid w:val="00C30504"/>
    <w:rsid w:val="00C30C34"/>
    <w:rsid w:val="00C310B1"/>
    <w:rsid w:val="00C3292B"/>
    <w:rsid w:val="00C33AC1"/>
    <w:rsid w:val="00C3422F"/>
    <w:rsid w:val="00C370F9"/>
    <w:rsid w:val="00C419D0"/>
    <w:rsid w:val="00C427F5"/>
    <w:rsid w:val="00C44CB6"/>
    <w:rsid w:val="00C47037"/>
    <w:rsid w:val="00C47170"/>
    <w:rsid w:val="00C47D92"/>
    <w:rsid w:val="00C50403"/>
    <w:rsid w:val="00C50404"/>
    <w:rsid w:val="00C507D3"/>
    <w:rsid w:val="00C50915"/>
    <w:rsid w:val="00C51B68"/>
    <w:rsid w:val="00C52578"/>
    <w:rsid w:val="00C542D7"/>
    <w:rsid w:val="00C54901"/>
    <w:rsid w:val="00C55F89"/>
    <w:rsid w:val="00C570C5"/>
    <w:rsid w:val="00C6073D"/>
    <w:rsid w:val="00C617AA"/>
    <w:rsid w:val="00C65569"/>
    <w:rsid w:val="00C675BA"/>
    <w:rsid w:val="00C700F7"/>
    <w:rsid w:val="00C73580"/>
    <w:rsid w:val="00C73A63"/>
    <w:rsid w:val="00C73B48"/>
    <w:rsid w:val="00C76D20"/>
    <w:rsid w:val="00C77CCE"/>
    <w:rsid w:val="00C80624"/>
    <w:rsid w:val="00C81B4E"/>
    <w:rsid w:val="00C83690"/>
    <w:rsid w:val="00C847D6"/>
    <w:rsid w:val="00C85335"/>
    <w:rsid w:val="00C855C2"/>
    <w:rsid w:val="00C876B2"/>
    <w:rsid w:val="00C87790"/>
    <w:rsid w:val="00C90151"/>
    <w:rsid w:val="00C9084B"/>
    <w:rsid w:val="00C91143"/>
    <w:rsid w:val="00C9167E"/>
    <w:rsid w:val="00C9298F"/>
    <w:rsid w:val="00C92BFF"/>
    <w:rsid w:val="00C97811"/>
    <w:rsid w:val="00CA1D68"/>
    <w:rsid w:val="00CA2947"/>
    <w:rsid w:val="00CA484D"/>
    <w:rsid w:val="00CA5C3A"/>
    <w:rsid w:val="00CB0960"/>
    <w:rsid w:val="00CB0BCD"/>
    <w:rsid w:val="00CB2FCC"/>
    <w:rsid w:val="00CB2FD1"/>
    <w:rsid w:val="00CB4E92"/>
    <w:rsid w:val="00CB5342"/>
    <w:rsid w:val="00CB546E"/>
    <w:rsid w:val="00CB73BA"/>
    <w:rsid w:val="00CB7466"/>
    <w:rsid w:val="00CB782E"/>
    <w:rsid w:val="00CB791F"/>
    <w:rsid w:val="00CC1785"/>
    <w:rsid w:val="00CC20E6"/>
    <w:rsid w:val="00CC2138"/>
    <w:rsid w:val="00CC2807"/>
    <w:rsid w:val="00CC3DF5"/>
    <w:rsid w:val="00CC413E"/>
    <w:rsid w:val="00CC4143"/>
    <w:rsid w:val="00CC44B9"/>
    <w:rsid w:val="00CC7C42"/>
    <w:rsid w:val="00CD1615"/>
    <w:rsid w:val="00CD162D"/>
    <w:rsid w:val="00CD1968"/>
    <w:rsid w:val="00CD1D21"/>
    <w:rsid w:val="00CD1E07"/>
    <w:rsid w:val="00CD3794"/>
    <w:rsid w:val="00CD6E59"/>
    <w:rsid w:val="00CD7557"/>
    <w:rsid w:val="00CE0A06"/>
    <w:rsid w:val="00CE39E6"/>
    <w:rsid w:val="00CE529C"/>
    <w:rsid w:val="00CE5CED"/>
    <w:rsid w:val="00CE6B20"/>
    <w:rsid w:val="00CF0C86"/>
    <w:rsid w:val="00CF1674"/>
    <w:rsid w:val="00CF34D1"/>
    <w:rsid w:val="00CF388D"/>
    <w:rsid w:val="00CF52A6"/>
    <w:rsid w:val="00CF5B87"/>
    <w:rsid w:val="00CF7B69"/>
    <w:rsid w:val="00D02E43"/>
    <w:rsid w:val="00D02F77"/>
    <w:rsid w:val="00D04AA7"/>
    <w:rsid w:val="00D05238"/>
    <w:rsid w:val="00D05387"/>
    <w:rsid w:val="00D05A11"/>
    <w:rsid w:val="00D06410"/>
    <w:rsid w:val="00D068A0"/>
    <w:rsid w:val="00D07865"/>
    <w:rsid w:val="00D10961"/>
    <w:rsid w:val="00D10A9F"/>
    <w:rsid w:val="00D13203"/>
    <w:rsid w:val="00D14CD1"/>
    <w:rsid w:val="00D14D66"/>
    <w:rsid w:val="00D15774"/>
    <w:rsid w:val="00D216E4"/>
    <w:rsid w:val="00D22C8B"/>
    <w:rsid w:val="00D25F13"/>
    <w:rsid w:val="00D33A7E"/>
    <w:rsid w:val="00D36345"/>
    <w:rsid w:val="00D37434"/>
    <w:rsid w:val="00D37B92"/>
    <w:rsid w:val="00D40016"/>
    <w:rsid w:val="00D40BE6"/>
    <w:rsid w:val="00D425A6"/>
    <w:rsid w:val="00D45651"/>
    <w:rsid w:val="00D47FA7"/>
    <w:rsid w:val="00D54C6F"/>
    <w:rsid w:val="00D55085"/>
    <w:rsid w:val="00D55875"/>
    <w:rsid w:val="00D56D2F"/>
    <w:rsid w:val="00D60273"/>
    <w:rsid w:val="00D60ADC"/>
    <w:rsid w:val="00D6386E"/>
    <w:rsid w:val="00D6744A"/>
    <w:rsid w:val="00D71442"/>
    <w:rsid w:val="00D71FDD"/>
    <w:rsid w:val="00D73141"/>
    <w:rsid w:val="00D73B5C"/>
    <w:rsid w:val="00D74BC7"/>
    <w:rsid w:val="00D75CE1"/>
    <w:rsid w:val="00D77808"/>
    <w:rsid w:val="00D81489"/>
    <w:rsid w:val="00D81CA5"/>
    <w:rsid w:val="00D82B76"/>
    <w:rsid w:val="00D84C4D"/>
    <w:rsid w:val="00D85ACC"/>
    <w:rsid w:val="00D85AFC"/>
    <w:rsid w:val="00D87F0C"/>
    <w:rsid w:val="00D9266E"/>
    <w:rsid w:val="00D93F63"/>
    <w:rsid w:val="00D94BBE"/>
    <w:rsid w:val="00D95395"/>
    <w:rsid w:val="00D958DA"/>
    <w:rsid w:val="00D95CB4"/>
    <w:rsid w:val="00D96846"/>
    <w:rsid w:val="00D976B8"/>
    <w:rsid w:val="00D97E87"/>
    <w:rsid w:val="00DA030C"/>
    <w:rsid w:val="00DA0D98"/>
    <w:rsid w:val="00DA13F9"/>
    <w:rsid w:val="00DA6A0A"/>
    <w:rsid w:val="00DA77DA"/>
    <w:rsid w:val="00DB248E"/>
    <w:rsid w:val="00DB3B52"/>
    <w:rsid w:val="00DB3E3D"/>
    <w:rsid w:val="00DB503A"/>
    <w:rsid w:val="00DB6313"/>
    <w:rsid w:val="00DB7A45"/>
    <w:rsid w:val="00DC0239"/>
    <w:rsid w:val="00DC220C"/>
    <w:rsid w:val="00DC333D"/>
    <w:rsid w:val="00DC37CB"/>
    <w:rsid w:val="00DC4499"/>
    <w:rsid w:val="00DC5B56"/>
    <w:rsid w:val="00DC6151"/>
    <w:rsid w:val="00DC6DE1"/>
    <w:rsid w:val="00DD1032"/>
    <w:rsid w:val="00DD108F"/>
    <w:rsid w:val="00DD1BE4"/>
    <w:rsid w:val="00DD2A65"/>
    <w:rsid w:val="00DD45F0"/>
    <w:rsid w:val="00DD6AD5"/>
    <w:rsid w:val="00DD7EAD"/>
    <w:rsid w:val="00DE0888"/>
    <w:rsid w:val="00DE2749"/>
    <w:rsid w:val="00DE2B69"/>
    <w:rsid w:val="00DE2FE8"/>
    <w:rsid w:val="00DE3DC2"/>
    <w:rsid w:val="00DE5AEE"/>
    <w:rsid w:val="00DE6868"/>
    <w:rsid w:val="00DE7C29"/>
    <w:rsid w:val="00DE7CC4"/>
    <w:rsid w:val="00DF0DAB"/>
    <w:rsid w:val="00DF14CE"/>
    <w:rsid w:val="00DF7348"/>
    <w:rsid w:val="00E00A6A"/>
    <w:rsid w:val="00E02915"/>
    <w:rsid w:val="00E03454"/>
    <w:rsid w:val="00E06668"/>
    <w:rsid w:val="00E07D9B"/>
    <w:rsid w:val="00E07FA3"/>
    <w:rsid w:val="00E1350F"/>
    <w:rsid w:val="00E15E4F"/>
    <w:rsid w:val="00E16AE2"/>
    <w:rsid w:val="00E17892"/>
    <w:rsid w:val="00E25F98"/>
    <w:rsid w:val="00E27010"/>
    <w:rsid w:val="00E31A3F"/>
    <w:rsid w:val="00E339AD"/>
    <w:rsid w:val="00E340DC"/>
    <w:rsid w:val="00E35C38"/>
    <w:rsid w:val="00E40860"/>
    <w:rsid w:val="00E42325"/>
    <w:rsid w:val="00E43DC3"/>
    <w:rsid w:val="00E4456B"/>
    <w:rsid w:val="00E467AC"/>
    <w:rsid w:val="00E47E45"/>
    <w:rsid w:val="00E50F63"/>
    <w:rsid w:val="00E5100E"/>
    <w:rsid w:val="00E51044"/>
    <w:rsid w:val="00E51DAE"/>
    <w:rsid w:val="00E51F66"/>
    <w:rsid w:val="00E5226C"/>
    <w:rsid w:val="00E523CB"/>
    <w:rsid w:val="00E54B93"/>
    <w:rsid w:val="00E56799"/>
    <w:rsid w:val="00E57435"/>
    <w:rsid w:val="00E61D1D"/>
    <w:rsid w:val="00E623D8"/>
    <w:rsid w:val="00E656E4"/>
    <w:rsid w:val="00E66D0D"/>
    <w:rsid w:val="00E67BC6"/>
    <w:rsid w:val="00E70FF9"/>
    <w:rsid w:val="00E735A7"/>
    <w:rsid w:val="00E7412B"/>
    <w:rsid w:val="00E74600"/>
    <w:rsid w:val="00E76BA4"/>
    <w:rsid w:val="00E77EF0"/>
    <w:rsid w:val="00E8206A"/>
    <w:rsid w:val="00E82535"/>
    <w:rsid w:val="00E834E3"/>
    <w:rsid w:val="00E87718"/>
    <w:rsid w:val="00E87F6A"/>
    <w:rsid w:val="00E916D3"/>
    <w:rsid w:val="00E92319"/>
    <w:rsid w:val="00E925A9"/>
    <w:rsid w:val="00E93A90"/>
    <w:rsid w:val="00E93D4D"/>
    <w:rsid w:val="00E97424"/>
    <w:rsid w:val="00EA0A48"/>
    <w:rsid w:val="00EA1DE1"/>
    <w:rsid w:val="00EA233F"/>
    <w:rsid w:val="00EA3106"/>
    <w:rsid w:val="00EA331A"/>
    <w:rsid w:val="00EA51B1"/>
    <w:rsid w:val="00EA7C11"/>
    <w:rsid w:val="00EA7F54"/>
    <w:rsid w:val="00EB35C4"/>
    <w:rsid w:val="00EB38B3"/>
    <w:rsid w:val="00EB4BAF"/>
    <w:rsid w:val="00EB57CE"/>
    <w:rsid w:val="00EC0A18"/>
    <w:rsid w:val="00EC1522"/>
    <w:rsid w:val="00EC2AF4"/>
    <w:rsid w:val="00EC3041"/>
    <w:rsid w:val="00EC4383"/>
    <w:rsid w:val="00EC44A3"/>
    <w:rsid w:val="00EC4925"/>
    <w:rsid w:val="00EC4D43"/>
    <w:rsid w:val="00EC7529"/>
    <w:rsid w:val="00ED0F91"/>
    <w:rsid w:val="00ED1125"/>
    <w:rsid w:val="00ED2E9D"/>
    <w:rsid w:val="00ED46D2"/>
    <w:rsid w:val="00ED514F"/>
    <w:rsid w:val="00ED6243"/>
    <w:rsid w:val="00ED6869"/>
    <w:rsid w:val="00ED7442"/>
    <w:rsid w:val="00ED773A"/>
    <w:rsid w:val="00EE1A0B"/>
    <w:rsid w:val="00EE1D50"/>
    <w:rsid w:val="00EE3A86"/>
    <w:rsid w:val="00EE4E66"/>
    <w:rsid w:val="00EE7AF7"/>
    <w:rsid w:val="00EF00A6"/>
    <w:rsid w:val="00EF6499"/>
    <w:rsid w:val="00EF6C62"/>
    <w:rsid w:val="00F01AD3"/>
    <w:rsid w:val="00F0376A"/>
    <w:rsid w:val="00F04AE9"/>
    <w:rsid w:val="00F052AE"/>
    <w:rsid w:val="00F06F10"/>
    <w:rsid w:val="00F10233"/>
    <w:rsid w:val="00F11D83"/>
    <w:rsid w:val="00F14FC0"/>
    <w:rsid w:val="00F1529E"/>
    <w:rsid w:val="00F1553F"/>
    <w:rsid w:val="00F1591B"/>
    <w:rsid w:val="00F15FD1"/>
    <w:rsid w:val="00F20418"/>
    <w:rsid w:val="00F21791"/>
    <w:rsid w:val="00F2454F"/>
    <w:rsid w:val="00F25865"/>
    <w:rsid w:val="00F25B71"/>
    <w:rsid w:val="00F26687"/>
    <w:rsid w:val="00F27309"/>
    <w:rsid w:val="00F32E84"/>
    <w:rsid w:val="00F34BE5"/>
    <w:rsid w:val="00F40AFF"/>
    <w:rsid w:val="00F40EEE"/>
    <w:rsid w:val="00F41170"/>
    <w:rsid w:val="00F42BD6"/>
    <w:rsid w:val="00F43214"/>
    <w:rsid w:val="00F470C4"/>
    <w:rsid w:val="00F47752"/>
    <w:rsid w:val="00F47B63"/>
    <w:rsid w:val="00F47D1C"/>
    <w:rsid w:val="00F50A39"/>
    <w:rsid w:val="00F53C55"/>
    <w:rsid w:val="00F54832"/>
    <w:rsid w:val="00F562BE"/>
    <w:rsid w:val="00F57713"/>
    <w:rsid w:val="00F61100"/>
    <w:rsid w:val="00F61B92"/>
    <w:rsid w:val="00F6259C"/>
    <w:rsid w:val="00F62BCD"/>
    <w:rsid w:val="00F65152"/>
    <w:rsid w:val="00F665D9"/>
    <w:rsid w:val="00F6699D"/>
    <w:rsid w:val="00F66CD0"/>
    <w:rsid w:val="00F66CDF"/>
    <w:rsid w:val="00F67A70"/>
    <w:rsid w:val="00F707C2"/>
    <w:rsid w:val="00F71B5D"/>
    <w:rsid w:val="00F73123"/>
    <w:rsid w:val="00F757D7"/>
    <w:rsid w:val="00F75FCE"/>
    <w:rsid w:val="00F77409"/>
    <w:rsid w:val="00F8043F"/>
    <w:rsid w:val="00F81364"/>
    <w:rsid w:val="00F81523"/>
    <w:rsid w:val="00F82180"/>
    <w:rsid w:val="00F82D2B"/>
    <w:rsid w:val="00F8451A"/>
    <w:rsid w:val="00F8549E"/>
    <w:rsid w:val="00F85C36"/>
    <w:rsid w:val="00F90A29"/>
    <w:rsid w:val="00F917CA"/>
    <w:rsid w:val="00F919A8"/>
    <w:rsid w:val="00F925DD"/>
    <w:rsid w:val="00F94ACF"/>
    <w:rsid w:val="00F95E42"/>
    <w:rsid w:val="00F965DB"/>
    <w:rsid w:val="00F97E52"/>
    <w:rsid w:val="00FA1837"/>
    <w:rsid w:val="00FA2564"/>
    <w:rsid w:val="00FA3093"/>
    <w:rsid w:val="00FA5258"/>
    <w:rsid w:val="00FA7541"/>
    <w:rsid w:val="00FB0849"/>
    <w:rsid w:val="00FB12CF"/>
    <w:rsid w:val="00FB3199"/>
    <w:rsid w:val="00FB3641"/>
    <w:rsid w:val="00FC0EBB"/>
    <w:rsid w:val="00FC2506"/>
    <w:rsid w:val="00FC2C2E"/>
    <w:rsid w:val="00FC59A8"/>
    <w:rsid w:val="00FC7FC4"/>
    <w:rsid w:val="00FD1E97"/>
    <w:rsid w:val="00FD2A24"/>
    <w:rsid w:val="00FD2E14"/>
    <w:rsid w:val="00FD4155"/>
    <w:rsid w:val="00FD469F"/>
    <w:rsid w:val="00FD5D14"/>
    <w:rsid w:val="00FE0D24"/>
    <w:rsid w:val="00FE1250"/>
    <w:rsid w:val="00FE1516"/>
    <w:rsid w:val="00FE2693"/>
    <w:rsid w:val="00FE3501"/>
    <w:rsid w:val="00FE3D6D"/>
    <w:rsid w:val="00FE525C"/>
    <w:rsid w:val="00FE6116"/>
    <w:rsid w:val="00FE6782"/>
    <w:rsid w:val="00FE7C13"/>
    <w:rsid w:val="00FF066A"/>
    <w:rsid w:val="00FF2F55"/>
    <w:rsid w:val="00FF4641"/>
    <w:rsid w:val="00FF62CA"/>
    <w:rsid w:val="00FF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EB58"/>
  <w15:chartTrackingRefBased/>
  <w15:docId w15:val="{451C88E8-7A5E-4C38-8210-4C583A00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CD"/>
    <w:pPr>
      <w:spacing w:after="80" w:line="240" w:lineRule="auto"/>
    </w:pPr>
  </w:style>
  <w:style w:type="paragraph" w:styleId="Heading1">
    <w:name w:val="heading 1"/>
    <w:basedOn w:val="Normal"/>
    <w:next w:val="Normal"/>
    <w:link w:val="Heading1Char"/>
    <w:uiPriority w:val="9"/>
    <w:qFormat/>
    <w:rsid w:val="00ED46D2"/>
    <w:pPr>
      <w:keepNext/>
      <w:keepLines/>
      <w:spacing w:before="240" w:after="0"/>
      <w:outlineLvl w:val="0"/>
    </w:pPr>
    <w:rPr>
      <w:rFonts w:eastAsiaTheme="majorEastAsia" w:cstheme="majorBidi"/>
      <w:b/>
      <w:color w:val="0D0D0D" w:themeColor="text1" w:themeTint="F2"/>
      <w:sz w:val="24"/>
      <w:szCs w:val="24"/>
    </w:rPr>
  </w:style>
  <w:style w:type="paragraph" w:styleId="Heading2">
    <w:name w:val="heading 2"/>
    <w:basedOn w:val="Normal"/>
    <w:next w:val="Normal"/>
    <w:link w:val="Heading2Char"/>
    <w:uiPriority w:val="9"/>
    <w:unhideWhenUsed/>
    <w:qFormat/>
    <w:rsid w:val="00F8451A"/>
    <w:pPr>
      <w:keepNext/>
      <w:keepLines/>
      <w:spacing w:after="120"/>
      <w:outlineLvl w:val="1"/>
    </w:pPr>
    <w:rPr>
      <w:rFonts w:eastAsiaTheme="majorEastAsia" w:cstheme="majorBidi"/>
      <w:b/>
      <w:color w:val="0D0D0D" w:themeColor="text1" w:themeTint="F2"/>
      <w:szCs w:val="32"/>
    </w:rPr>
  </w:style>
  <w:style w:type="paragraph" w:styleId="Heading3">
    <w:name w:val="heading 3"/>
    <w:basedOn w:val="Normal"/>
    <w:next w:val="Normal"/>
    <w:link w:val="Heading3Char"/>
    <w:uiPriority w:val="9"/>
    <w:semiHidden/>
    <w:unhideWhenUsed/>
    <w:qFormat/>
    <w:rsid w:val="005757A4"/>
    <w:pPr>
      <w:keepNext/>
      <w:keepLines/>
      <w:spacing w:before="16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7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57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57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57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57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57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autoRedefine/>
    <w:qFormat/>
    <w:rsid w:val="00925A1D"/>
    <w:pPr>
      <w:ind w:left="0"/>
    </w:pPr>
  </w:style>
  <w:style w:type="paragraph" w:styleId="ListParagraph">
    <w:name w:val="List Paragraph"/>
    <w:basedOn w:val="Normal"/>
    <w:uiPriority w:val="34"/>
    <w:qFormat/>
    <w:rsid w:val="00925A1D"/>
    <w:pPr>
      <w:ind w:left="720"/>
      <w:contextualSpacing/>
    </w:pPr>
  </w:style>
  <w:style w:type="paragraph" w:customStyle="1" w:styleId="Bullet2">
    <w:name w:val="Bullet 2"/>
    <w:basedOn w:val="Normal"/>
    <w:autoRedefine/>
    <w:qFormat/>
    <w:rsid w:val="00925A1D"/>
    <w:pPr>
      <w:numPr>
        <w:numId w:val="2"/>
      </w:numPr>
      <w:contextualSpacing/>
    </w:pPr>
  </w:style>
  <w:style w:type="paragraph" w:customStyle="1" w:styleId="Bullet1">
    <w:name w:val="Bullet 1"/>
    <w:basedOn w:val="ListParagraph"/>
    <w:qFormat/>
    <w:rsid w:val="00C33AC1"/>
    <w:pPr>
      <w:numPr>
        <w:numId w:val="9"/>
      </w:numPr>
      <w:ind w:left="360"/>
    </w:pPr>
  </w:style>
  <w:style w:type="character" w:customStyle="1" w:styleId="Heading1Char">
    <w:name w:val="Heading 1 Char"/>
    <w:basedOn w:val="DefaultParagraphFont"/>
    <w:link w:val="Heading1"/>
    <w:uiPriority w:val="9"/>
    <w:rsid w:val="00ED46D2"/>
    <w:rPr>
      <w:rFonts w:eastAsiaTheme="majorEastAsia" w:cstheme="majorBidi"/>
      <w:b/>
      <w:color w:val="0D0D0D" w:themeColor="text1" w:themeTint="F2"/>
      <w:sz w:val="24"/>
      <w:szCs w:val="24"/>
    </w:rPr>
  </w:style>
  <w:style w:type="character" w:styleId="PageNumber">
    <w:name w:val="page number"/>
    <w:basedOn w:val="DefaultParagraphFont"/>
    <w:uiPriority w:val="99"/>
    <w:semiHidden/>
    <w:unhideWhenUsed/>
    <w:rsid w:val="00D40BE6"/>
    <w:rPr>
      <w:rFonts w:ascii="Aptos" w:hAnsi="Aptos"/>
      <w:color w:val="000000" w:themeColor="text1"/>
      <w:sz w:val="16"/>
    </w:rPr>
  </w:style>
  <w:style w:type="paragraph" w:styleId="Title">
    <w:name w:val="Title"/>
    <w:basedOn w:val="Normal"/>
    <w:next w:val="Normal"/>
    <w:link w:val="TitleChar"/>
    <w:uiPriority w:val="10"/>
    <w:qFormat/>
    <w:rsid w:val="000166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166E1"/>
    <w:rPr>
      <w:rFonts w:asciiTheme="majorHAnsi" w:eastAsiaTheme="majorEastAsia" w:hAnsiTheme="majorHAnsi" w:cstheme="majorBidi"/>
      <w:spacing w:val="-10"/>
      <w:kern w:val="28"/>
      <w:sz w:val="28"/>
      <w:szCs w:val="56"/>
    </w:rPr>
  </w:style>
  <w:style w:type="paragraph" w:customStyle="1" w:styleId="Indentedparagraph">
    <w:name w:val="Indented paragraph"/>
    <w:basedOn w:val="Normal"/>
    <w:qFormat/>
    <w:rsid w:val="00DD2A65"/>
    <w:pPr>
      <w:ind w:left="360"/>
    </w:pPr>
  </w:style>
  <w:style w:type="paragraph" w:styleId="FootnoteText">
    <w:name w:val="footnote text"/>
    <w:basedOn w:val="Normal"/>
    <w:link w:val="FootnoteTextChar"/>
    <w:uiPriority w:val="99"/>
    <w:unhideWhenUsed/>
    <w:qFormat/>
    <w:rsid w:val="004C39F5"/>
    <w:pPr>
      <w:spacing w:after="0"/>
    </w:pPr>
    <w:rPr>
      <w:sz w:val="18"/>
      <w:szCs w:val="20"/>
    </w:rPr>
  </w:style>
  <w:style w:type="character" w:customStyle="1" w:styleId="FootnoteTextChar">
    <w:name w:val="Footnote Text Char"/>
    <w:basedOn w:val="DefaultParagraphFont"/>
    <w:link w:val="FootnoteText"/>
    <w:uiPriority w:val="99"/>
    <w:rsid w:val="004C39F5"/>
    <w:rPr>
      <w:sz w:val="18"/>
      <w:szCs w:val="20"/>
    </w:rPr>
  </w:style>
  <w:style w:type="character" w:customStyle="1" w:styleId="Heading2Char">
    <w:name w:val="Heading 2 Char"/>
    <w:basedOn w:val="DefaultParagraphFont"/>
    <w:link w:val="Heading2"/>
    <w:uiPriority w:val="9"/>
    <w:rsid w:val="00F8451A"/>
    <w:rPr>
      <w:rFonts w:eastAsiaTheme="majorEastAsia" w:cstheme="majorBidi"/>
      <w:b/>
      <w:color w:val="0D0D0D" w:themeColor="text1" w:themeTint="F2"/>
      <w:szCs w:val="32"/>
    </w:rPr>
  </w:style>
  <w:style w:type="character" w:customStyle="1" w:styleId="Heading3Char">
    <w:name w:val="Heading 3 Char"/>
    <w:basedOn w:val="DefaultParagraphFont"/>
    <w:link w:val="Heading3"/>
    <w:uiPriority w:val="9"/>
    <w:semiHidden/>
    <w:rsid w:val="005757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7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57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57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57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57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57A4"/>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5757A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7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57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57A4"/>
    <w:rPr>
      <w:i/>
      <w:iCs/>
      <w:color w:val="404040" w:themeColor="text1" w:themeTint="BF"/>
    </w:rPr>
  </w:style>
  <w:style w:type="character" w:styleId="IntenseEmphasis">
    <w:name w:val="Intense Emphasis"/>
    <w:basedOn w:val="DefaultParagraphFont"/>
    <w:uiPriority w:val="21"/>
    <w:qFormat/>
    <w:rsid w:val="005757A4"/>
    <w:rPr>
      <w:i/>
      <w:iCs/>
      <w:color w:val="0F4761" w:themeColor="accent1" w:themeShade="BF"/>
    </w:rPr>
  </w:style>
  <w:style w:type="paragraph" w:styleId="IntenseQuote">
    <w:name w:val="Intense Quote"/>
    <w:basedOn w:val="Normal"/>
    <w:next w:val="Normal"/>
    <w:link w:val="IntenseQuoteChar"/>
    <w:uiPriority w:val="30"/>
    <w:qFormat/>
    <w:rsid w:val="00575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7A4"/>
    <w:rPr>
      <w:i/>
      <w:iCs/>
      <w:color w:val="0F4761" w:themeColor="accent1" w:themeShade="BF"/>
    </w:rPr>
  </w:style>
  <w:style w:type="character" w:styleId="IntenseReference">
    <w:name w:val="Intense Reference"/>
    <w:basedOn w:val="DefaultParagraphFont"/>
    <w:uiPriority w:val="32"/>
    <w:qFormat/>
    <w:rsid w:val="005757A4"/>
    <w:rPr>
      <w:b/>
      <w:bCs/>
      <w:smallCaps/>
      <w:color w:val="0F4761" w:themeColor="accent1" w:themeShade="BF"/>
      <w:spacing w:val="5"/>
    </w:rPr>
  </w:style>
  <w:style w:type="character" w:styleId="Hyperlink">
    <w:name w:val="Hyperlink"/>
    <w:basedOn w:val="DefaultParagraphFont"/>
    <w:uiPriority w:val="99"/>
    <w:unhideWhenUsed/>
    <w:rsid w:val="005757A4"/>
    <w:rPr>
      <w:color w:val="467886" w:themeColor="hyperlink"/>
      <w:u w:val="single"/>
    </w:rPr>
  </w:style>
  <w:style w:type="paragraph" w:styleId="EndnoteText">
    <w:name w:val="endnote text"/>
    <w:basedOn w:val="Normal"/>
    <w:link w:val="EndnoteTextChar"/>
    <w:uiPriority w:val="99"/>
    <w:qFormat/>
    <w:rsid w:val="003448CD"/>
    <w:pPr>
      <w:spacing w:after="60"/>
    </w:pPr>
    <w:rPr>
      <w:color w:val="000000" w:themeColor="text1"/>
      <w:sz w:val="18"/>
      <w:szCs w:val="20"/>
    </w:rPr>
  </w:style>
  <w:style w:type="character" w:customStyle="1" w:styleId="EndnoteTextChar">
    <w:name w:val="Endnote Text Char"/>
    <w:basedOn w:val="DefaultParagraphFont"/>
    <w:link w:val="EndnoteText"/>
    <w:uiPriority w:val="99"/>
    <w:rsid w:val="003448CD"/>
    <w:rPr>
      <w:color w:val="000000" w:themeColor="text1"/>
      <w:sz w:val="18"/>
      <w:szCs w:val="20"/>
    </w:rPr>
  </w:style>
  <w:style w:type="character" w:styleId="EndnoteReference">
    <w:name w:val="endnote reference"/>
    <w:basedOn w:val="DefaultParagraphFont"/>
    <w:uiPriority w:val="99"/>
    <w:qFormat/>
    <w:rsid w:val="005757A4"/>
    <w:rPr>
      <w:rFonts w:ascii="Aptos" w:hAnsi="Aptos"/>
      <w:sz w:val="22"/>
      <w:vertAlign w:val="superscript"/>
    </w:rPr>
  </w:style>
  <w:style w:type="character" w:styleId="CommentReference">
    <w:name w:val="annotation reference"/>
    <w:basedOn w:val="DefaultParagraphFont"/>
    <w:uiPriority w:val="99"/>
    <w:semiHidden/>
    <w:unhideWhenUsed/>
    <w:rsid w:val="005757A4"/>
    <w:rPr>
      <w:sz w:val="16"/>
      <w:szCs w:val="16"/>
    </w:rPr>
  </w:style>
  <w:style w:type="paragraph" w:styleId="CommentText">
    <w:name w:val="annotation text"/>
    <w:basedOn w:val="Normal"/>
    <w:link w:val="CommentTextChar"/>
    <w:uiPriority w:val="99"/>
    <w:unhideWhenUsed/>
    <w:rsid w:val="005757A4"/>
    <w:rPr>
      <w:sz w:val="20"/>
      <w:szCs w:val="20"/>
    </w:rPr>
  </w:style>
  <w:style w:type="character" w:customStyle="1" w:styleId="CommentTextChar">
    <w:name w:val="Comment Text Char"/>
    <w:basedOn w:val="DefaultParagraphFont"/>
    <w:link w:val="CommentText"/>
    <w:uiPriority w:val="99"/>
    <w:rsid w:val="005757A4"/>
    <w:rPr>
      <w:sz w:val="20"/>
      <w:szCs w:val="20"/>
    </w:rPr>
  </w:style>
  <w:style w:type="paragraph" w:styleId="Caption">
    <w:name w:val="caption"/>
    <w:basedOn w:val="Normal"/>
    <w:next w:val="Normal"/>
    <w:uiPriority w:val="35"/>
    <w:unhideWhenUsed/>
    <w:qFormat/>
    <w:rsid w:val="00376025"/>
    <w:pPr>
      <w:spacing w:after="200"/>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550B69"/>
    <w:rPr>
      <w:b/>
      <w:bCs/>
    </w:rPr>
  </w:style>
  <w:style w:type="character" w:customStyle="1" w:styleId="CommentSubjectChar">
    <w:name w:val="Comment Subject Char"/>
    <w:basedOn w:val="CommentTextChar"/>
    <w:link w:val="CommentSubject"/>
    <w:uiPriority w:val="99"/>
    <w:semiHidden/>
    <w:rsid w:val="00550B69"/>
    <w:rPr>
      <w:b/>
      <w:bCs/>
      <w:sz w:val="20"/>
      <w:szCs w:val="20"/>
    </w:rPr>
  </w:style>
  <w:style w:type="paragraph" w:styleId="Header">
    <w:name w:val="header"/>
    <w:basedOn w:val="Normal"/>
    <w:link w:val="HeaderChar"/>
    <w:uiPriority w:val="99"/>
    <w:unhideWhenUsed/>
    <w:rsid w:val="003000A0"/>
    <w:pPr>
      <w:tabs>
        <w:tab w:val="center" w:pos="4680"/>
        <w:tab w:val="right" w:pos="9360"/>
      </w:tabs>
      <w:spacing w:after="0"/>
    </w:pPr>
  </w:style>
  <w:style w:type="character" w:customStyle="1" w:styleId="HeaderChar">
    <w:name w:val="Header Char"/>
    <w:basedOn w:val="DefaultParagraphFont"/>
    <w:link w:val="Header"/>
    <w:uiPriority w:val="99"/>
    <w:rsid w:val="003000A0"/>
  </w:style>
  <w:style w:type="paragraph" w:styleId="Footer">
    <w:name w:val="footer"/>
    <w:basedOn w:val="Normal"/>
    <w:link w:val="FooterChar"/>
    <w:uiPriority w:val="99"/>
    <w:unhideWhenUsed/>
    <w:rsid w:val="003000A0"/>
    <w:pPr>
      <w:tabs>
        <w:tab w:val="center" w:pos="4680"/>
        <w:tab w:val="right" w:pos="9360"/>
      </w:tabs>
      <w:spacing w:after="0"/>
    </w:pPr>
  </w:style>
  <w:style w:type="character" w:customStyle="1" w:styleId="FooterChar">
    <w:name w:val="Footer Char"/>
    <w:basedOn w:val="DefaultParagraphFont"/>
    <w:link w:val="Footer"/>
    <w:uiPriority w:val="99"/>
    <w:rsid w:val="003000A0"/>
  </w:style>
  <w:style w:type="character" w:styleId="UnresolvedMention">
    <w:name w:val="Unresolved Mention"/>
    <w:basedOn w:val="DefaultParagraphFont"/>
    <w:uiPriority w:val="99"/>
    <w:semiHidden/>
    <w:unhideWhenUsed/>
    <w:rsid w:val="003A504A"/>
    <w:rPr>
      <w:color w:val="605E5C"/>
      <w:shd w:val="clear" w:color="auto" w:fill="E1DFDD"/>
    </w:rPr>
  </w:style>
  <w:style w:type="table" w:styleId="TableGrid">
    <w:name w:val="Table Grid"/>
    <w:basedOn w:val="TableNormal"/>
    <w:uiPriority w:val="39"/>
    <w:rsid w:val="0026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93245">
      <w:bodyDiv w:val="1"/>
      <w:marLeft w:val="0"/>
      <w:marRight w:val="0"/>
      <w:marTop w:val="0"/>
      <w:marBottom w:val="0"/>
      <w:divBdr>
        <w:top w:val="none" w:sz="0" w:space="0" w:color="auto"/>
        <w:left w:val="none" w:sz="0" w:space="0" w:color="auto"/>
        <w:bottom w:val="none" w:sz="0" w:space="0" w:color="auto"/>
        <w:right w:val="none" w:sz="0" w:space="0" w:color="auto"/>
      </w:divBdr>
    </w:div>
    <w:div w:id="427119774">
      <w:bodyDiv w:val="1"/>
      <w:marLeft w:val="0"/>
      <w:marRight w:val="0"/>
      <w:marTop w:val="0"/>
      <w:marBottom w:val="0"/>
      <w:divBdr>
        <w:top w:val="none" w:sz="0" w:space="0" w:color="auto"/>
        <w:left w:val="none" w:sz="0" w:space="0" w:color="auto"/>
        <w:bottom w:val="none" w:sz="0" w:space="0" w:color="auto"/>
        <w:right w:val="none" w:sz="0" w:space="0" w:color="auto"/>
      </w:divBdr>
    </w:div>
    <w:div w:id="527257394">
      <w:bodyDiv w:val="1"/>
      <w:marLeft w:val="0"/>
      <w:marRight w:val="0"/>
      <w:marTop w:val="0"/>
      <w:marBottom w:val="0"/>
      <w:divBdr>
        <w:top w:val="none" w:sz="0" w:space="0" w:color="auto"/>
        <w:left w:val="none" w:sz="0" w:space="0" w:color="auto"/>
        <w:bottom w:val="none" w:sz="0" w:space="0" w:color="auto"/>
        <w:right w:val="none" w:sz="0" w:space="0" w:color="auto"/>
      </w:divBdr>
    </w:div>
    <w:div w:id="697048402">
      <w:bodyDiv w:val="1"/>
      <w:marLeft w:val="0"/>
      <w:marRight w:val="0"/>
      <w:marTop w:val="0"/>
      <w:marBottom w:val="0"/>
      <w:divBdr>
        <w:top w:val="none" w:sz="0" w:space="0" w:color="auto"/>
        <w:left w:val="none" w:sz="0" w:space="0" w:color="auto"/>
        <w:bottom w:val="none" w:sz="0" w:space="0" w:color="auto"/>
        <w:right w:val="none" w:sz="0" w:space="0" w:color="auto"/>
      </w:divBdr>
      <w:divsChild>
        <w:div w:id="741370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63373">
      <w:bodyDiv w:val="1"/>
      <w:marLeft w:val="0"/>
      <w:marRight w:val="0"/>
      <w:marTop w:val="0"/>
      <w:marBottom w:val="0"/>
      <w:divBdr>
        <w:top w:val="none" w:sz="0" w:space="0" w:color="auto"/>
        <w:left w:val="none" w:sz="0" w:space="0" w:color="auto"/>
        <w:bottom w:val="none" w:sz="0" w:space="0" w:color="auto"/>
        <w:right w:val="none" w:sz="0" w:space="0" w:color="auto"/>
      </w:divBdr>
      <w:divsChild>
        <w:div w:id="12412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6959">
      <w:bodyDiv w:val="1"/>
      <w:marLeft w:val="0"/>
      <w:marRight w:val="0"/>
      <w:marTop w:val="0"/>
      <w:marBottom w:val="0"/>
      <w:divBdr>
        <w:top w:val="none" w:sz="0" w:space="0" w:color="auto"/>
        <w:left w:val="none" w:sz="0" w:space="0" w:color="auto"/>
        <w:bottom w:val="none" w:sz="0" w:space="0" w:color="auto"/>
        <w:right w:val="none" w:sz="0" w:space="0" w:color="auto"/>
      </w:divBdr>
    </w:div>
    <w:div w:id="863977112">
      <w:bodyDiv w:val="1"/>
      <w:marLeft w:val="0"/>
      <w:marRight w:val="0"/>
      <w:marTop w:val="0"/>
      <w:marBottom w:val="0"/>
      <w:divBdr>
        <w:top w:val="none" w:sz="0" w:space="0" w:color="auto"/>
        <w:left w:val="none" w:sz="0" w:space="0" w:color="auto"/>
        <w:bottom w:val="none" w:sz="0" w:space="0" w:color="auto"/>
        <w:right w:val="none" w:sz="0" w:space="0" w:color="auto"/>
      </w:divBdr>
      <w:divsChild>
        <w:div w:id="1596210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333230">
      <w:bodyDiv w:val="1"/>
      <w:marLeft w:val="0"/>
      <w:marRight w:val="0"/>
      <w:marTop w:val="0"/>
      <w:marBottom w:val="0"/>
      <w:divBdr>
        <w:top w:val="none" w:sz="0" w:space="0" w:color="auto"/>
        <w:left w:val="none" w:sz="0" w:space="0" w:color="auto"/>
        <w:bottom w:val="none" w:sz="0" w:space="0" w:color="auto"/>
        <w:right w:val="none" w:sz="0" w:space="0" w:color="auto"/>
      </w:divBdr>
    </w:div>
    <w:div w:id="1353073123">
      <w:bodyDiv w:val="1"/>
      <w:marLeft w:val="0"/>
      <w:marRight w:val="0"/>
      <w:marTop w:val="0"/>
      <w:marBottom w:val="0"/>
      <w:divBdr>
        <w:top w:val="none" w:sz="0" w:space="0" w:color="auto"/>
        <w:left w:val="none" w:sz="0" w:space="0" w:color="auto"/>
        <w:bottom w:val="none" w:sz="0" w:space="0" w:color="auto"/>
        <w:right w:val="none" w:sz="0" w:space="0" w:color="auto"/>
      </w:divBdr>
    </w:div>
    <w:div w:id="1562522068">
      <w:bodyDiv w:val="1"/>
      <w:marLeft w:val="0"/>
      <w:marRight w:val="0"/>
      <w:marTop w:val="0"/>
      <w:marBottom w:val="0"/>
      <w:divBdr>
        <w:top w:val="none" w:sz="0" w:space="0" w:color="auto"/>
        <w:left w:val="none" w:sz="0" w:space="0" w:color="auto"/>
        <w:bottom w:val="none" w:sz="0" w:space="0" w:color="auto"/>
        <w:right w:val="none" w:sz="0" w:space="0" w:color="auto"/>
      </w:divBdr>
      <w:divsChild>
        <w:div w:id="213813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1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s://www.bmj.com/content/384/bmj-2023-076175" TargetMode="External"/><Relationship Id="rId3" Type="http://schemas.openxmlformats.org/officeDocument/2006/relationships/hyperlink" Target="https://nap.nationalacademies.org/catalog/11903/the-learning-healthcare-system-workshop-summary" TargetMode="External"/><Relationship Id="rId7" Type="http://schemas.openxmlformats.org/officeDocument/2006/relationships/hyperlink" Target="https://healthpolicy.duke.edu/publications/lessons-learning-health-care-systems-and-recommendations-successful-implementation" TargetMode="External"/><Relationship Id="rId2" Type="http://schemas.openxmlformats.org/officeDocument/2006/relationships/hyperlink" Target="https://www.commonwealthfund.org/publications/issue-briefs/2021/aug/mirror-mirror-2021-international-comparison-reflects-flaws-opportunities-better-us-health-care" TargetMode="External"/><Relationship Id="rId1" Type="http://schemas.openxmlformats.org/officeDocument/2006/relationships/hyperlink" Target="https://www.oecd.org/health/health-at-a-glance." TargetMode="External"/><Relationship Id="rId6" Type="http://schemas.openxmlformats.org/officeDocument/2006/relationships/hyperlink" Target="https://bioethics.jhu.edu/learning-health-systems" TargetMode="External"/><Relationship Id="rId5" Type="http://schemas.openxmlformats.org/officeDocument/2006/relationships/hyperlink" Target="https://dcri.org/sites/default/files/2024-01/DukeCath_V1.1_documentation-for-users_170302.pdf" TargetMode="External"/><Relationship Id="rId10" Type="http://schemas.openxmlformats.org/officeDocument/2006/relationships/hyperlink" Target="https://ohdsi.github.io/CommonDataModel/cdm54.html" TargetMode="External"/><Relationship Id="rId4" Type="http://schemas.openxmlformats.org/officeDocument/2006/relationships/hyperlink" Target="https://www.nap.edu/catalog/13423/best-care-at-lower-cost-the-path-to-continuously-learning-health-care-in-america" TargetMode="External"/><Relationship Id="rId9" Type="http://schemas.openxmlformats.org/officeDocument/2006/relationships/hyperlink" Target="https://www.fda.gov/drugs/news-events-human-drugs/role-artificial-intelligence-clinical-trial-design-and-research-dr-elzar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77450-7254-4E8E-93E4-0F63D880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3563</Words>
  <Characters>20311</Characters>
  <Application>Microsoft Office Word</Application>
  <DocSecurity>0</DocSecurity>
  <Lines>169</Lines>
  <Paragraphs>47</Paragraphs>
  <ScaleCrop>false</ScaleCrop>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bandeian</dc:creator>
  <cp:keywords/>
  <dc:description/>
  <cp:lastModifiedBy>stephen bandeian</cp:lastModifiedBy>
  <cp:revision>50</cp:revision>
  <dcterms:created xsi:type="dcterms:W3CDTF">2025-03-17T18:46:00Z</dcterms:created>
  <dcterms:modified xsi:type="dcterms:W3CDTF">2025-03-19T12:27:00Z</dcterms:modified>
</cp:coreProperties>
</file>