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DB174B" w14:textId="449929C8" w:rsidR="00E84DED" w:rsidRDefault="00847BBE">
      <w:pPr>
        <w:spacing w:after="270" w:line="249" w:lineRule="auto"/>
        <w:ind w:left="-5" w:hanging="10"/>
      </w:pPr>
      <w:r>
        <w:rPr>
          <w:b/>
        </w:rPr>
        <w:t>T</w:t>
      </w:r>
      <w:r w:rsidR="00404FEA">
        <w:rPr>
          <w:b/>
        </w:rPr>
        <w:t>AXI</w:t>
      </w:r>
      <w:r>
        <w:rPr>
          <w:b/>
        </w:rPr>
        <w:t xml:space="preserve">S – Step 1: Simplified Diagnostic Hierarchies and Relationship Tables for the OHDSI Community </w:t>
      </w:r>
    </w:p>
    <w:p w14:paraId="4F19929A" w14:textId="6E74B1FF" w:rsidR="00E84DED" w:rsidRDefault="00847BBE">
      <w:pPr>
        <w:spacing w:after="270" w:line="249" w:lineRule="auto"/>
        <w:ind w:left="-5" w:hanging="10"/>
      </w:pPr>
      <w:r>
        <w:rPr>
          <w:b/>
        </w:rPr>
        <w:t xml:space="preserve">Stephen H. </w:t>
      </w:r>
      <w:proofErr w:type="spellStart"/>
      <w:r>
        <w:rPr>
          <w:b/>
        </w:rPr>
        <w:t>Bandeian</w:t>
      </w:r>
      <w:proofErr w:type="spellEnd"/>
      <w:r>
        <w:rPr>
          <w:b/>
        </w:rPr>
        <w:t xml:space="preserve">*, MD, JD; </w:t>
      </w:r>
      <w:r w:rsidR="00AB52D6">
        <w:rPr>
          <w:b/>
        </w:rPr>
        <w:t>Shaun Grannis, MD, MS</w:t>
      </w:r>
      <w:r w:rsidR="00AB52D6" w:rsidRPr="00AB52D6">
        <w:rPr>
          <w:b/>
          <w:vertAlign w:val="superscript"/>
        </w:rPr>
        <w:sym w:font="Wingdings 2" w:char="F085"/>
      </w:r>
      <w:r w:rsidR="00AB52D6">
        <w:rPr>
          <w:b/>
        </w:rPr>
        <w:t xml:space="preserve">, </w:t>
      </w:r>
      <w:r>
        <w:rPr>
          <w:b/>
        </w:rPr>
        <w:t>J. Marc Overhage, MD, PhD</w:t>
      </w:r>
      <w:r w:rsidR="00AB52D6" w:rsidRPr="00AB52D6">
        <w:rPr>
          <w:b/>
          <w:vertAlign w:val="superscript"/>
        </w:rPr>
        <w:sym w:font="Wingdings 2" w:char="F0E7"/>
      </w:r>
      <w:r>
        <w:rPr>
          <w:b/>
        </w:rPr>
        <w:t xml:space="preserve"> </w:t>
      </w:r>
    </w:p>
    <w:p w14:paraId="231A0F9D" w14:textId="77777777" w:rsidR="00E84DED" w:rsidRDefault="00847BBE">
      <w:pPr>
        <w:spacing w:after="265" w:line="249" w:lineRule="auto"/>
        <w:ind w:left="-5" w:hanging="10"/>
      </w:pPr>
      <w:r>
        <w:rPr>
          <w:b/>
        </w:rPr>
        <w:t>*</w:t>
      </w:r>
      <w:r>
        <w:t xml:space="preserve">Biomedical Informatics &amp; Data Science, Johns Hopkins School of Medicine </w:t>
      </w:r>
    </w:p>
    <w:p w14:paraId="1D549502" w14:textId="01F1FD1A" w:rsidR="00AB52D6" w:rsidRDefault="00AB52D6">
      <w:pPr>
        <w:spacing w:after="265" w:line="249" w:lineRule="auto"/>
        <w:ind w:left="-5" w:hanging="10"/>
      </w:pPr>
      <w:r w:rsidRPr="00AB52D6">
        <w:rPr>
          <w:b/>
          <w:vertAlign w:val="superscript"/>
        </w:rPr>
        <w:sym w:font="Wingdings 2" w:char="F085"/>
      </w:r>
      <w:r w:rsidRPr="00AB52D6">
        <w:t>Regenstrief Institute</w:t>
      </w:r>
      <w:r>
        <w:t xml:space="preserve"> </w:t>
      </w:r>
      <w:r w:rsidRPr="00AB52D6">
        <w:t>and Family Medicine</w:t>
      </w:r>
      <w:r>
        <w:t>,</w:t>
      </w:r>
      <w:r w:rsidRPr="00AB52D6">
        <w:t xml:space="preserve"> Indiana University School of Medicine</w:t>
      </w:r>
    </w:p>
    <w:p w14:paraId="39D5C291" w14:textId="096CFC66" w:rsidR="00E84DED" w:rsidRDefault="00AB52D6">
      <w:pPr>
        <w:spacing w:after="265" w:line="249" w:lineRule="auto"/>
        <w:ind w:left="-5" w:hanging="10"/>
      </w:pPr>
      <w:r w:rsidRPr="00AB52D6">
        <w:rPr>
          <w:b/>
          <w:vertAlign w:val="superscript"/>
        </w:rPr>
        <w:sym w:font="Wingdings 2" w:char="F0E7"/>
      </w:r>
      <w:r w:rsidR="00847BBE">
        <w:t>Fairbanks School of Public Health</w:t>
      </w:r>
      <w:r w:rsidR="00404FEA">
        <w:t xml:space="preserve"> and Regenstrief Institute</w:t>
      </w:r>
      <w:r w:rsidR="00847BBE">
        <w:t xml:space="preserve">, Indiana University </w:t>
      </w:r>
    </w:p>
    <w:p w14:paraId="589607EC" w14:textId="77777777" w:rsidR="00E84DED" w:rsidRDefault="00847BBE">
      <w:pPr>
        <w:pStyle w:val="Heading1"/>
        <w:ind w:left="-5"/>
      </w:pPr>
      <w:r>
        <w:t>Background</w:t>
      </w:r>
      <w:r>
        <w:rPr>
          <w:b w:val="0"/>
        </w:rPr>
        <w:t xml:space="preserve"> </w:t>
      </w:r>
    </w:p>
    <w:p w14:paraId="0EBABB02" w14:textId="3A922F4B" w:rsidR="00E84DED" w:rsidRDefault="00847BBE">
      <w:pPr>
        <w:spacing w:after="106" w:line="249" w:lineRule="auto"/>
        <w:ind w:left="-5" w:hanging="10"/>
      </w:pPr>
      <w:r>
        <w:t xml:space="preserve">The OHDSI/OMOP Common Data Model (CDM) </w:t>
      </w:r>
      <w:r w:rsidR="00BC7228">
        <w:t>is</w:t>
      </w:r>
      <w:r>
        <w:t xml:space="preserve"> highly successful, providing a strong foundation for data standardization. There is a valuable opportunity to enhance existing shared resources by developing more comprehensive and interoperable tools. These enhancements can reduce the need for custom solutions, minimize duplication, and improve consistency and integration. By building on this progress, the CDM can be further developed to support improved systematic outcome improvement efforts, in addition to single-topic research. </w:t>
      </w:r>
      <w:r w:rsidR="00FC2164">
        <w:t xml:space="preserve"> </w:t>
      </w:r>
      <w:r>
        <w:t>We are launching "</w:t>
      </w:r>
      <w:r w:rsidR="00404FEA">
        <w:t>TAXIS</w:t>
      </w:r>
      <w:r>
        <w:t>", building on work initiated at AHRQ in 2007 and continued elsewhere.</w:t>
      </w:r>
      <w:r>
        <w:rPr>
          <w:sz w:val="20"/>
          <w:vertAlign w:val="superscript"/>
        </w:rPr>
        <w:t>1,2,3,4,5,6</w:t>
      </w:r>
      <w:r>
        <w:t xml:space="preserve"> </w:t>
      </w:r>
      <w:r w:rsidR="00FC2164">
        <w:t xml:space="preserve">While </w:t>
      </w:r>
      <w:r w:rsidR="00FC2164" w:rsidRPr="00FC2164">
        <w:t>PHOEBE supports concept-set construction via lexical/semantic/data-driven signals</w:t>
      </w:r>
      <w:r w:rsidR="00FC2164">
        <w:t>,</w:t>
      </w:r>
      <w:r w:rsidR="00FC2164" w:rsidRPr="00FC2164">
        <w:t xml:space="preserve"> TAXIS </w:t>
      </w:r>
      <w:r w:rsidR="00FC2164">
        <w:t>goes further</w:t>
      </w:r>
      <w:r w:rsidR="00FC2164" w:rsidRPr="00FC2164">
        <w:t xml:space="preserve"> by supplying directed diagnosis–diagnosis relationships and episode logic, improving phenotype refinement, causal covariate selection/negative controls, and pathway mapping.</w:t>
      </w:r>
      <w:r w:rsidR="00FC2164">
        <w:t xml:space="preserve"> </w:t>
      </w:r>
      <w:r w:rsidR="00404FEA">
        <w:t>TAXIS</w:t>
      </w:r>
      <w:r>
        <w:t xml:space="preserve"> </w:t>
      </w:r>
      <w:r w:rsidR="00BC7228">
        <w:t xml:space="preserve">will </w:t>
      </w:r>
      <w:r>
        <w:t xml:space="preserve">create resources </w:t>
      </w:r>
      <w:r w:rsidR="00FC2164">
        <w:t>to help analysts with daily tasks and develop</w:t>
      </w:r>
      <w:r>
        <w:t xml:space="preserve"> a comprehensive framework. </w:t>
      </w:r>
      <w:r w:rsidR="00BC7228">
        <w:t>It</w:t>
      </w:r>
      <w:r>
        <w:t xml:space="preserve"> aims to reduce redundancy, improve consistency, accelerate evidence generation, transparency, and systematic healthcare improvement. </w:t>
      </w:r>
    </w:p>
    <w:p w14:paraId="2CA50023" w14:textId="55266C57" w:rsidR="00E84DED" w:rsidRDefault="00404FEA">
      <w:pPr>
        <w:spacing w:after="265" w:line="249" w:lineRule="auto"/>
        <w:ind w:left="-5" w:hanging="10"/>
      </w:pPr>
      <w:r>
        <w:t>TAXIS</w:t>
      </w:r>
      <w:r w:rsidR="00847BBE">
        <w:t xml:space="preserve"> will proceed in sequential steps</w:t>
      </w:r>
      <w:r w:rsidR="00BC7228">
        <w:t xml:space="preserve"> culminating in a comprehensive knowledge graph of clinical concept relationships</w:t>
      </w:r>
      <w:r w:rsidR="00847BBE">
        <w:t xml:space="preserve">. Step 1 </w:t>
      </w:r>
      <w:r w:rsidR="00495F74">
        <w:t>involves creating a simplified diagnostic taxonomy that strikes a balance between detail and sample size, thereby avoiding inadvertent fragmentation of a single episode due to variations</w:t>
      </w:r>
      <w:r w:rsidR="00847BBE">
        <w:t xml:space="preserve"> in the </w:t>
      </w:r>
      <w:r w:rsidR="00BC7228">
        <w:t xml:space="preserve">exact </w:t>
      </w:r>
      <w:r w:rsidR="00847BBE">
        <w:t xml:space="preserve">diagnoses reported during </w:t>
      </w:r>
      <w:r w:rsidR="00BC7228">
        <w:t>a condition</w:t>
      </w:r>
      <w:r w:rsidR="00847BBE">
        <w:t xml:space="preserve"> episode. </w:t>
      </w:r>
      <w:r w:rsidR="00BC7228">
        <w:t>It</w:t>
      </w:r>
      <w:r w:rsidR="00847BBE">
        <w:t xml:space="preserve"> will also establish a diagnosis-to</w:t>
      </w:r>
      <w:r w:rsidR="00BC7228">
        <w:t>-</w:t>
      </w:r>
      <w:r w:rsidR="00847BBE">
        <w:t xml:space="preserve">diagnosis relationship table, which represents a subset of a larger knowledge graph that encompasses relationships among diagnoses, services, and medications. This table, a simplified two-node representation, captures clinically meaningful connections between diagnoses. It supports the identification of potential causes of symptoms, disabilities, illnesses, and complications, offering insights that can inform prevention and care planning. Subsequent steps will </w:t>
      </w:r>
      <w:r w:rsidR="00BC7228">
        <w:t xml:space="preserve">create </w:t>
      </w:r>
      <w:r w:rsidR="00847BBE">
        <w:t xml:space="preserve">service and medication hierarchies, along with service–diagnosis and </w:t>
      </w:r>
      <w:r w:rsidR="00495F74">
        <w:t>medication–diagnosis</w:t>
      </w:r>
      <w:r w:rsidR="00847BBE">
        <w:t xml:space="preserve"> tables to identify symptoms, findings, and complications caused by services and medications. Additionally, diagnosis-s</w:t>
      </w:r>
      <w:r w:rsidR="00BC7228">
        <w:t>ervice</w:t>
      </w:r>
      <w:r w:rsidR="00847BBE">
        <w:t xml:space="preserve"> and diagnosis-medication tables will be used to identify services and medications commonly used for specific diagnoses. </w:t>
      </w:r>
    </w:p>
    <w:p w14:paraId="51031256" w14:textId="77777777" w:rsidR="00E84DED" w:rsidRDefault="00847BBE">
      <w:pPr>
        <w:pStyle w:val="Heading1"/>
        <w:ind w:left="-5"/>
      </w:pPr>
      <w:r>
        <w:t>Methods</w:t>
      </w:r>
      <w:r>
        <w:rPr>
          <w:b w:val="0"/>
          <w:sz w:val="20"/>
          <w:vertAlign w:val="subscript"/>
        </w:rPr>
        <w:t xml:space="preserve"> </w:t>
      </w:r>
    </w:p>
    <w:p w14:paraId="1D6ABE85" w14:textId="3B150607" w:rsidR="0066633C" w:rsidRDefault="00847BBE" w:rsidP="0066633C">
      <w:pPr>
        <w:spacing w:after="110" w:line="249" w:lineRule="auto"/>
        <w:ind w:left="-5" w:hanging="10"/>
      </w:pPr>
      <w:r>
        <w:t>T</w:t>
      </w:r>
      <w:r w:rsidR="00BC7228">
        <w:t>he</w:t>
      </w:r>
      <w:r>
        <w:t xml:space="preserve"> diagnosis taxonomy</w:t>
      </w:r>
      <w:r w:rsidR="00BC7228">
        <w:t xml:space="preserve"> </w:t>
      </w:r>
      <w:r w:rsidR="0066633C">
        <w:t xml:space="preserve">was created starting </w:t>
      </w:r>
      <w:r>
        <w:t xml:space="preserve">with </w:t>
      </w:r>
      <w:r w:rsidR="0066633C">
        <w:t xml:space="preserve">the </w:t>
      </w:r>
      <w:r w:rsidR="00495F74">
        <w:t>ICD-10-CM</w:t>
      </w:r>
      <w:r>
        <w:t xml:space="preserve"> </w:t>
      </w:r>
      <w:r w:rsidR="0066633C">
        <w:t xml:space="preserve">hierarchy to which </w:t>
      </w:r>
      <w:r>
        <w:t xml:space="preserve">SNOMED concepts </w:t>
      </w:r>
      <w:r w:rsidR="0066633C">
        <w:t>were mapped</w:t>
      </w:r>
      <w:r>
        <w:t xml:space="preserve">.  The </w:t>
      </w:r>
      <w:r w:rsidR="00BC7228">
        <w:t>taxonomy</w:t>
      </w:r>
      <w:r>
        <w:t xml:space="preserve">'s first two levels correspond to ICD-10 chapter and sub-chapter headings. The </w:t>
      </w:r>
      <w:r w:rsidR="0066633C">
        <w:t>lower</w:t>
      </w:r>
      <w:r>
        <w:t xml:space="preserve"> three levels </w:t>
      </w:r>
      <w:r w:rsidR="0066633C">
        <w:t xml:space="preserve">are selected from the set of truncated </w:t>
      </w:r>
      <w:r w:rsidR="00495F74">
        <w:t>ICD-10</w:t>
      </w:r>
      <w:r w:rsidR="0066633C">
        <w:t xml:space="preserve"> codes (3–5 digits) and their labels, based on the criteria listed below. The fourth level also includes attributes indicating concept type (illness, injury, symptom, finding) and temporal nature (time-limited, e.g., acute infections, or ongoing/chronic, e.g., heart failure. </w:t>
      </w:r>
    </w:p>
    <w:p w14:paraId="11815572" w14:textId="77777777" w:rsidR="00E84DED" w:rsidRDefault="00847BBE">
      <w:pPr>
        <w:numPr>
          <w:ilvl w:val="0"/>
          <w:numId w:val="1"/>
        </w:numPr>
        <w:spacing w:after="110" w:line="249" w:lineRule="auto"/>
        <w:ind w:hanging="360"/>
      </w:pPr>
      <w:r>
        <w:lastRenderedPageBreak/>
        <w:t xml:space="preserve">diagnosis3: Combines similar or easily confusable conditions. </w:t>
      </w:r>
    </w:p>
    <w:p w14:paraId="29B7A5B2" w14:textId="77777777" w:rsidR="00E84DED" w:rsidRDefault="00847BBE">
      <w:pPr>
        <w:numPr>
          <w:ilvl w:val="0"/>
          <w:numId w:val="1"/>
        </w:numPr>
        <w:spacing w:after="110" w:line="249" w:lineRule="auto"/>
        <w:ind w:hanging="360"/>
      </w:pPr>
      <w:r>
        <w:t xml:space="preserve">diagnosis4: Identifies distinct illnesses or injuries with minimal detail. </w:t>
      </w:r>
    </w:p>
    <w:p w14:paraId="055C68BF" w14:textId="77777777" w:rsidR="00E84DED" w:rsidRDefault="00847BBE">
      <w:pPr>
        <w:numPr>
          <w:ilvl w:val="0"/>
          <w:numId w:val="1"/>
        </w:numPr>
        <w:spacing w:after="110" w:line="249" w:lineRule="auto"/>
        <w:ind w:hanging="360"/>
      </w:pPr>
      <w:r>
        <w:t xml:space="preserve">diagnosis5: Adds limited additional detail. </w:t>
      </w:r>
    </w:p>
    <w:p w14:paraId="01BA826C" w14:textId="77777777" w:rsidR="0066633C" w:rsidRDefault="0066633C">
      <w:pPr>
        <w:spacing w:after="110" w:line="249" w:lineRule="auto"/>
        <w:ind w:left="-5" w:hanging="10"/>
      </w:pPr>
    </w:p>
    <w:p w14:paraId="21B821B3" w14:textId="74A6946E" w:rsidR="00E84DED" w:rsidRPr="00FC2164" w:rsidRDefault="0066633C">
      <w:pPr>
        <w:spacing w:after="110" w:line="249" w:lineRule="auto"/>
        <w:ind w:left="-5" w:hanging="10"/>
      </w:pPr>
      <w:r>
        <w:t>Using the condition groupings primarily at the 4</w:t>
      </w:r>
      <w:r w:rsidRPr="0066633C">
        <w:rPr>
          <w:vertAlign w:val="superscript"/>
        </w:rPr>
        <w:t>th</w:t>
      </w:r>
      <w:r>
        <w:t xml:space="preserve"> level to define condition episodes</w:t>
      </w:r>
      <w:r w:rsidR="00495F74">
        <w:t>,</w:t>
      </w:r>
      <w:r>
        <w:t xml:space="preserve"> statistical and generative AI methods are used to </w:t>
      </w:r>
      <w:r w:rsidR="00847BBE">
        <w:t>creat</w:t>
      </w:r>
      <w:r>
        <w:t>e</w:t>
      </w:r>
      <w:r w:rsidR="00847BBE">
        <w:t xml:space="preserve"> a diagnosis-diagnosis relationship table</w:t>
      </w:r>
      <w:r>
        <w:t xml:space="preserve"> in four steps.</w:t>
      </w:r>
      <w:r w:rsidR="00FC2164">
        <w:t xml:space="preserve"> We do not use OMOP CONDITION_ERA directly because eras operate at single </w:t>
      </w:r>
      <w:proofErr w:type="spellStart"/>
      <w:r w:rsidR="00FC2164">
        <w:t>concept_id</w:t>
      </w:r>
      <w:proofErr w:type="spellEnd"/>
      <w:r w:rsidR="00FC2164">
        <w:t xml:space="preserve"> granularity. TAXIS episodes are built at the </w:t>
      </w:r>
      <w:r w:rsidR="00FC2164" w:rsidRPr="00FC2164">
        <w:rPr>
          <w:rStyle w:val="Strong"/>
          <w:b w:val="0"/>
          <w:bCs w:val="0"/>
        </w:rPr>
        <w:t>taxonomy group</w:t>
      </w:r>
      <w:r w:rsidR="00FC2164">
        <w:t xml:space="preserve"> level (e.g., diagnosis4), aggregating clinically proximate concepts before era-like consolidation; this generalizes across coding variants while preserving episode continuity.</w:t>
      </w:r>
    </w:p>
    <w:p w14:paraId="2FF1A12D" w14:textId="355F90ED" w:rsidR="00E84DED" w:rsidRDefault="00847BBE">
      <w:pPr>
        <w:spacing w:after="121" w:line="239" w:lineRule="auto"/>
        <w:ind w:left="-5" w:right="324" w:hanging="10"/>
        <w:jc w:val="both"/>
      </w:pPr>
      <w:r>
        <w:rPr>
          <w:b/>
        </w:rPr>
        <w:t>Step 1:</w:t>
      </w:r>
      <w:r>
        <w:t xml:space="preserve"> Construct diagnosis-based </w:t>
      </w:r>
      <w:r w:rsidR="00EA6F79">
        <w:t>condition episodes</w:t>
      </w:r>
      <w:r>
        <w:t xml:space="preserve"> from </w:t>
      </w:r>
      <w:r w:rsidR="0066633C">
        <w:t>the</w:t>
      </w:r>
      <w:r>
        <w:t xml:space="preserve"> condition occurrence table</w:t>
      </w:r>
      <w:r w:rsidR="0066633C">
        <w:t xml:space="preserve"> using condition groups from </w:t>
      </w:r>
      <w:r>
        <w:t xml:space="preserve">the diagnosis </w:t>
      </w:r>
      <w:r w:rsidR="00BC7228">
        <w:t>taxonomy</w:t>
      </w:r>
      <w:r>
        <w:t>. Episode</w:t>
      </w:r>
      <w:r w:rsidR="001236F2">
        <w:t xml:space="preserve"> or phase</w:t>
      </w:r>
      <w:r>
        <w:t xml:space="preserve"> durations, especially for chronic conditions, </w:t>
      </w:r>
      <w:r w:rsidR="0066633C">
        <w:t>are</w:t>
      </w:r>
      <w:r>
        <w:t xml:space="preserve"> </w:t>
      </w:r>
      <w:r w:rsidR="0066633C">
        <w:t>defined</w:t>
      </w:r>
      <w:r>
        <w:t xml:space="preserve"> based on clinically reasonable assumptions</w:t>
      </w:r>
      <w:r w:rsidR="00404FEA">
        <w:t xml:space="preserve">, such as when there is </w:t>
      </w:r>
      <w:r w:rsidR="00404FEA" w:rsidRPr="00404FEA">
        <w:t>evidence of continued management or unchanged status</w:t>
      </w:r>
      <w:r w:rsidR="00A463EF">
        <w:t xml:space="preserve"> or </w:t>
      </w:r>
      <w:r w:rsidR="001236F2">
        <w:t>stage</w:t>
      </w:r>
      <w:r w:rsidR="00404FEA" w:rsidRPr="00404FEA">
        <w:t>.</w:t>
      </w:r>
    </w:p>
    <w:p w14:paraId="08A6EC61" w14:textId="4291DC29" w:rsidR="00EA6F79" w:rsidRDefault="00847BBE">
      <w:pPr>
        <w:spacing w:after="110" w:line="249" w:lineRule="auto"/>
        <w:ind w:left="-5" w:hanging="10"/>
      </w:pPr>
      <w:r>
        <w:rPr>
          <w:b/>
        </w:rPr>
        <w:t>Step 2:</w:t>
      </w:r>
      <w:r>
        <w:t xml:space="preserve"> Calculate diagnosis pair co-occurrence rates by self-joining the condition </w:t>
      </w:r>
      <w:r w:rsidR="00EA6F79">
        <w:t xml:space="preserve">episodes, counting </w:t>
      </w:r>
      <w:r w:rsidR="0066633C">
        <w:t>diagnosis</w:t>
      </w:r>
      <w:r w:rsidR="00EA6F79">
        <w:t xml:space="preserve"> pairs per individual</w:t>
      </w:r>
      <w:r w:rsidR="00EA6F79" w:rsidRPr="00EA6F79">
        <w:t xml:space="preserve">. </w:t>
      </w:r>
      <w:r w:rsidR="0066633C">
        <w:t xml:space="preserve">The </w:t>
      </w:r>
      <w:r w:rsidR="00EA6F79" w:rsidRPr="00EA6F79">
        <w:t xml:space="preserve">IRR is </w:t>
      </w:r>
      <w:r w:rsidR="0066633C">
        <w:t xml:space="preserve">defined as </w:t>
      </w:r>
      <w:r w:rsidR="00EA6F79" w:rsidRPr="00EA6F79">
        <w:t>the exposed incidence rate divided by the unexposed rate, with expected exposed cases = (unexposed rate × exposed person-time)</w:t>
      </w:r>
    </w:p>
    <w:p w14:paraId="7FB5D6DC" w14:textId="6668602B" w:rsidR="00E84DED" w:rsidRDefault="00847BBE">
      <w:pPr>
        <w:spacing w:after="110" w:line="249" w:lineRule="auto"/>
        <w:ind w:left="-5" w:hanging="10"/>
      </w:pPr>
      <w:r>
        <w:rPr>
          <w:b/>
        </w:rPr>
        <w:t>Step 3:</w:t>
      </w:r>
      <w:r>
        <w:t xml:space="preserve"> Apply </w:t>
      </w:r>
      <w:r w:rsidR="00EA6F79">
        <w:t xml:space="preserve">the Poisson Wald Z on </w:t>
      </w:r>
      <w:proofErr w:type="gramStart"/>
      <w:r w:rsidR="00EA6F79">
        <w:t>log(</w:t>
      </w:r>
      <w:proofErr w:type="gramEnd"/>
      <w:r w:rsidR="00EA6F79">
        <w:t xml:space="preserve">IRR) (two-sided; 95% CI from </w:t>
      </w:r>
      <w:proofErr w:type="gramStart"/>
      <w:r w:rsidR="00EA6F79">
        <w:t>log(</w:t>
      </w:r>
      <w:proofErr w:type="gramEnd"/>
      <w:r w:rsidR="00EA6F79">
        <w:t xml:space="preserve">IRR) ± 1.96·SE) </w:t>
      </w:r>
      <w:r>
        <w:t xml:space="preserve">to select a manageable set of candidate relationships for further validation. </w:t>
      </w:r>
    </w:p>
    <w:p w14:paraId="7E00A569" w14:textId="67DE73CC" w:rsidR="00E84DED" w:rsidRDefault="00847BBE">
      <w:pPr>
        <w:spacing w:after="110" w:line="249" w:lineRule="auto"/>
        <w:ind w:left="-5" w:hanging="10"/>
      </w:pPr>
      <w:r>
        <w:rPr>
          <w:b/>
        </w:rPr>
        <w:t>Step 4:</w:t>
      </w:r>
      <w:r>
        <w:t xml:space="preserve"> Validate and classify relationships between diagnosis pairs using </w:t>
      </w:r>
      <w:r w:rsidR="0051504F">
        <w:t xml:space="preserve">a </w:t>
      </w:r>
      <w:r w:rsidR="00390DDF">
        <w:t xml:space="preserve">GPT Turbo, a </w:t>
      </w:r>
      <w:r w:rsidR="0051504F">
        <w:t xml:space="preserve">foundational </w:t>
      </w:r>
      <w:r>
        <w:t>large language model (LLM)</w:t>
      </w:r>
      <w:r w:rsidR="00FC2164">
        <w:t xml:space="preserve"> using structured prompting</w:t>
      </w:r>
      <w:r>
        <w:t xml:space="preserve">. </w:t>
      </w:r>
      <w:r w:rsidR="00FC2164">
        <w:t xml:space="preserve">The LLM can </w:t>
      </w:r>
      <w:r>
        <w:t>confirm clinically recognized relationships</w:t>
      </w:r>
      <w:r w:rsidR="00FC2164">
        <w:t xml:space="preserve"> </w:t>
      </w:r>
      <w:r w:rsidR="00FC2164" w:rsidRPr="00FC2164">
        <w:t>classif</w:t>
      </w:r>
      <w:r w:rsidR="00FC2164">
        <w:t>ies</w:t>
      </w:r>
      <w:r w:rsidR="00FC2164" w:rsidRPr="00FC2164">
        <w:t xml:space="preserve"> pairs into: (1) A causes B; (2) B causes A; (3–4) indirect causation; (5) common cause; (6–7) treatment-caused; (8) similar initial presentation; (9–10) subset/parent; (11) no clear relationship. ‘Co-occurring’ without mechanism maps to (11)</w:t>
      </w:r>
      <w:r w:rsidR="00FC2164">
        <w:t>.</w:t>
      </w:r>
      <w:r>
        <w:t xml:space="preserve"> </w:t>
      </w:r>
      <w:r w:rsidR="0051504F">
        <w:t xml:space="preserve">Expert clinician review </w:t>
      </w:r>
      <w:r>
        <w:t>will then focus</w:t>
      </w:r>
      <w:r w:rsidR="0051504F">
        <w:t xml:space="preserve"> on relationships where statistical and LLM assessments are discordant.</w:t>
      </w:r>
    </w:p>
    <w:p w14:paraId="44C3B4BA" w14:textId="79252E5B" w:rsidR="005D604C" w:rsidRDefault="005D604C" w:rsidP="005D604C">
      <w:pPr>
        <w:spacing w:after="110" w:line="249" w:lineRule="auto"/>
      </w:pPr>
      <w:r>
        <w:t xml:space="preserve"> </w:t>
      </w:r>
      <w:r w:rsidR="00B40AB5" w:rsidRPr="00B40AB5">
        <w:t xml:space="preserve">Two general internal medicine-trained informaticians </w:t>
      </w:r>
      <w:r w:rsidR="00495F74">
        <w:t xml:space="preserve">independently </w:t>
      </w:r>
      <w:r w:rsidR="00B40AB5" w:rsidRPr="00B40AB5">
        <w:t>reviewed LLM classifications with substantial agreement.</w:t>
      </w:r>
      <w:r w:rsidR="00B40AB5">
        <w:t xml:space="preserve"> </w:t>
      </w:r>
      <w:r w:rsidR="00B40AB5" w:rsidRPr="00B40AB5">
        <w:rPr>
          <w:highlight w:val="green"/>
        </w:rPr>
        <w:t xml:space="preserve">[Steve: </w:t>
      </w:r>
      <w:r w:rsidR="00B40AB5">
        <w:rPr>
          <w:highlight w:val="green"/>
        </w:rPr>
        <w:t xml:space="preserve">What do we want to say in response to the reviewer who asked about pancreatic pseudocysts causing pancreatitis, which, of course, can rarely be caused by compressing the </w:t>
      </w:r>
      <w:r w:rsidR="00B40AB5" w:rsidRPr="00B40AB5">
        <w:rPr>
          <w:highlight w:val="green"/>
        </w:rPr>
        <w:t xml:space="preserve">pancreatic duct. </w:t>
      </w:r>
      <w:r w:rsidR="00495F74">
        <w:rPr>
          <w:highlight w:val="green"/>
        </w:rPr>
        <w:t xml:space="preserve">Is this </w:t>
      </w:r>
      <w:r w:rsidR="00B40AB5" w:rsidRPr="00B40AB5">
        <w:rPr>
          <w:highlight w:val="green"/>
        </w:rPr>
        <w:t>an example where prompts and relationship categories can be refined? Do we say that we are focused on predominant or common relationships?  Ignore it?]</w:t>
      </w:r>
      <w:r w:rsidR="00B40AB5">
        <w:t xml:space="preserve"> </w:t>
      </w:r>
    </w:p>
    <w:p w14:paraId="2FBBE108" w14:textId="289CC057" w:rsidR="005D604C" w:rsidRDefault="005D604C" w:rsidP="005D604C">
      <w:pPr>
        <w:pStyle w:val="Caption"/>
        <w:keepNext/>
      </w:pPr>
      <w:r>
        <w:t xml:space="preserve">Table </w:t>
      </w:r>
      <w:fldSimple w:instr=" SEQ Table \* ARABIC ">
        <w:r w:rsidR="00B40AB5">
          <w:rPr>
            <w:noProof/>
          </w:rPr>
          <w:t>1</w:t>
        </w:r>
      </w:fldSimple>
      <w:r>
        <w:t xml:space="preserve"> – Selected classification results using GPT Turbo, Additional results in supplemental data.</w:t>
      </w:r>
    </w:p>
    <w:tbl>
      <w:tblPr>
        <w:tblStyle w:val="TableGrid"/>
        <w:tblW w:w="9090" w:type="dxa"/>
        <w:tblInd w:w="-95" w:type="dxa"/>
        <w:tblCellMar>
          <w:left w:w="106" w:type="dxa"/>
          <w:right w:w="79" w:type="dxa"/>
        </w:tblCellMar>
        <w:tblLook w:val="04A0" w:firstRow="1" w:lastRow="0" w:firstColumn="1" w:lastColumn="0" w:noHBand="0" w:noVBand="1"/>
      </w:tblPr>
      <w:tblGrid>
        <w:gridCol w:w="1334"/>
        <w:gridCol w:w="2699"/>
        <w:gridCol w:w="1187"/>
        <w:gridCol w:w="1890"/>
        <w:gridCol w:w="1980"/>
      </w:tblGrid>
      <w:tr w:rsidR="005D604C" w:rsidRPr="005D604C" w14:paraId="4C467408" w14:textId="77777777" w:rsidTr="005D604C">
        <w:trPr>
          <w:trHeight w:val="499"/>
        </w:trPr>
        <w:tc>
          <w:tcPr>
            <w:tcW w:w="1334" w:type="dxa"/>
            <w:tcBorders>
              <w:top w:val="single" w:sz="4" w:space="0" w:color="000000"/>
              <w:left w:val="single" w:sz="4" w:space="0" w:color="000000"/>
              <w:bottom w:val="single" w:sz="4" w:space="0" w:color="000000"/>
              <w:right w:val="single" w:sz="4" w:space="0" w:color="000000"/>
            </w:tcBorders>
            <w:vAlign w:val="center"/>
          </w:tcPr>
          <w:p w14:paraId="7E3D191E" w14:textId="77777777" w:rsidR="005D604C" w:rsidRPr="005D604C" w:rsidRDefault="005D604C" w:rsidP="00913F44">
            <w:pPr>
              <w:ind w:right="23"/>
              <w:jc w:val="center"/>
              <w:rPr>
                <w:rFonts w:asciiTheme="minorHAnsi" w:hAnsiTheme="minorHAnsi"/>
                <w:sz w:val="18"/>
                <w:szCs w:val="18"/>
              </w:rPr>
            </w:pPr>
            <w:r w:rsidRPr="005D604C">
              <w:rPr>
                <w:rFonts w:asciiTheme="minorHAnsi" w:hAnsiTheme="minorHAnsi"/>
                <w:b/>
                <w:sz w:val="18"/>
                <w:szCs w:val="18"/>
              </w:rPr>
              <w:t xml:space="preserve">CONCEPT_A </w:t>
            </w:r>
          </w:p>
        </w:tc>
        <w:tc>
          <w:tcPr>
            <w:tcW w:w="2699" w:type="dxa"/>
            <w:tcBorders>
              <w:top w:val="single" w:sz="4" w:space="0" w:color="000000"/>
              <w:left w:val="single" w:sz="4" w:space="0" w:color="000000"/>
              <w:bottom w:val="single" w:sz="4" w:space="0" w:color="000000"/>
              <w:right w:val="single" w:sz="4" w:space="0" w:color="000000"/>
            </w:tcBorders>
            <w:vAlign w:val="center"/>
          </w:tcPr>
          <w:p w14:paraId="08F9954E" w14:textId="77777777" w:rsidR="005D604C" w:rsidRPr="005D604C" w:rsidRDefault="005D604C" w:rsidP="00913F44">
            <w:pPr>
              <w:ind w:right="31"/>
              <w:jc w:val="center"/>
              <w:rPr>
                <w:rFonts w:asciiTheme="minorHAnsi" w:hAnsiTheme="minorHAnsi"/>
                <w:sz w:val="18"/>
                <w:szCs w:val="18"/>
              </w:rPr>
            </w:pPr>
            <w:r w:rsidRPr="005D604C">
              <w:rPr>
                <w:rFonts w:asciiTheme="minorHAnsi" w:hAnsiTheme="minorHAnsi"/>
                <w:b/>
                <w:sz w:val="18"/>
                <w:szCs w:val="18"/>
              </w:rPr>
              <w:t xml:space="preserve">CONCEPT_B </w:t>
            </w:r>
          </w:p>
        </w:tc>
        <w:tc>
          <w:tcPr>
            <w:tcW w:w="1187" w:type="dxa"/>
            <w:tcBorders>
              <w:top w:val="single" w:sz="4" w:space="0" w:color="000000"/>
              <w:left w:val="single" w:sz="4" w:space="0" w:color="000000"/>
              <w:bottom w:val="single" w:sz="4" w:space="0" w:color="000000"/>
              <w:right w:val="single" w:sz="4" w:space="0" w:color="000000"/>
            </w:tcBorders>
            <w:vAlign w:val="center"/>
          </w:tcPr>
          <w:p w14:paraId="69E1791F" w14:textId="77777777" w:rsidR="005D604C" w:rsidRPr="005D604C" w:rsidRDefault="005D604C" w:rsidP="00913F44">
            <w:pPr>
              <w:ind w:left="34"/>
              <w:rPr>
                <w:rFonts w:asciiTheme="minorHAnsi" w:hAnsiTheme="minorHAnsi"/>
                <w:sz w:val="18"/>
                <w:szCs w:val="18"/>
              </w:rPr>
            </w:pPr>
            <w:r w:rsidRPr="005D604C">
              <w:rPr>
                <w:rFonts w:asciiTheme="minorHAnsi" w:hAnsiTheme="minorHAnsi"/>
                <w:b/>
                <w:sz w:val="18"/>
                <w:szCs w:val="18"/>
              </w:rPr>
              <w:t xml:space="preserve">Observed Cases </w:t>
            </w:r>
          </w:p>
        </w:tc>
        <w:tc>
          <w:tcPr>
            <w:tcW w:w="1890" w:type="dxa"/>
            <w:tcBorders>
              <w:top w:val="single" w:sz="4" w:space="0" w:color="000000"/>
              <w:left w:val="single" w:sz="4" w:space="0" w:color="000000"/>
              <w:bottom w:val="single" w:sz="4" w:space="0" w:color="000000"/>
              <w:right w:val="single" w:sz="4" w:space="0" w:color="000000"/>
            </w:tcBorders>
          </w:tcPr>
          <w:p w14:paraId="09F0856A" w14:textId="36FD2C69" w:rsidR="005D604C" w:rsidRPr="005D604C" w:rsidRDefault="005D604C" w:rsidP="00913F44">
            <w:pPr>
              <w:ind w:left="324" w:right="290"/>
              <w:jc w:val="center"/>
              <w:rPr>
                <w:rFonts w:asciiTheme="minorHAnsi" w:hAnsiTheme="minorHAnsi"/>
                <w:sz w:val="18"/>
                <w:szCs w:val="18"/>
              </w:rPr>
            </w:pPr>
            <w:r w:rsidRPr="005D604C">
              <w:rPr>
                <w:rFonts w:asciiTheme="minorHAnsi" w:hAnsiTheme="minorHAnsi"/>
                <w:b/>
                <w:sz w:val="18"/>
                <w:szCs w:val="18"/>
              </w:rPr>
              <w:t xml:space="preserve">Observed to Expected Ratio </w:t>
            </w:r>
            <w:r>
              <w:rPr>
                <w:rFonts w:asciiTheme="minorHAnsi" w:hAnsiTheme="minorHAnsi"/>
                <w:b/>
                <w:sz w:val="18"/>
                <w:szCs w:val="18"/>
              </w:rPr>
              <w:t>(IRR)</w:t>
            </w:r>
          </w:p>
        </w:tc>
        <w:tc>
          <w:tcPr>
            <w:tcW w:w="1980" w:type="dxa"/>
            <w:tcBorders>
              <w:top w:val="single" w:sz="4" w:space="0" w:color="000000"/>
              <w:left w:val="single" w:sz="4" w:space="0" w:color="000000"/>
              <w:bottom w:val="single" w:sz="4" w:space="0" w:color="000000"/>
              <w:right w:val="single" w:sz="4" w:space="0" w:color="000000"/>
            </w:tcBorders>
            <w:vAlign w:val="center"/>
          </w:tcPr>
          <w:p w14:paraId="6B3ADD3E" w14:textId="77777777" w:rsidR="005D604C" w:rsidRPr="005D604C" w:rsidRDefault="005D604C" w:rsidP="00913F44">
            <w:pPr>
              <w:ind w:right="32"/>
              <w:jc w:val="center"/>
              <w:rPr>
                <w:rFonts w:asciiTheme="minorHAnsi" w:hAnsiTheme="minorHAnsi"/>
                <w:sz w:val="18"/>
                <w:szCs w:val="18"/>
              </w:rPr>
            </w:pPr>
            <w:r w:rsidRPr="005D604C">
              <w:rPr>
                <w:rFonts w:asciiTheme="minorHAnsi" w:hAnsiTheme="minorHAnsi"/>
                <w:b/>
                <w:sz w:val="18"/>
                <w:szCs w:val="18"/>
              </w:rPr>
              <w:t xml:space="preserve">Relationship </w:t>
            </w:r>
          </w:p>
        </w:tc>
      </w:tr>
      <w:tr w:rsidR="005D604C" w:rsidRPr="005D604C" w14:paraId="7D605DD5" w14:textId="77777777" w:rsidTr="005D604C">
        <w:trPr>
          <w:trHeight w:val="255"/>
        </w:trPr>
        <w:tc>
          <w:tcPr>
            <w:tcW w:w="1334" w:type="dxa"/>
            <w:vMerge w:val="restart"/>
            <w:tcBorders>
              <w:top w:val="single" w:sz="4" w:space="0" w:color="000000"/>
              <w:left w:val="single" w:sz="4" w:space="0" w:color="000000"/>
              <w:bottom w:val="single" w:sz="4" w:space="0" w:color="000000"/>
              <w:right w:val="single" w:sz="4" w:space="0" w:color="000000"/>
            </w:tcBorders>
            <w:vAlign w:val="center"/>
          </w:tcPr>
          <w:p w14:paraId="45DE2EF2" w14:textId="77777777" w:rsidR="005D604C" w:rsidRPr="005D604C" w:rsidRDefault="005D604C" w:rsidP="00913F44">
            <w:pPr>
              <w:ind w:left="5"/>
              <w:rPr>
                <w:rFonts w:asciiTheme="minorHAnsi" w:hAnsiTheme="minorHAnsi"/>
                <w:sz w:val="18"/>
                <w:szCs w:val="18"/>
              </w:rPr>
            </w:pPr>
            <w:r w:rsidRPr="005D604C">
              <w:rPr>
                <w:rFonts w:asciiTheme="minorHAnsi" w:hAnsiTheme="minorHAnsi"/>
                <w:sz w:val="18"/>
                <w:szCs w:val="18"/>
              </w:rPr>
              <w:t xml:space="preserve">Acute Pancreatitis </w:t>
            </w:r>
          </w:p>
        </w:tc>
        <w:tc>
          <w:tcPr>
            <w:tcW w:w="2699" w:type="dxa"/>
            <w:tcBorders>
              <w:top w:val="single" w:sz="4" w:space="0" w:color="000000"/>
              <w:left w:val="single" w:sz="4" w:space="0" w:color="000000"/>
              <w:bottom w:val="single" w:sz="4" w:space="0" w:color="000000"/>
              <w:right w:val="single" w:sz="4" w:space="0" w:color="000000"/>
            </w:tcBorders>
          </w:tcPr>
          <w:p w14:paraId="77BBE429" w14:textId="77777777" w:rsidR="005D604C" w:rsidRPr="005D604C" w:rsidRDefault="005D604C" w:rsidP="00913F44">
            <w:pPr>
              <w:rPr>
                <w:rFonts w:asciiTheme="minorHAnsi" w:hAnsiTheme="minorHAnsi"/>
                <w:sz w:val="18"/>
                <w:szCs w:val="18"/>
              </w:rPr>
            </w:pPr>
            <w:r w:rsidRPr="005D604C">
              <w:rPr>
                <w:rFonts w:asciiTheme="minorHAnsi" w:hAnsiTheme="minorHAnsi"/>
                <w:sz w:val="18"/>
                <w:szCs w:val="18"/>
              </w:rPr>
              <w:t xml:space="preserve">Acute </w:t>
            </w:r>
            <w:proofErr w:type="spellStart"/>
            <w:r w:rsidRPr="005D604C">
              <w:rPr>
                <w:rFonts w:asciiTheme="minorHAnsi" w:hAnsiTheme="minorHAnsi"/>
                <w:sz w:val="18"/>
                <w:szCs w:val="18"/>
              </w:rPr>
              <w:t>posthemrg</w:t>
            </w:r>
            <w:proofErr w:type="spellEnd"/>
            <w:r w:rsidRPr="005D604C">
              <w:rPr>
                <w:rFonts w:asciiTheme="minorHAnsi" w:hAnsiTheme="minorHAnsi"/>
                <w:sz w:val="18"/>
                <w:szCs w:val="18"/>
              </w:rPr>
              <w:t xml:space="preserve"> anemia </w:t>
            </w:r>
          </w:p>
        </w:tc>
        <w:tc>
          <w:tcPr>
            <w:tcW w:w="1187" w:type="dxa"/>
            <w:tcBorders>
              <w:top w:val="single" w:sz="4" w:space="0" w:color="000000"/>
              <w:left w:val="single" w:sz="4" w:space="0" w:color="000000"/>
              <w:bottom w:val="single" w:sz="4" w:space="0" w:color="000000"/>
              <w:right w:val="single" w:sz="4" w:space="0" w:color="000000"/>
            </w:tcBorders>
          </w:tcPr>
          <w:p w14:paraId="7E2CE876" w14:textId="77777777" w:rsidR="005D604C" w:rsidRPr="005D604C" w:rsidRDefault="005D604C" w:rsidP="00913F44">
            <w:pPr>
              <w:ind w:right="31"/>
              <w:jc w:val="center"/>
              <w:rPr>
                <w:rFonts w:asciiTheme="minorHAnsi" w:hAnsiTheme="minorHAnsi"/>
                <w:sz w:val="18"/>
                <w:szCs w:val="18"/>
              </w:rPr>
            </w:pPr>
            <w:r w:rsidRPr="005D604C">
              <w:rPr>
                <w:rFonts w:asciiTheme="minorHAnsi" w:hAnsiTheme="minorHAnsi"/>
                <w:sz w:val="18"/>
                <w:szCs w:val="18"/>
              </w:rPr>
              <w:t xml:space="preserve">1,455 </w:t>
            </w:r>
          </w:p>
        </w:tc>
        <w:tc>
          <w:tcPr>
            <w:tcW w:w="1890" w:type="dxa"/>
            <w:tcBorders>
              <w:top w:val="single" w:sz="4" w:space="0" w:color="000000"/>
              <w:left w:val="single" w:sz="4" w:space="0" w:color="000000"/>
              <w:bottom w:val="single" w:sz="4" w:space="0" w:color="000000"/>
              <w:right w:val="single" w:sz="4" w:space="0" w:color="000000"/>
            </w:tcBorders>
          </w:tcPr>
          <w:p w14:paraId="1BDEE28B" w14:textId="77777777" w:rsidR="005D604C" w:rsidRPr="005D604C" w:rsidRDefault="005D604C" w:rsidP="00913F44">
            <w:pPr>
              <w:ind w:right="30"/>
              <w:jc w:val="center"/>
              <w:rPr>
                <w:rFonts w:asciiTheme="minorHAnsi" w:hAnsiTheme="minorHAnsi"/>
                <w:sz w:val="18"/>
                <w:szCs w:val="18"/>
              </w:rPr>
            </w:pPr>
            <w:r w:rsidRPr="005D604C">
              <w:rPr>
                <w:rFonts w:asciiTheme="minorHAnsi" w:hAnsiTheme="minorHAnsi"/>
                <w:sz w:val="18"/>
                <w:szCs w:val="18"/>
              </w:rPr>
              <w:t xml:space="preserve">1.0 </w:t>
            </w:r>
          </w:p>
        </w:tc>
        <w:tc>
          <w:tcPr>
            <w:tcW w:w="1980" w:type="dxa"/>
            <w:vMerge w:val="restart"/>
            <w:tcBorders>
              <w:top w:val="single" w:sz="4" w:space="0" w:color="000000"/>
              <w:left w:val="single" w:sz="4" w:space="0" w:color="000000"/>
              <w:bottom w:val="single" w:sz="4" w:space="0" w:color="000000"/>
              <w:right w:val="single" w:sz="4" w:space="0" w:color="000000"/>
            </w:tcBorders>
            <w:vAlign w:val="center"/>
          </w:tcPr>
          <w:p w14:paraId="50A5A2B8" w14:textId="77777777" w:rsidR="005D604C" w:rsidRPr="005D604C" w:rsidRDefault="005D604C" w:rsidP="00913F44">
            <w:pPr>
              <w:ind w:right="36"/>
              <w:jc w:val="center"/>
              <w:rPr>
                <w:rFonts w:asciiTheme="minorHAnsi" w:hAnsiTheme="minorHAnsi"/>
                <w:sz w:val="18"/>
                <w:szCs w:val="18"/>
              </w:rPr>
            </w:pPr>
            <w:r w:rsidRPr="005D604C">
              <w:rPr>
                <w:rFonts w:asciiTheme="minorHAnsi" w:hAnsiTheme="minorHAnsi"/>
                <w:sz w:val="18"/>
                <w:szCs w:val="18"/>
              </w:rPr>
              <w:t xml:space="preserve">A causes B </w:t>
            </w:r>
          </w:p>
        </w:tc>
      </w:tr>
      <w:tr w:rsidR="005D604C" w:rsidRPr="005D604C" w14:paraId="6A91F660" w14:textId="77777777" w:rsidTr="005D604C">
        <w:trPr>
          <w:trHeight w:val="254"/>
        </w:trPr>
        <w:tc>
          <w:tcPr>
            <w:tcW w:w="1334" w:type="dxa"/>
            <w:vMerge/>
            <w:tcBorders>
              <w:top w:val="nil"/>
              <w:left w:val="single" w:sz="4" w:space="0" w:color="000000"/>
              <w:bottom w:val="nil"/>
              <w:right w:val="single" w:sz="4" w:space="0" w:color="000000"/>
            </w:tcBorders>
          </w:tcPr>
          <w:p w14:paraId="74FCB148" w14:textId="77777777" w:rsidR="005D604C" w:rsidRPr="005D604C" w:rsidRDefault="005D604C" w:rsidP="00913F44">
            <w:pPr>
              <w:rPr>
                <w:rFonts w:asciiTheme="minorHAnsi" w:hAnsiTheme="minorHAnsi"/>
                <w:sz w:val="18"/>
                <w:szCs w:val="18"/>
              </w:rPr>
            </w:pPr>
          </w:p>
        </w:tc>
        <w:tc>
          <w:tcPr>
            <w:tcW w:w="2699" w:type="dxa"/>
            <w:tcBorders>
              <w:top w:val="single" w:sz="4" w:space="0" w:color="000000"/>
              <w:left w:val="single" w:sz="4" w:space="0" w:color="000000"/>
              <w:bottom w:val="single" w:sz="4" w:space="0" w:color="000000"/>
              <w:right w:val="single" w:sz="4" w:space="0" w:color="000000"/>
            </w:tcBorders>
          </w:tcPr>
          <w:p w14:paraId="1D2A0F92" w14:textId="77777777" w:rsidR="005D604C" w:rsidRPr="005D604C" w:rsidRDefault="005D604C" w:rsidP="00913F44">
            <w:pPr>
              <w:rPr>
                <w:rFonts w:asciiTheme="minorHAnsi" w:hAnsiTheme="minorHAnsi"/>
                <w:sz w:val="18"/>
                <w:szCs w:val="18"/>
              </w:rPr>
            </w:pPr>
            <w:r w:rsidRPr="005D604C">
              <w:rPr>
                <w:rFonts w:asciiTheme="minorHAnsi" w:hAnsiTheme="minorHAnsi"/>
                <w:sz w:val="18"/>
                <w:szCs w:val="18"/>
              </w:rPr>
              <w:t xml:space="preserve">Thrombosis - portal vein </w:t>
            </w:r>
          </w:p>
        </w:tc>
        <w:tc>
          <w:tcPr>
            <w:tcW w:w="1187" w:type="dxa"/>
            <w:tcBorders>
              <w:top w:val="single" w:sz="4" w:space="0" w:color="000000"/>
              <w:left w:val="single" w:sz="4" w:space="0" w:color="000000"/>
              <w:bottom w:val="single" w:sz="4" w:space="0" w:color="000000"/>
              <w:right w:val="single" w:sz="4" w:space="0" w:color="000000"/>
            </w:tcBorders>
          </w:tcPr>
          <w:p w14:paraId="71A4039E" w14:textId="77777777" w:rsidR="005D604C" w:rsidRPr="005D604C" w:rsidRDefault="005D604C" w:rsidP="00913F44">
            <w:pPr>
              <w:ind w:right="31"/>
              <w:jc w:val="center"/>
              <w:rPr>
                <w:rFonts w:asciiTheme="minorHAnsi" w:hAnsiTheme="minorHAnsi"/>
                <w:sz w:val="18"/>
                <w:szCs w:val="18"/>
              </w:rPr>
            </w:pPr>
            <w:r w:rsidRPr="005D604C">
              <w:rPr>
                <w:rFonts w:asciiTheme="minorHAnsi" w:hAnsiTheme="minorHAnsi"/>
                <w:sz w:val="18"/>
                <w:szCs w:val="18"/>
              </w:rPr>
              <w:t xml:space="preserve">161 </w:t>
            </w:r>
          </w:p>
        </w:tc>
        <w:tc>
          <w:tcPr>
            <w:tcW w:w="1890" w:type="dxa"/>
            <w:tcBorders>
              <w:top w:val="single" w:sz="4" w:space="0" w:color="000000"/>
              <w:left w:val="single" w:sz="4" w:space="0" w:color="000000"/>
              <w:bottom w:val="single" w:sz="4" w:space="0" w:color="000000"/>
              <w:right w:val="single" w:sz="4" w:space="0" w:color="000000"/>
            </w:tcBorders>
          </w:tcPr>
          <w:p w14:paraId="3C2BAB5A" w14:textId="77777777" w:rsidR="005D604C" w:rsidRPr="005D604C" w:rsidRDefault="005D604C" w:rsidP="00913F44">
            <w:pPr>
              <w:ind w:right="30"/>
              <w:jc w:val="center"/>
              <w:rPr>
                <w:rFonts w:asciiTheme="minorHAnsi" w:hAnsiTheme="minorHAnsi"/>
                <w:sz w:val="18"/>
                <w:szCs w:val="18"/>
              </w:rPr>
            </w:pPr>
            <w:r w:rsidRPr="005D604C">
              <w:rPr>
                <w:rFonts w:asciiTheme="minorHAnsi" w:hAnsiTheme="minorHAnsi"/>
                <w:sz w:val="18"/>
                <w:szCs w:val="18"/>
              </w:rPr>
              <w:t xml:space="preserve">7.7 </w:t>
            </w:r>
          </w:p>
        </w:tc>
        <w:tc>
          <w:tcPr>
            <w:tcW w:w="1980" w:type="dxa"/>
            <w:vMerge/>
            <w:tcBorders>
              <w:top w:val="nil"/>
              <w:left w:val="single" w:sz="4" w:space="0" w:color="000000"/>
              <w:bottom w:val="nil"/>
              <w:right w:val="single" w:sz="4" w:space="0" w:color="000000"/>
            </w:tcBorders>
          </w:tcPr>
          <w:p w14:paraId="72596559" w14:textId="77777777" w:rsidR="005D604C" w:rsidRPr="005D604C" w:rsidRDefault="005D604C" w:rsidP="00913F44">
            <w:pPr>
              <w:rPr>
                <w:rFonts w:asciiTheme="minorHAnsi" w:hAnsiTheme="minorHAnsi"/>
                <w:sz w:val="18"/>
                <w:szCs w:val="18"/>
              </w:rPr>
            </w:pPr>
          </w:p>
        </w:tc>
      </w:tr>
      <w:tr w:rsidR="005D604C" w:rsidRPr="005D604C" w14:paraId="3C7DC15D" w14:textId="77777777" w:rsidTr="005D604C">
        <w:trPr>
          <w:trHeight w:val="254"/>
        </w:trPr>
        <w:tc>
          <w:tcPr>
            <w:tcW w:w="1334" w:type="dxa"/>
            <w:vMerge/>
            <w:tcBorders>
              <w:top w:val="nil"/>
              <w:left w:val="single" w:sz="4" w:space="0" w:color="000000"/>
              <w:bottom w:val="nil"/>
              <w:right w:val="single" w:sz="4" w:space="0" w:color="000000"/>
            </w:tcBorders>
          </w:tcPr>
          <w:p w14:paraId="7CA5A234" w14:textId="77777777" w:rsidR="005D604C" w:rsidRPr="005D604C" w:rsidRDefault="005D604C" w:rsidP="00913F44">
            <w:pPr>
              <w:rPr>
                <w:rFonts w:asciiTheme="minorHAnsi" w:hAnsiTheme="minorHAnsi"/>
                <w:sz w:val="18"/>
                <w:szCs w:val="18"/>
              </w:rPr>
            </w:pPr>
          </w:p>
        </w:tc>
        <w:tc>
          <w:tcPr>
            <w:tcW w:w="2699" w:type="dxa"/>
            <w:tcBorders>
              <w:top w:val="single" w:sz="4" w:space="0" w:color="000000"/>
              <w:left w:val="single" w:sz="4" w:space="0" w:color="000000"/>
              <w:bottom w:val="single" w:sz="4" w:space="0" w:color="000000"/>
              <w:right w:val="single" w:sz="4" w:space="0" w:color="000000"/>
            </w:tcBorders>
          </w:tcPr>
          <w:p w14:paraId="794CA337" w14:textId="77777777" w:rsidR="005D604C" w:rsidRPr="005D604C" w:rsidRDefault="005D604C" w:rsidP="00913F44">
            <w:pPr>
              <w:rPr>
                <w:rFonts w:asciiTheme="minorHAnsi" w:hAnsiTheme="minorHAnsi"/>
                <w:sz w:val="18"/>
                <w:szCs w:val="18"/>
              </w:rPr>
            </w:pPr>
            <w:r w:rsidRPr="005D604C">
              <w:rPr>
                <w:rFonts w:asciiTheme="minorHAnsi" w:hAnsiTheme="minorHAnsi"/>
                <w:sz w:val="18"/>
                <w:szCs w:val="18"/>
              </w:rPr>
              <w:t xml:space="preserve">Pancreatic disorders </w:t>
            </w:r>
            <w:proofErr w:type="spellStart"/>
            <w:r w:rsidRPr="005D604C">
              <w:rPr>
                <w:rFonts w:asciiTheme="minorHAnsi" w:hAnsiTheme="minorHAnsi"/>
                <w:sz w:val="18"/>
                <w:szCs w:val="18"/>
              </w:rPr>
              <w:t>nos</w:t>
            </w:r>
            <w:proofErr w:type="spellEnd"/>
            <w:r w:rsidRPr="005D604C">
              <w:rPr>
                <w:rFonts w:asciiTheme="minorHAnsi" w:hAnsiTheme="minorHAnsi"/>
                <w:sz w:val="18"/>
                <w:szCs w:val="18"/>
              </w:rPr>
              <w:t xml:space="preserve"> </w:t>
            </w:r>
          </w:p>
        </w:tc>
        <w:tc>
          <w:tcPr>
            <w:tcW w:w="1187" w:type="dxa"/>
            <w:tcBorders>
              <w:top w:val="single" w:sz="4" w:space="0" w:color="000000"/>
              <w:left w:val="single" w:sz="4" w:space="0" w:color="000000"/>
              <w:bottom w:val="single" w:sz="4" w:space="0" w:color="000000"/>
              <w:right w:val="single" w:sz="4" w:space="0" w:color="000000"/>
            </w:tcBorders>
          </w:tcPr>
          <w:p w14:paraId="0C1E7EC7" w14:textId="77777777" w:rsidR="005D604C" w:rsidRPr="005D604C" w:rsidRDefault="005D604C" w:rsidP="00913F44">
            <w:pPr>
              <w:ind w:right="31"/>
              <w:jc w:val="center"/>
              <w:rPr>
                <w:rFonts w:asciiTheme="minorHAnsi" w:hAnsiTheme="minorHAnsi"/>
                <w:sz w:val="18"/>
                <w:szCs w:val="18"/>
              </w:rPr>
            </w:pPr>
            <w:r w:rsidRPr="005D604C">
              <w:rPr>
                <w:rFonts w:asciiTheme="minorHAnsi" w:hAnsiTheme="minorHAnsi"/>
                <w:sz w:val="18"/>
                <w:szCs w:val="18"/>
              </w:rPr>
              <w:t xml:space="preserve">393 </w:t>
            </w:r>
          </w:p>
        </w:tc>
        <w:tc>
          <w:tcPr>
            <w:tcW w:w="1890" w:type="dxa"/>
            <w:tcBorders>
              <w:top w:val="single" w:sz="4" w:space="0" w:color="000000"/>
              <w:left w:val="single" w:sz="4" w:space="0" w:color="000000"/>
              <w:bottom w:val="single" w:sz="4" w:space="0" w:color="000000"/>
              <w:right w:val="single" w:sz="4" w:space="0" w:color="000000"/>
            </w:tcBorders>
          </w:tcPr>
          <w:p w14:paraId="08F24D45" w14:textId="77777777" w:rsidR="005D604C" w:rsidRPr="005D604C" w:rsidRDefault="005D604C" w:rsidP="00913F44">
            <w:pPr>
              <w:ind w:right="35"/>
              <w:jc w:val="center"/>
              <w:rPr>
                <w:rFonts w:asciiTheme="minorHAnsi" w:hAnsiTheme="minorHAnsi"/>
                <w:sz w:val="18"/>
                <w:szCs w:val="18"/>
              </w:rPr>
            </w:pPr>
            <w:r w:rsidRPr="005D604C">
              <w:rPr>
                <w:rFonts w:asciiTheme="minorHAnsi" w:hAnsiTheme="minorHAnsi"/>
                <w:sz w:val="18"/>
                <w:szCs w:val="18"/>
              </w:rPr>
              <w:t xml:space="preserve">10.2 </w:t>
            </w:r>
          </w:p>
        </w:tc>
        <w:tc>
          <w:tcPr>
            <w:tcW w:w="1980" w:type="dxa"/>
            <w:vMerge/>
            <w:tcBorders>
              <w:top w:val="nil"/>
              <w:left w:val="single" w:sz="4" w:space="0" w:color="000000"/>
              <w:bottom w:val="nil"/>
              <w:right w:val="single" w:sz="4" w:space="0" w:color="000000"/>
            </w:tcBorders>
          </w:tcPr>
          <w:p w14:paraId="528B13A7" w14:textId="77777777" w:rsidR="005D604C" w:rsidRPr="005D604C" w:rsidRDefault="005D604C" w:rsidP="00913F44">
            <w:pPr>
              <w:rPr>
                <w:rFonts w:asciiTheme="minorHAnsi" w:hAnsiTheme="minorHAnsi"/>
                <w:sz w:val="18"/>
                <w:szCs w:val="18"/>
              </w:rPr>
            </w:pPr>
          </w:p>
        </w:tc>
      </w:tr>
      <w:tr w:rsidR="005D604C" w:rsidRPr="005D604C" w14:paraId="18199747" w14:textId="77777777" w:rsidTr="005D604C">
        <w:trPr>
          <w:trHeight w:val="254"/>
        </w:trPr>
        <w:tc>
          <w:tcPr>
            <w:tcW w:w="1334" w:type="dxa"/>
            <w:vMerge/>
            <w:tcBorders>
              <w:top w:val="nil"/>
              <w:left w:val="single" w:sz="4" w:space="0" w:color="000000"/>
              <w:bottom w:val="nil"/>
              <w:right w:val="single" w:sz="4" w:space="0" w:color="000000"/>
            </w:tcBorders>
          </w:tcPr>
          <w:p w14:paraId="3F6FE281" w14:textId="77777777" w:rsidR="005D604C" w:rsidRPr="005D604C" w:rsidRDefault="005D604C" w:rsidP="00913F44">
            <w:pPr>
              <w:rPr>
                <w:rFonts w:asciiTheme="minorHAnsi" w:hAnsiTheme="minorHAnsi"/>
                <w:sz w:val="18"/>
                <w:szCs w:val="18"/>
              </w:rPr>
            </w:pPr>
          </w:p>
        </w:tc>
        <w:tc>
          <w:tcPr>
            <w:tcW w:w="2699" w:type="dxa"/>
            <w:tcBorders>
              <w:top w:val="single" w:sz="4" w:space="0" w:color="000000"/>
              <w:left w:val="single" w:sz="4" w:space="0" w:color="000000"/>
              <w:bottom w:val="single" w:sz="4" w:space="0" w:color="000000"/>
              <w:right w:val="single" w:sz="4" w:space="0" w:color="000000"/>
            </w:tcBorders>
          </w:tcPr>
          <w:p w14:paraId="425140E9" w14:textId="77777777" w:rsidR="005D604C" w:rsidRPr="005D604C" w:rsidRDefault="005D604C" w:rsidP="00913F44">
            <w:pPr>
              <w:rPr>
                <w:rFonts w:asciiTheme="minorHAnsi" w:hAnsiTheme="minorHAnsi"/>
                <w:sz w:val="18"/>
                <w:szCs w:val="18"/>
              </w:rPr>
            </w:pPr>
            <w:r w:rsidRPr="005D604C">
              <w:rPr>
                <w:rFonts w:asciiTheme="minorHAnsi" w:hAnsiTheme="minorHAnsi"/>
                <w:sz w:val="18"/>
                <w:szCs w:val="18"/>
              </w:rPr>
              <w:t xml:space="preserve">Abdominal pain </w:t>
            </w:r>
          </w:p>
        </w:tc>
        <w:tc>
          <w:tcPr>
            <w:tcW w:w="1187" w:type="dxa"/>
            <w:tcBorders>
              <w:top w:val="single" w:sz="4" w:space="0" w:color="000000"/>
              <w:left w:val="single" w:sz="4" w:space="0" w:color="000000"/>
              <w:bottom w:val="single" w:sz="4" w:space="0" w:color="000000"/>
              <w:right w:val="single" w:sz="4" w:space="0" w:color="000000"/>
            </w:tcBorders>
          </w:tcPr>
          <w:p w14:paraId="42340083" w14:textId="77777777" w:rsidR="005D604C" w:rsidRPr="005D604C" w:rsidRDefault="005D604C" w:rsidP="00913F44">
            <w:pPr>
              <w:ind w:right="26"/>
              <w:jc w:val="center"/>
              <w:rPr>
                <w:rFonts w:asciiTheme="minorHAnsi" w:hAnsiTheme="minorHAnsi"/>
                <w:sz w:val="18"/>
                <w:szCs w:val="18"/>
              </w:rPr>
            </w:pPr>
            <w:r w:rsidRPr="005D604C">
              <w:rPr>
                <w:rFonts w:asciiTheme="minorHAnsi" w:hAnsiTheme="minorHAnsi"/>
                <w:sz w:val="18"/>
                <w:szCs w:val="18"/>
              </w:rPr>
              <w:t xml:space="preserve">74 </w:t>
            </w:r>
          </w:p>
        </w:tc>
        <w:tc>
          <w:tcPr>
            <w:tcW w:w="1890" w:type="dxa"/>
            <w:tcBorders>
              <w:top w:val="single" w:sz="4" w:space="0" w:color="000000"/>
              <w:left w:val="single" w:sz="4" w:space="0" w:color="000000"/>
              <w:bottom w:val="single" w:sz="4" w:space="0" w:color="000000"/>
              <w:right w:val="single" w:sz="4" w:space="0" w:color="000000"/>
            </w:tcBorders>
          </w:tcPr>
          <w:p w14:paraId="60048192" w14:textId="77777777" w:rsidR="005D604C" w:rsidRPr="005D604C" w:rsidRDefault="005D604C" w:rsidP="00913F44">
            <w:pPr>
              <w:ind w:right="30"/>
              <w:jc w:val="center"/>
              <w:rPr>
                <w:rFonts w:asciiTheme="minorHAnsi" w:hAnsiTheme="minorHAnsi"/>
                <w:sz w:val="18"/>
                <w:szCs w:val="18"/>
              </w:rPr>
            </w:pPr>
            <w:r w:rsidRPr="005D604C">
              <w:rPr>
                <w:rFonts w:asciiTheme="minorHAnsi" w:hAnsiTheme="minorHAnsi"/>
                <w:sz w:val="18"/>
                <w:szCs w:val="18"/>
              </w:rPr>
              <w:t xml:space="preserve">2.0 </w:t>
            </w:r>
          </w:p>
        </w:tc>
        <w:tc>
          <w:tcPr>
            <w:tcW w:w="1980" w:type="dxa"/>
            <w:vMerge/>
            <w:tcBorders>
              <w:top w:val="nil"/>
              <w:left w:val="single" w:sz="4" w:space="0" w:color="000000"/>
              <w:bottom w:val="nil"/>
              <w:right w:val="single" w:sz="4" w:space="0" w:color="000000"/>
            </w:tcBorders>
          </w:tcPr>
          <w:p w14:paraId="27EBB208" w14:textId="77777777" w:rsidR="005D604C" w:rsidRPr="005D604C" w:rsidRDefault="005D604C" w:rsidP="00913F44">
            <w:pPr>
              <w:rPr>
                <w:rFonts w:asciiTheme="minorHAnsi" w:hAnsiTheme="minorHAnsi"/>
                <w:sz w:val="18"/>
                <w:szCs w:val="18"/>
              </w:rPr>
            </w:pPr>
          </w:p>
        </w:tc>
      </w:tr>
      <w:tr w:rsidR="005D604C" w:rsidRPr="005D604C" w14:paraId="2200D007" w14:textId="77777777" w:rsidTr="005D604C">
        <w:trPr>
          <w:trHeight w:val="250"/>
        </w:trPr>
        <w:tc>
          <w:tcPr>
            <w:tcW w:w="1334" w:type="dxa"/>
            <w:vMerge/>
            <w:tcBorders>
              <w:top w:val="nil"/>
              <w:left w:val="single" w:sz="4" w:space="0" w:color="000000"/>
              <w:bottom w:val="nil"/>
              <w:right w:val="single" w:sz="4" w:space="0" w:color="000000"/>
            </w:tcBorders>
          </w:tcPr>
          <w:p w14:paraId="28CD4561" w14:textId="77777777" w:rsidR="005D604C" w:rsidRPr="005D604C" w:rsidRDefault="005D604C" w:rsidP="00913F44">
            <w:pPr>
              <w:rPr>
                <w:rFonts w:asciiTheme="minorHAnsi" w:hAnsiTheme="minorHAnsi"/>
                <w:sz w:val="18"/>
                <w:szCs w:val="18"/>
              </w:rPr>
            </w:pPr>
          </w:p>
        </w:tc>
        <w:tc>
          <w:tcPr>
            <w:tcW w:w="2699" w:type="dxa"/>
            <w:tcBorders>
              <w:top w:val="single" w:sz="4" w:space="0" w:color="000000"/>
              <w:left w:val="single" w:sz="4" w:space="0" w:color="000000"/>
              <w:bottom w:val="single" w:sz="4" w:space="0" w:color="000000"/>
              <w:right w:val="single" w:sz="4" w:space="0" w:color="000000"/>
            </w:tcBorders>
          </w:tcPr>
          <w:p w14:paraId="65EB51C2" w14:textId="77777777" w:rsidR="005D604C" w:rsidRPr="005D604C" w:rsidRDefault="005D604C" w:rsidP="00913F44">
            <w:pPr>
              <w:rPr>
                <w:rFonts w:asciiTheme="minorHAnsi" w:hAnsiTheme="minorHAnsi"/>
                <w:sz w:val="18"/>
                <w:szCs w:val="18"/>
              </w:rPr>
            </w:pPr>
            <w:r w:rsidRPr="005D604C">
              <w:rPr>
                <w:rFonts w:asciiTheme="minorHAnsi" w:hAnsiTheme="minorHAnsi"/>
                <w:sz w:val="18"/>
                <w:szCs w:val="18"/>
              </w:rPr>
              <w:t xml:space="preserve">Pancreatic pseudocyst </w:t>
            </w:r>
          </w:p>
        </w:tc>
        <w:tc>
          <w:tcPr>
            <w:tcW w:w="1187" w:type="dxa"/>
            <w:tcBorders>
              <w:top w:val="single" w:sz="4" w:space="0" w:color="000000"/>
              <w:left w:val="single" w:sz="4" w:space="0" w:color="000000"/>
              <w:bottom w:val="single" w:sz="4" w:space="0" w:color="000000"/>
              <w:right w:val="single" w:sz="4" w:space="0" w:color="000000"/>
            </w:tcBorders>
          </w:tcPr>
          <w:p w14:paraId="0FAC702C" w14:textId="77777777" w:rsidR="005D604C" w:rsidRPr="005D604C" w:rsidRDefault="005D604C" w:rsidP="00913F44">
            <w:pPr>
              <w:ind w:right="31"/>
              <w:jc w:val="center"/>
              <w:rPr>
                <w:rFonts w:asciiTheme="minorHAnsi" w:hAnsiTheme="minorHAnsi"/>
                <w:sz w:val="18"/>
                <w:szCs w:val="18"/>
              </w:rPr>
            </w:pPr>
            <w:r w:rsidRPr="005D604C">
              <w:rPr>
                <w:rFonts w:asciiTheme="minorHAnsi" w:hAnsiTheme="minorHAnsi"/>
                <w:sz w:val="18"/>
                <w:szCs w:val="18"/>
              </w:rPr>
              <w:t xml:space="preserve">2,193 </w:t>
            </w:r>
          </w:p>
        </w:tc>
        <w:tc>
          <w:tcPr>
            <w:tcW w:w="1890" w:type="dxa"/>
            <w:tcBorders>
              <w:top w:val="single" w:sz="4" w:space="0" w:color="000000"/>
              <w:left w:val="single" w:sz="4" w:space="0" w:color="000000"/>
              <w:bottom w:val="single" w:sz="4" w:space="0" w:color="000000"/>
              <w:right w:val="single" w:sz="4" w:space="0" w:color="000000"/>
            </w:tcBorders>
          </w:tcPr>
          <w:p w14:paraId="655802A7" w14:textId="77777777" w:rsidR="005D604C" w:rsidRPr="005D604C" w:rsidRDefault="005D604C" w:rsidP="00913F44">
            <w:pPr>
              <w:ind w:right="35"/>
              <w:jc w:val="center"/>
              <w:rPr>
                <w:rFonts w:asciiTheme="minorHAnsi" w:hAnsiTheme="minorHAnsi"/>
                <w:sz w:val="18"/>
                <w:szCs w:val="18"/>
              </w:rPr>
            </w:pPr>
            <w:r w:rsidRPr="005D604C">
              <w:rPr>
                <w:rFonts w:asciiTheme="minorHAnsi" w:hAnsiTheme="minorHAnsi"/>
                <w:sz w:val="18"/>
                <w:szCs w:val="18"/>
              </w:rPr>
              <w:t xml:space="preserve">20.6 </w:t>
            </w:r>
          </w:p>
        </w:tc>
        <w:tc>
          <w:tcPr>
            <w:tcW w:w="1980" w:type="dxa"/>
            <w:vMerge/>
            <w:tcBorders>
              <w:top w:val="nil"/>
              <w:left w:val="single" w:sz="4" w:space="0" w:color="000000"/>
              <w:bottom w:val="nil"/>
              <w:right w:val="single" w:sz="4" w:space="0" w:color="000000"/>
            </w:tcBorders>
          </w:tcPr>
          <w:p w14:paraId="7C6AA31F" w14:textId="77777777" w:rsidR="005D604C" w:rsidRPr="005D604C" w:rsidRDefault="005D604C" w:rsidP="00913F44">
            <w:pPr>
              <w:rPr>
                <w:rFonts w:asciiTheme="minorHAnsi" w:hAnsiTheme="minorHAnsi"/>
                <w:sz w:val="18"/>
                <w:szCs w:val="18"/>
              </w:rPr>
            </w:pPr>
          </w:p>
        </w:tc>
      </w:tr>
      <w:tr w:rsidR="005D604C" w:rsidRPr="005D604C" w14:paraId="76145305" w14:textId="77777777" w:rsidTr="005D604C">
        <w:trPr>
          <w:trHeight w:val="254"/>
        </w:trPr>
        <w:tc>
          <w:tcPr>
            <w:tcW w:w="1334" w:type="dxa"/>
            <w:vMerge/>
            <w:tcBorders>
              <w:top w:val="nil"/>
              <w:left w:val="single" w:sz="4" w:space="0" w:color="000000"/>
              <w:bottom w:val="nil"/>
              <w:right w:val="single" w:sz="4" w:space="0" w:color="000000"/>
            </w:tcBorders>
          </w:tcPr>
          <w:p w14:paraId="14396873" w14:textId="77777777" w:rsidR="005D604C" w:rsidRPr="005D604C" w:rsidRDefault="005D604C" w:rsidP="00913F44">
            <w:pPr>
              <w:rPr>
                <w:rFonts w:asciiTheme="minorHAnsi" w:hAnsiTheme="minorHAnsi"/>
                <w:sz w:val="18"/>
                <w:szCs w:val="18"/>
              </w:rPr>
            </w:pPr>
          </w:p>
        </w:tc>
        <w:tc>
          <w:tcPr>
            <w:tcW w:w="2699" w:type="dxa"/>
            <w:tcBorders>
              <w:top w:val="single" w:sz="4" w:space="0" w:color="000000"/>
              <w:left w:val="single" w:sz="4" w:space="0" w:color="000000"/>
              <w:bottom w:val="single" w:sz="4" w:space="0" w:color="000000"/>
              <w:right w:val="single" w:sz="4" w:space="0" w:color="000000"/>
            </w:tcBorders>
          </w:tcPr>
          <w:p w14:paraId="7968B753" w14:textId="77777777" w:rsidR="005D604C" w:rsidRPr="005D604C" w:rsidRDefault="005D604C" w:rsidP="00913F44">
            <w:pPr>
              <w:rPr>
                <w:rFonts w:asciiTheme="minorHAnsi" w:hAnsiTheme="minorHAnsi"/>
                <w:sz w:val="18"/>
                <w:szCs w:val="18"/>
              </w:rPr>
            </w:pPr>
            <w:r w:rsidRPr="005D604C">
              <w:rPr>
                <w:rFonts w:asciiTheme="minorHAnsi" w:hAnsiTheme="minorHAnsi"/>
                <w:sz w:val="18"/>
                <w:szCs w:val="18"/>
              </w:rPr>
              <w:t>Peritonitis - nec/</w:t>
            </w:r>
            <w:proofErr w:type="spellStart"/>
            <w:r w:rsidRPr="005D604C">
              <w:rPr>
                <w:rFonts w:asciiTheme="minorHAnsi" w:hAnsiTheme="minorHAnsi"/>
                <w:sz w:val="18"/>
                <w:szCs w:val="18"/>
              </w:rPr>
              <w:t>nos</w:t>
            </w:r>
            <w:proofErr w:type="spellEnd"/>
            <w:r w:rsidRPr="005D604C">
              <w:rPr>
                <w:rFonts w:asciiTheme="minorHAnsi" w:hAnsiTheme="minorHAnsi"/>
                <w:sz w:val="18"/>
                <w:szCs w:val="18"/>
              </w:rPr>
              <w:t xml:space="preserve"> </w:t>
            </w:r>
          </w:p>
        </w:tc>
        <w:tc>
          <w:tcPr>
            <w:tcW w:w="1187" w:type="dxa"/>
            <w:tcBorders>
              <w:top w:val="single" w:sz="4" w:space="0" w:color="000000"/>
              <w:left w:val="single" w:sz="4" w:space="0" w:color="000000"/>
              <w:bottom w:val="single" w:sz="4" w:space="0" w:color="000000"/>
              <w:right w:val="single" w:sz="4" w:space="0" w:color="000000"/>
            </w:tcBorders>
          </w:tcPr>
          <w:p w14:paraId="414DEA28" w14:textId="77777777" w:rsidR="005D604C" w:rsidRPr="005D604C" w:rsidRDefault="005D604C" w:rsidP="00913F44">
            <w:pPr>
              <w:ind w:right="31"/>
              <w:jc w:val="center"/>
              <w:rPr>
                <w:rFonts w:asciiTheme="minorHAnsi" w:hAnsiTheme="minorHAnsi"/>
                <w:sz w:val="18"/>
                <w:szCs w:val="18"/>
              </w:rPr>
            </w:pPr>
            <w:r w:rsidRPr="005D604C">
              <w:rPr>
                <w:rFonts w:asciiTheme="minorHAnsi" w:hAnsiTheme="minorHAnsi"/>
                <w:sz w:val="18"/>
                <w:szCs w:val="18"/>
              </w:rPr>
              <w:t xml:space="preserve">1,011 </w:t>
            </w:r>
          </w:p>
        </w:tc>
        <w:tc>
          <w:tcPr>
            <w:tcW w:w="1890" w:type="dxa"/>
            <w:tcBorders>
              <w:top w:val="single" w:sz="4" w:space="0" w:color="000000"/>
              <w:left w:val="single" w:sz="4" w:space="0" w:color="000000"/>
              <w:bottom w:val="single" w:sz="4" w:space="0" w:color="000000"/>
              <w:right w:val="single" w:sz="4" w:space="0" w:color="000000"/>
            </w:tcBorders>
          </w:tcPr>
          <w:p w14:paraId="651CD5DF" w14:textId="77777777" w:rsidR="005D604C" w:rsidRPr="005D604C" w:rsidRDefault="005D604C" w:rsidP="00913F44">
            <w:pPr>
              <w:ind w:right="30"/>
              <w:jc w:val="center"/>
              <w:rPr>
                <w:rFonts w:asciiTheme="minorHAnsi" w:hAnsiTheme="minorHAnsi"/>
                <w:sz w:val="18"/>
                <w:szCs w:val="18"/>
              </w:rPr>
            </w:pPr>
            <w:r w:rsidRPr="005D604C">
              <w:rPr>
                <w:rFonts w:asciiTheme="minorHAnsi" w:hAnsiTheme="minorHAnsi"/>
                <w:sz w:val="18"/>
                <w:szCs w:val="18"/>
              </w:rPr>
              <w:t xml:space="preserve">4.2 </w:t>
            </w:r>
          </w:p>
        </w:tc>
        <w:tc>
          <w:tcPr>
            <w:tcW w:w="1980" w:type="dxa"/>
            <w:vMerge/>
            <w:tcBorders>
              <w:top w:val="nil"/>
              <w:left w:val="single" w:sz="4" w:space="0" w:color="000000"/>
              <w:bottom w:val="single" w:sz="4" w:space="0" w:color="000000"/>
              <w:right w:val="single" w:sz="4" w:space="0" w:color="000000"/>
            </w:tcBorders>
          </w:tcPr>
          <w:p w14:paraId="1E45C7F2" w14:textId="77777777" w:rsidR="005D604C" w:rsidRPr="005D604C" w:rsidRDefault="005D604C" w:rsidP="00913F44">
            <w:pPr>
              <w:rPr>
                <w:rFonts w:asciiTheme="minorHAnsi" w:hAnsiTheme="minorHAnsi"/>
                <w:sz w:val="18"/>
                <w:szCs w:val="18"/>
              </w:rPr>
            </w:pPr>
          </w:p>
        </w:tc>
      </w:tr>
      <w:tr w:rsidR="005D604C" w:rsidRPr="005D604C" w14:paraId="13B1664E" w14:textId="77777777" w:rsidTr="005D604C">
        <w:trPr>
          <w:trHeight w:val="255"/>
        </w:trPr>
        <w:tc>
          <w:tcPr>
            <w:tcW w:w="1334" w:type="dxa"/>
            <w:vMerge/>
            <w:tcBorders>
              <w:top w:val="nil"/>
              <w:left w:val="single" w:sz="4" w:space="0" w:color="000000"/>
              <w:bottom w:val="nil"/>
              <w:right w:val="single" w:sz="4" w:space="0" w:color="000000"/>
            </w:tcBorders>
          </w:tcPr>
          <w:p w14:paraId="04C1EB4B" w14:textId="77777777" w:rsidR="005D604C" w:rsidRPr="005D604C" w:rsidRDefault="005D604C" w:rsidP="00913F44">
            <w:pPr>
              <w:rPr>
                <w:rFonts w:asciiTheme="minorHAnsi" w:hAnsiTheme="minorHAnsi"/>
                <w:sz w:val="18"/>
                <w:szCs w:val="18"/>
              </w:rPr>
            </w:pPr>
          </w:p>
        </w:tc>
        <w:tc>
          <w:tcPr>
            <w:tcW w:w="2699" w:type="dxa"/>
            <w:tcBorders>
              <w:top w:val="single" w:sz="4" w:space="0" w:color="000000"/>
              <w:left w:val="single" w:sz="4" w:space="0" w:color="000000"/>
              <w:bottom w:val="single" w:sz="4" w:space="0" w:color="000000"/>
              <w:right w:val="single" w:sz="4" w:space="0" w:color="000000"/>
            </w:tcBorders>
          </w:tcPr>
          <w:p w14:paraId="1E6C551E" w14:textId="77777777" w:rsidR="005D604C" w:rsidRPr="005D604C" w:rsidRDefault="005D604C" w:rsidP="00913F44">
            <w:pPr>
              <w:rPr>
                <w:rFonts w:asciiTheme="minorHAnsi" w:hAnsiTheme="minorHAnsi"/>
                <w:sz w:val="18"/>
                <w:szCs w:val="18"/>
              </w:rPr>
            </w:pPr>
            <w:r w:rsidRPr="005D604C">
              <w:rPr>
                <w:rFonts w:asciiTheme="minorHAnsi" w:hAnsiTheme="minorHAnsi"/>
                <w:sz w:val="18"/>
                <w:szCs w:val="18"/>
              </w:rPr>
              <w:t xml:space="preserve">Substance abuse </w:t>
            </w:r>
          </w:p>
        </w:tc>
        <w:tc>
          <w:tcPr>
            <w:tcW w:w="1187" w:type="dxa"/>
            <w:tcBorders>
              <w:top w:val="single" w:sz="4" w:space="0" w:color="000000"/>
              <w:left w:val="single" w:sz="4" w:space="0" w:color="000000"/>
              <w:bottom w:val="single" w:sz="4" w:space="0" w:color="000000"/>
              <w:right w:val="single" w:sz="4" w:space="0" w:color="000000"/>
            </w:tcBorders>
          </w:tcPr>
          <w:p w14:paraId="3D0A3491" w14:textId="77777777" w:rsidR="005D604C" w:rsidRPr="005D604C" w:rsidRDefault="005D604C" w:rsidP="00913F44">
            <w:pPr>
              <w:ind w:right="31"/>
              <w:jc w:val="center"/>
              <w:rPr>
                <w:rFonts w:asciiTheme="minorHAnsi" w:hAnsiTheme="minorHAnsi"/>
                <w:sz w:val="18"/>
                <w:szCs w:val="18"/>
              </w:rPr>
            </w:pPr>
            <w:r w:rsidRPr="005D604C">
              <w:rPr>
                <w:rFonts w:asciiTheme="minorHAnsi" w:hAnsiTheme="minorHAnsi"/>
                <w:sz w:val="18"/>
                <w:szCs w:val="18"/>
              </w:rPr>
              <w:t xml:space="preserve">1,664 </w:t>
            </w:r>
          </w:p>
        </w:tc>
        <w:tc>
          <w:tcPr>
            <w:tcW w:w="1890" w:type="dxa"/>
            <w:tcBorders>
              <w:top w:val="single" w:sz="4" w:space="0" w:color="000000"/>
              <w:left w:val="single" w:sz="4" w:space="0" w:color="000000"/>
              <w:bottom w:val="single" w:sz="4" w:space="0" w:color="000000"/>
              <w:right w:val="single" w:sz="4" w:space="0" w:color="000000"/>
            </w:tcBorders>
          </w:tcPr>
          <w:p w14:paraId="4B8F8241" w14:textId="77777777" w:rsidR="005D604C" w:rsidRPr="005D604C" w:rsidRDefault="005D604C" w:rsidP="00913F44">
            <w:pPr>
              <w:ind w:right="30"/>
              <w:jc w:val="center"/>
              <w:rPr>
                <w:rFonts w:asciiTheme="minorHAnsi" w:hAnsiTheme="minorHAnsi"/>
                <w:sz w:val="18"/>
                <w:szCs w:val="18"/>
              </w:rPr>
            </w:pPr>
            <w:r w:rsidRPr="005D604C">
              <w:rPr>
                <w:rFonts w:asciiTheme="minorHAnsi" w:hAnsiTheme="minorHAnsi"/>
                <w:sz w:val="18"/>
                <w:szCs w:val="18"/>
              </w:rPr>
              <w:t xml:space="preserve">2.2 </w:t>
            </w:r>
          </w:p>
        </w:tc>
        <w:tc>
          <w:tcPr>
            <w:tcW w:w="1980" w:type="dxa"/>
            <w:vMerge w:val="restart"/>
            <w:tcBorders>
              <w:top w:val="single" w:sz="4" w:space="0" w:color="000000"/>
              <w:left w:val="single" w:sz="4" w:space="0" w:color="000000"/>
              <w:bottom w:val="single" w:sz="4" w:space="0" w:color="000000"/>
              <w:right w:val="single" w:sz="4" w:space="0" w:color="000000"/>
            </w:tcBorders>
            <w:vAlign w:val="center"/>
          </w:tcPr>
          <w:p w14:paraId="5B84E0D0" w14:textId="77777777" w:rsidR="005D604C" w:rsidRPr="005D604C" w:rsidRDefault="005D604C" w:rsidP="00913F44">
            <w:pPr>
              <w:ind w:right="36"/>
              <w:jc w:val="center"/>
              <w:rPr>
                <w:rFonts w:asciiTheme="minorHAnsi" w:hAnsiTheme="minorHAnsi"/>
                <w:sz w:val="18"/>
                <w:szCs w:val="18"/>
              </w:rPr>
            </w:pPr>
            <w:r w:rsidRPr="005D604C">
              <w:rPr>
                <w:rFonts w:asciiTheme="minorHAnsi" w:hAnsiTheme="minorHAnsi"/>
                <w:sz w:val="18"/>
                <w:szCs w:val="18"/>
              </w:rPr>
              <w:t xml:space="preserve">B causes A </w:t>
            </w:r>
          </w:p>
        </w:tc>
      </w:tr>
      <w:tr w:rsidR="005D604C" w:rsidRPr="005D604C" w14:paraId="4205A14F" w14:textId="77777777" w:rsidTr="005D604C">
        <w:trPr>
          <w:trHeight w:val="254"/>
        </w:trPr>
        <w:tc>
          <w:tcPr>
            <w:tcW w:w="1334" w:type="dxa"/>
            <w:vMerge/>
            <w:tcBorders>
              <w:top w:val="nil"/>
              <w:left w:val="single" w:sz="4" w:space="0" w:color="000000"/>
              <w:bottom w:val="nil"/>
              <w:right w:val="single" w:sz="4" w:space="0" w:color="000000"/>
            </w:tcBorders>
          </w:tcPr>
          <w:p w14:paraId="17AE708A" w14:textId="77777777" w:rsidR="005D604C" w:rsidRPr="005D604C" w:rsidRDefault="005D604C" w:rsidP="00913F44">
            <w:pPr>
              <w:rPr>
                <w:rFonts w:asciiTheme="minorHAnsi" w:hAnsiTheme="minorHAnsi"/>
                <w:sz w:val="18"/>
                <w:szCs w:val="18"/>
              </w:rPr>
            </w:pPr>
          </w:p>
        </w:tc>
        <w:tc>
          <w:tcPr>
            <w:tcW w:w="2699" w:type="dxa"/>
            <w:tcBorders>
              <w:top w:val="single" w:sz="4" w:space="0" w:color="000000"/>
              <w:left w:val="single" w:sz="4" w:space="0" w:color="000000"/>
              <w:bottom w:val="single" w:sz="4" w:space="0" w:color="000000"/>
              <w:right w:val="single" w:sz="4" w:space="0" w:color="000000"/>
            </w:tcBorders>
          </w:tcPr>
          <w:p w14:paraId="1A202C6F" w14:textId="77777777" w:rsidR="005D604C" w:rsidRPr="005D604C" w:rsidRDefault="005D604C" w:rsidP="00913F44">
            <w:pPr>
              <w:rPr>
                <w:rFonts w:asciiTheme="minorHAnsi" w:hAnsiTheme="minorHAnsi"/>
                <w:sz w:val="18"/>
                <w:szCs w:val="18"/>
              </w:rPr>
            </w:pPr>
            <w:r w:rsidRPr="005D604C">
              <w:rPr>
                <w:rFonts w:asciiTheme="minorHAnsi" w:hAnsiTheme="minorHAnsi"/>
                <w:sz w:val="18"/>
                <w:szCs w:val="18"/>
              </w:rPr>
              <w:t xml:space="preserve">Biliary tract obstruction </w:t>
            </w:r>
          </w:p>
        </w:tc>
        <w:tc>
          <w:tcPr>
            <w:tcW w:w="1187" w:type="dxa"/>
            <w:tcBorders>
              <w:top w:val="single" w:sz="4" w:space="0" w:color="000000"/>
              <w:left w:val="single" w:sz="4" w:space="0" w:color="000000"/>
              <w:bottom w:val="single" w:sz="4" w:space="0" w:color="000000"/>
              <w:right w:val="single" w:sz="4" w:space="0" w:color="000000"/>
            </w:tcBorders>
          </w:tcPr>
          <w:p w14:paraId="5F55710B" w14:textId="77777777" w:rsidR="005D604C" w:rsidRPr="005D604C" w:rsidRDefault="005D604C" w:rsidP="00913F44">
            <w:pPr>
              <w:ind w:right="31"/>
              <w:jc w:val="center"/>
              <w:rPr>
                <w:rFonts w:asciiTheme="minorHAnsi" w:hAnsiTheme="minorHAnsi"/>
                <w:sz w:val="18"/>
                <w:szCs w:val="18"/>
              </w:rPr>
            </w:pPr>
            <w:r w:rsidRPr="005D604C">
              <w:rPr>
                <w:rFonts w:asciiTheme="minorHAnsi" w:hAnsiTheme="minorHAnsi"/>
                <w:sz w:val="18"/>
                <w:szCs w:val="18"/>
              </w:rPr>
              <w:t xml:space="preserve">2,549 </w:t>
            </w:r>
          </w:p>
        </w:tc>
        <w:tc>
          <w:tcPr>
            <w:tcW w:w="1890" w:type="dxa"/>
            <w:tcBorders>
              <w:top w:val="single" w:sz="4" w:space="0" w:color="000000"/>
              <w:left w:val="single" w:sz="4" w:space="0" w:color="000000"/>
              <w:bottom w:val="single" w:sz="4" w:space="0" w:color="000000"/>
              <w:right w:val="single" w:sz="4" w:space="0" w:color="000000"/>
            </w:tcBorders>
          </w:tcPr>
          <w:p w14:paraId="6BDEA137" w14:textId="77777777" w:rsidR="005D604C" w:rsidRPr="005D604C" w:rsidRDefault="005D604C" w:rsidP="00913F44">
            <w:pPr>
              <w:ind w:right="35"/>
              <w:jc w:val="center"/>
              <w:rPr>
                <w:rFonts w:asciiTheme="minorHAnsi" w:hAnsiTheme="minorHAnsi"/>
                <w:sz w:val="18"/>
                <w:szCs w:val="18"/>
              </w:rPr>
            </w:pPr>
            <w:r w:rsidRPr="005D604C">
              <w:rPr>
                <w:rFonts w:asciiTheme="minorHAnsi" w:hAnsiTheme="minorHAnsi"/>
                <w:sz w:val="18"/>
                <w:szCs w:val="18"/>
              </w:rPr>
              <w:t xml:space="preserve">19.4 </w:t>
            </w:r>
          </w:p>
        </w:tc>
        <w:tc>
          <w:tcPr>
            <w:tcW w:w="1980" w:type="dxa"/>
            <w:vMerge/>
            <w:tcBorders>
              <w:top w:val="nil"/>
              <w:left w:val="single" w:sz="4" w:space="0" w:color="000000"/>
              <w:bottom w:val="nil"/>
              <w:right w:val="single" w:sz="4" w:space="0" w:color="000000"/>
            </w:tcBorders>
          </w:tcPr>
          <w:p w14:paraId="56DB9C3D" w14:textId="77777777" w:rsidR="005D604C" w:rsidRPr="005D604C" w:rsidRDefault="005D604C" w:rsidP="00913F44">
            <w:pPr>
              <w:rPr>
                <w:rFonts w:asciiTheme="minorHAnsi" w:hAnsiTheme="minorHAnsi"/>
                <w:sz w:val="18"/>
                <w:szCs w:val="18"/>
              </w:rPr>
            </w:pPr>
          </w:p>
        </w:tc>
      </w:tr>
      <w:tr w:rsidR="005D604C" w:rsidRPr="005D604C" w14:paraId="4865E088" w14:textId="77777777" w:rsidTr="005D604C">
        <w:trPr>
          <w:trHeight w:val="254"/>
        </w:trPr>
        <w:tc>
          <w:tcPr>
            <w:tcW w:w="1334" w:type="dxa"/>
            <w:vMerge/>
            <w:tcBorders>
              <w:top w:val="nil"/>
              <w:left w:val="single" w:sz="4" w:space="0" w:color="000000"/>
              <w:bottom w:val="nil"/>
              <w:right w:val="single" w:sz="4" w:space="0" w:color="000000"/>
            </w:tcBorders>
          </w:tcPr>
          <w:p w14:paraId="6D0A22AC" w14:textId="77777777" w:rsidR="005D604C" w:rsidRPr="005D604C" w:rsidRDefault="005D604C" w:rsidP="00913F44">
            <w:pPr>
              <w:rPr>
                <w:rFonts w:asciiTheme="minorHAnsi" w:hAnsiTheme="minorHAnsi"/>
                <w:sz w:val="18"/>
                <w:szCs w:val="18"/>
              </w:rPr>
            </w:pPr>
          </w:p>
        </w:tc>
        <w:tc>
          <w:tcPr>
            <w:tcW w:w="2699" w:type="dxa"/>
            <w:tcBorders>
              <w:top w:val="single" w:sz="4" w:space="0" w:color="000000"/>
              <w:left w:val="single" w:sz="4" w:space="0" w:color="000000"/>
              <w:bottom w:val="single" w:sz="4" w:space="0" w:color="000000"/>
              <w:right w:val="single" w:sz="4" w:space="0" w:color="000000"/>
            </w:tcBorders>
          </w:tcPr>
          <w:p w14:paraId="38E10B8F" w14:textId="77777777" w:rsidR="005D604C" w:rsidRPr="005D604C" w:rsidRDefault="005D604C" w:rsidP="00913F44">
            <w:pPr>
              <w:rPr>
                <w:rFonts w:asciiTheme="minorHAnsi" w:hAnsiTheme="minorHAnsi"/>
                <w:sz w:val="18"/>
                <w:szCs w:val="18"/>
              </w:rPr>
            </w:pPr>
            <w:r w:rsidRPr="005D604C">
              <w:rPr>
                <w:rFonts w:asciiTheme="minorHAnsi" w:hAnsiTheme="minorHAnsi"/>
                <w:sz w:val="18"/>
                <w:szCs w:val="18"/>
              </w:rPr>
              <w:t xml:space="preserve">Hypercalcemia </w:t>
            </w:r>
          </w:p>
        </w:tc>
        <w:tc>
          <w:tcPr>
            <w:tcW w:w="1187" w:type="dxa"/>
            <w:tcBorders>
              <w:top w:val="single" w:sz="4" w:space="0" w:color="000000"/>
              <w:left w:val="single" w:sz="4" w:space="0" w:color="000000"/>
              <w:bottom w:val="single" w:sz="4" w:space="0" w:color="000000"/>
              <w:right w:val="single" w:sz="4" w:space="0" w:color="000000"/>
            </w:tcBorders>
          </w:tcPr>
          <w:p w14:paraId="2C853628" w14:textId="77777777" w:rsidR="005D604C" w:rsidRPr="005D604C" w:rsidRDefault="005D604C" w:rsidP="00913F44">
            <w:pPr>
              <w:ind w:right="31"/>
              <w:jc w:val="center"/>
              <w:rPr>
                <w:rFonts w:asciiTheme="minorHAnsi" w:hAnsiTheme="minorHAnsi"/>
                <w:sz w:val="18"/>
                <w:szCs w:val="18"/>
              </w:rPr>
            </w:pPr>
            <w:r w:rsidRPr="005D604C">
              <w:rPr>
                <w:rFonts w:asciiTheme="minorHAnsi" w:hAnsiTheme="minorHAnsi"/>
                <w:sz w:val="18"/>
                <w:szCs w:val="18"/>
              </w:rPr>
              <w:t xml:space="preserve">528 </w:t>
            </w:r>
          </w:p>
        </w:tc>
        <w:tc>
          <w:tcPr>
            <w:tcW w:w="1890" w:type="dxa"/>
            <w:tcBorders>
              <w:top w:val="single" w:sz="4" w:space="0" w:color="000000"/>
              <w:left w:val="single" w:sz="4" w:space="0" w:color="000000"/>
              <w:bottom w:val="single" w:sz="4" w:space="0" w:color="000000"/>
              <w:right w:val="single" w:sz="4" w:space="0" w:color="000000"/>
            </w:tcBorders>
          </w:tcPr>
          <w:p w14:paraId="0D7B61C5" w14:textId="77777777" w:rsidR="005D604C" w:rsidRPr="005D604C" w:rsidRDefault="005D604C" w:rsidP="00913F44">
            <w:pPr>
              <w:ind w:right="30"/>
              <w:jc w:val="center"/>
              <w:rPr>
                <w:rFonts w:asciiTheme="minorHAnsi" w:hAnsiTheme="minorHAnsi"/>
                <w:sz w:val="18"/>
                <w:szCs w:val="18"/>
              </w:rPr>
            </w:pPr>
            <w:r w:rsidRPr="005D604C">
              <w:rPr>
                <w:rFonts w:asciiTheme="minorHAnsi" w:hAnsiTheme="minorHAnsi"/>
                <w:sz w:val="18"/>
                <w:szCs w:val="18"/>
              </w:rPr>
              <w:t xml:space="preserve">1.2 </w:t>
            </w:r>
          </w:p>
        </w:tc>
        <w:tc>
          <w:tcPr>
            <w:tcW w:w="1980" w:type="dxa"/>
            <w:vMerge/>
            <w:tcBorders>
              <w:top w:val="nil"/>
              <w:left w:val="single" w:sz="4" w:space="0" w:color="000000"/>
              <w:bottom w:val="nil"/>
              <w:right w:val="single" w:sz="4" w:space="0" w:color="000000"/>
            </w:tcBorders>
          </w:tcPr>
          <w:p w14:paraId="51626FBF" w14:textId="77777777" w:rsidR="005D604C" w:rsidRPr="005D604C" w:rsidRDefault="005D604C" w:rsidP="00913F44">
            <w:pPr>
              <w:rPr>
                <w:rFonts w:asciiTheme="minorHAnsi" w:hAnsiTheme="minorHAnsi"/>
                <w:sz w:val="18"/>
                <w:szCs w:val="18"/>
              </w:rPr>
            </w:pPr>
          </w:p>
        </w:tc>
      </w:tr>
      <w:tr w:rsidR="005D604C" w:rsidRPr="005D604C" w14:paraId="10CC83C5" w14:textId="77777777" w:rsidTr="005D604C">
        <w:trPr>
          <w:trHeight w:val="254"/>
        </w:trPr>
        <w:tc>
          <w:tcPr>
            <w:tcW w:w="1334" w:type="dxa"/>
            <w:vMerge/>
            <w:tcBorders>
              <w:top w:val="nil"/>
              <w:left w:val="single" w:sz="4" w:space="0" w:color="000000"/>
              <w:bottom w:val="single" w:sz="4" w:space="0" w:color="000000"/>
              <w:right w:val="single" w:sz="4" w:space="0" w:color="000000"/>
            </w:tcBorders>
          </w:tcPr>
          <w:p w14:paraId="07639BB3" w14:textId="77777777" w:rsidR="005D604C" w:rsidRPr="005D604C" w:rsidRDefault="005D604C" w:rsidP="00913F44">
            <w:pPr>
              <w:rPr>
                <w:rFonts w:asciiTheme="minorHAnsi" w:hAnsiTheme="minorHAnsi"/>
                <w:sz w:val="18"/>
                <w:szCs w:val="18"/>
              </w:rPr>
            </w:pPr>
          </w:p>
        </w:tc>
        <w:tc>
          <w:tcPr>
            <w:tcW w:w="2699" w:type="dxa"/>
            <w:tcBorders>
              <w:top w:val="single" w:sz="4" w:space="0" w:color="000000"/>
              <w:left w:val="single" w:sz="4" w:space="0" w:color="000000"/>
              <w:bottom w:val="single" w:sz="4" w:space="0" w:color="000000"/>
              <w:right w:val="single" w:sz="4" w:space="0" w:color="000000"/>
            </w:tcBorders>
          </w:tcPr>
          <w:p w14:paraId="1358D0C9" w14:textId="77777777" w:rsidR="005D604C" w:rsidRPr="005D604C" w:rsidRDefault="005D604C" w:rsidP="00913F44">
            <w:pPr>
              <w:rPr>
                <w:rFonts w:asciiTheme="minorHAnsi" w:hAnsiTheme="minorHAnsi"/>
                <w:sz w:val="18"/>
                <w:szCs w:val="18"/>
              </w:rPr>
            </w:pPr>
            <w:r w:rsidRPr="005D604C">
              <w:rPr>
                <w:rFonts w:asciiTheme="minorHAnsi" w:hAnsiTheme="minorHAnsi"/>
                <w:sz w:val="18"/>
                <w:szCs w:val="18"/>
              </w:rPr>
              <w:t xml:space="preserve">Magnesium disorders </w:t>
            </w:r>
          </w:p>
        </w:tc>
        <w:tc>
          <w:tcPr>
            <w:tcW w:w="1187" w:type="dxa"/>
            <w:tcBorders>
              <w:top w:val="single" w:sz="4" w:space="0" w:color="000000"/>
              <w:left w:val="single" w:sz="4" w:space="0" w:color="000000"/>
              <w:bottom w:val="single" w:sz="4" w:space="0" w:color="000000"/>
              <w:right w:val="single" w:sz="4" w:space="0" w:color="000000"/>
            </w:tcBorders>
          </w:tcPr>
          <w:p w14:paraId="514E6FAF" w14:textId="77777777" w:rsidR="005D604C" w:rsidRPr="005D604C" w:rsidRDefault="005D604C" w:rsidP="00913F44">
            <w:pPr>
              <w:ind w:right="31"/>
              <w:jc w:val="center"/>
              <w:rPr>
                <w:rFonts w:asciiTheme="minorHAnsi" w:hAnsiTheme="minorHAnsi"/>
                <w:sz w:val="18"/>
                <w:szCs w:val="18"/>
              </w:rPr>
            </w:pPr>
            <w:r w:rsidRPr="005D604C">
              <w:rPr>
                <w:rFonts w:asciiTheme="minorHAnsi" w:hAnsiTheme="minorHAnsi"/>
                <w:sz w:val="18"/>
                <w:szCs w:val="18"/>
              </w:rPr>
              <w:t xml:space="preserve">1,289 </w:t>
            </w:r>
          </w:p>
        </w:tc>
        <w:tc>
          <w:tcPr>
            <w:tcW w:w="1890" w:type="dxa"/>
            <w:tcBorders>
              <w:top w:val="single" w:sz="4" w:space="0" w:color="000000"/>
              <w:left w:val="single" w:sz="4" w:space="0" w:color="000000"/>
              <w:bottom w:val="single" w:sz="4" w:space="0" w:color="000000"/>
              <w:right w:val="single" w:sz="4" w:space="0" w:color="000000"/>
            </w:tcBorders>
          </w:tcPr>
          <w:p w14:paraId="491F5D0C" w14:textId="77777777" w:rsidR="005D604C" w:rsidRPr="005D604C" w:rsidRDefault="005D604C" w:rsidP="00913F44">
            <w:pPr>
              <w:ind w:right="30"/>
              <w:jc w:val="center"/>
              <w:rPr>
                <w:rFonts w:asciiTheme="minorHAnsi" w:hAnsiTheme="minorHAnsi"/>
                <w:sz w:val="18"/>
                <w:szCs w:val="18"/>
              </w:rPr>
            </w:pPr>
            <w:r w:rsidRPr="005D604C">
              <w:rPr>
                <w:rFonts w:asciiTheme="minorHAnsi" w:hAnsiTheme="minorHAnsi"/>
                <w:sz w:val="18"/>
                <w:szCs w:val="18"/>
              </w:rPr>
              <w:t xml:space="preserve">2.2 </w:t>
            </w:r>
          </w:p>
        </w:tc>
        <w:tc>
          <w:tcPr>
            <w:tcW w:w="1980" w:type="dxa"/>
            <w:vMerge/>
            <w:tcBorders>
              <w:top w:val="nil"/>
              <w:left w:val="single" w:sz="4" w:space="0" w:color="000000"/>
              <w:bottom w:val="single" w:sz="4" w:space="0" w:color="000000"/>
              <w:right w:val="single" w:sz="4" w:space="0" w:color="000000"/>
            </w:tcBorders>
          </w:tcPr>
          <w:p w14:paraId="53417258" w14:textId="77777777" w:rsidR="005D604C" w:rsidRPr="005D604C" w:rsidRDefault="005D604C" w:rsidP="00913F44">
            <w:pPr>
              <w:rPr>
                <w:rFonts w:asciiTheme="minorHAnsi" w:hAnsiTheme="minorHAnsi"/>
                <w:sz w:val="18"/>
                <w:szCs w:val="18"/>
              </w:rPr>
            </w:pPr>
          </w:p>
        </w:tc>
      </w:tr>
    </w:tbl>
    <w:p w14:paraId="6859C085" w14:textId="77777777" w:rsidR="00390DDF" w:rsidRDefault="00390DDF">
      <w:pPr>
        <w:spacing w:after="110" w:line="249" w:lineRule="auto"/>
        <w:ind w:left="-5" w:hanging="10"/>
      </w:pPr>
    </w:p>
    <w:p w14:paraId="79D6B822" w14:textId="77777777" w:rsidR="00E84DED" w:rsidRDefault="00847BBE">
      <w:pPr>
        <w:pStyle w:val="Heading1"/>
        <w:ind w:left="-5"/>
      </w:pPr>
      <w:r>
        <w:t xml:space="preserve">Results </w:t>
      </w:r>
    </w:p>
    <w:p w14:paraId="3D62EE75" w14:textId="485B34AF" w:rsidR="00E84DED" w:rsidRDefault="00390DDF">
      <w:pPr>
        <w:spacing w:after="10" w:line="249" w:lineRule="auto"/>
        <w:ind w:left="-5" w:hanging="10"/>
      </w:pPr>
      <w:r>
        <w:t xml:space="preserve">We will provide </w:t>
      </w:r>
      <w:r w:rsidR="00847BBE">
        <w:t xml:space="preserve">executable code </w:t>
      </w:r>
      <w:r w:rsidR="00495F74">
        <w:t>and processes that produce the relationships in Table 2, along with data from at least one OHDSI instance.</w:t>
      </w:r>
    </w:p>
    <w:p w14:paraId="5EF7C114" w14:textId="371D63CD" w:rsidR="00B40AB5" w:rsidRDefault="00B40AB5" w:rsidP="00B40AB5">
      <w:pPr>
        <w:pStyle w:val="Caption"/>
        <w:keepNext/>
      </w:pPr>
      <w:r>
        <w:t xml:space="preserve">Table </w:t>
      </w:r>
      <w:fldSimple w:instr=" SEQ Table \* ARABIC ">
        <w:r>
          <w:rPr>
            <w:noProof/>
          </w:rPr>
          <w:t>2</w:t>
        </w:r>
      </w:fldSimple>
      <w:r>
        <w:t xml:space="preserve"> -- The pairwise relationship table produced will contain the diagnosis groupings (e.g., diagnosis4) </w:t>
      </w:r>
      <w:r w:rsidR="00495F74">
        <w:t>pairs</w:t>
      </w:r>
      <w:r>
        <w:t>, summary data</w:t>
      </w:r>
      <w:r w:rsidR="00495F74">
        <w:t xml:space="preserve"> </w:t>
      </w:r>
      <w:r w:rsidR="00495F74" w:rsidRPr="00495F74">
        <w:t>derived from the CDM (observed and expected cases and exposure days), statistical association metrics (IRR and Z-score)</w:t>
      </w:r>
      <w:r w:rsidR="00495F74">
        <w:t>,</w:t>
      </w:r>
      <w:r w:rsidR="00495F74" w:rsidRPr="00495F74">
        <w:t xml:space="preserve"> and relationship type and direction based on LLM validation.</w:t>
      </w:r>
    </w:p>
    <w:tbl>
      <w:tblPr>
        <w:tblStyle w:val="TableGrid"/>
        <w:tblW w:w="9662" w:type="dxa"/>
        <w:tblInd w:w="-149" w:type="dxa"/>
        <w:tblCellMar>
          <w:top w:w="3" w:type="dxa"/>
          <w:left w:w="106" w:type="dxa"/>
          <w:right w:w="69" w:type="dxa"/>
        </w:tblCellMar>
        <w:tblLook w:val="04A0" w:firstRow="1" w:lastRow="0" w:firstColumn="1" w:lastColumn="0" w:noHBand="0" w:noVBand="1"/>
      </w:tblPr>
      <w:tblGrid>
        <w:gridCol w:w="1422"/>
        <w:gridCol w:w="1513"/>
        <w:gridCol w:w="1008"/>
        <w:gridCol w:w="984"/>
        <w:gridCol w:w="980"/>
        <w:gridCol w:w="533"/>
        <w:gridCol w:w="850"/>
        <w:gridCol w:w="2372"/>
      </w:tblGrid>
      <w:tr w:rsidR="00E84DED" w:rsidRPr="005D604C" w14:paraId="528D85FD" w14:textId="77777777" w:rsidTr="00390DDF">
        <w:trPr>
          <w:trHeight w:val="499"/>
        </w:trPr>
        <w:tc>
          <w:tcPr>
            <w:tcW w:w="1422" w:type="dxa"/>
            <w:tcBorders>
              <w:top w:val="single" w:sz="4" w:space="0" w:color="000000"/>
              <w:left w:val="single" w:sz="4" w:space="0" w:color="000000"/>
              <w:bottom w:val="single" w:sz="4" w:space="0" w:color="000000"/>
              <w:right w:val="single" w:sz="4" w:space="0" w:color="000000"/>
            </w:tcBorders>
            <w:vAlign w:val="center"/>
          </w:tcPr>
          <w:p w14:paraId="7F58967F" w14:textId="77777777" w:rsidR="00E84DED" w:rsidRPr="005D604C" w:rsidRDefault="00847BBE">
            <w:pPr>
              <w:ind w:left="53"/>
              <w:rPr>
                <w:sz w:val="18"/>
                <w:szCs w:val="18"/>
              </w:rPr>
            </w:pPr>
            <w:r w:rsidRPr="005D604C">
              <w:rPr>
                <w:b/>
                <w:sz w:val="18"/>
                <w:szCs w:val="18"/>
              </w:rPr>
              <w:t xml:space="preserve">CONCEPT_A </w:t>
            </w:r>
          </w:p>
        </w:tc>
        <w:tc>
          <w:tcPr>
            <w:tcW w:w="1513" w:type="dxa"/>
            <w:tcBorders>
              <w:top w:val="single" w:sz="4" w:space="0" w:color="000000"/>
              <w:left w:val="single" w:sz="4" w:space="0" w:color="000000"/>
              <w:bottom w:val="single" w:sz="4" w:space="0" w:color="000000"/>
              <w:right w:val="single" w:sz="4" w:space="0" w:color="000000"/>
            </w:tcBorders>
            <w:vAlign w:val="center"/>
          </w:tcPr>
          <w:p w14:paraId="04927675" w14:textId="77777777" w:rsidR="00E84DED" w:rsidRPr="005D604C" w:rsidRDefault="00847BBE">
            <w:pPr>
              <w:ind w:left="106"/>
              <w:rPr>
                <w:sz w:val="18"/>
                <w:szCs w:val="18"/>
              </w:rPr>
            </w:pPr>
            <w:r w:rsidRPr="005D604C">
              <w:rPr>
                <w:b/>
                <w:sz w:val="18"/>
                <w:szCs w:val="18"/>
              </w:rPr>
              <w:t xml:space="preserve">CONCEPT_B </w:t>
            </w:r>
          </w:p>
        </w:tc>
        <w:tc>
          <w:tcPr>
            <w:tcW w:w="1008" w:type="dxa"/>
            <w:tcBorders>
              <w:top w:val="single" w:sz="4" w:space="0" w:color="000000"/>
              <w:left w:val="single" w:sz="4" w:space="0" w:color="000000"/>
              <w:bottom w:val="single" w:sz="4" w:space="0" w:color="000000"/>
              <w:right w:val="single" w:sz="4" w:space="0" w:color="000000"/>
            </w:tcBorders>
          </w:tcPr>
          <w:p w14:paraId="01D724C6" w14:textId="77777777" w:rsidR="00E84DED" w:rsidRPr="005D604C" w:rsidRDefault="00847BBE">
            <w:pPr>
              <w:jc w:val="center"/>
              <w:rPr>
                <w:sz w:val="18"/>
                <w:szCs w:val="18"/>
              </w:rPr>
            </w:pPr>
            <w:r w:rsidRPr="005D604C">
              <w:rPr>
                <w:b/>
                <w:sz w:val="18"/>
                <w:szCs w:val="18"/>
              </w:rPr>
              <w:t xml:space="preserve">Observed Cases </w:t>
            </w:r>
          </w:p>
        </w:tc>
        <w:tc>
          <w:tcPr>
            <w:tcW w:w="984" w:type="dxa"/>
            <w:tcBorders>
              <w:top w:val="single" w:sz="4" w:space="0" w:color="000000"/>
              <w:left w:val="single" w:sz="4" w:space="0" w:color="000000"/>
              <w:bottom w:val="single" w:sz="4" w:space="0" w:color="000000"/>
              <w:right w:val="single" w:sz="4" w:space="0" w:color="000000"/>
            </w:tcBorders>
          </w:tcPr>
          <w:p w14:paraId="35AA713C" w14:textId="77777777" w:rsidR="00E84DED" w:rsidRPr="005D604C" w:rsidRDefault="00847BBE">
            <w:pPr>
              <w:jc w:val="center"/>
              <w:rPr>
                <w:sz w:val="18"/>
                <w:szCs w:val="18"/>
              </w:rPr>
            </w:pPr>
            <w:r w:rsidRPr="005D604C">
              <w:rPr>
                <w:b/>
                <w:sz w:val="18"/>
                <w:szCs w:val="18"/>
              </w:rPr>
              <w:t xml:space="preserve">Expected Cases </w:t>
            </w:r>
          </w:p>
        </w:tc>
        <w:tc>
          <w:tcPr>
            <w:tcW w:w="980" w:type="dxa"/>
            <w:tcBorders>
              <w:top w:val="single" w:sz="4" w:space="0" w:color="000000"/>
              <w:left w:val="single" w:sz="4" w:space="0" w:color="000000"/>
              <w:bottom w:val="single" w:sz="4" w:space="0" w:color="000000"/>
              <w:right w:val="single" w:sz="4" w:space="0" w:color="000000"/>
            </w:tcBorders>
          </w:tcPr>
          <w:p w14:paraId="66C6D234" w14:textId="77777777" w:rsidR="00E84DED" w:rsidRPr="005D604C" w:rsidRDefault="00847BBE">
            <w:pPr>
              <w:jc w:val="center"/>
              <w:rPr>
                <w:sz w:val="18"/>
                <w:szCs w:val="18"/>
              </w:rPr>
            </w:pPr>
            <w:r w:rsidRPr="005D604C">
              <w:rPr>
                <w:b/>
                <w:sz w:val="18"/>
                <w:szCs w:val="18"/>
              </w:rPr>
              <w:t xml:space="preserve">Exposure Days </w:t>
            </w:r>
          </w:p>
        </w:tc>
        <w:tc>
          <w:tcPr>
            <w:tcW w:w="533" w:type="dxa"/>
            <w:tcBorders>
              <w:top w:val="single" w:sz="4" w:space="0" w:color="000000"/>
              <w:left w:val="single" w:sz="4" w:space="0" w:color="000000"/>
              <w:bottom w:val="single" w:sz="4" w:space="0" w:color="000000"/>
              <w:right w:val="single" w:sz="4" w:space="0" w:color="000000"/>
            </w:tcBorders>
            <w:vAlign w:val="center"/>
          </w:tcPr>
          <w:p w14:paraId="747B09B3" w14:textId="77777777" w:rsidR="00E84DED" w:rsidRPr="005D604C" w:rsidRDefault="00847BBE">
            <w:pPr>
              <w:ind w:left="19"/>
              <w:rPr>
                <w:sz w:val="18"/>
                <w:szCs w:val="18"/>
              </w:rPr>
            </w:pPr>
            <w:r w:rsidRPr="005D604C">
              <w:rPr>
                <w:b/>
                <w:sz w:val="18"/>
                <w:szCs w:val="18"/>
              </w:rPr>
              <w:t xml:space="preserve">IRR </w:t>
            </w:r>
          </w:p>
        </w:tc>
        <w:tc>
          <w:tcPr>
            <w:tcW w:w="850" w:type="dxa"/>
            <w:tcBorders>
              <w:top w:val="single" w:sz="4" w:space="0" w:color="000000"/>
              <w:left w:val="single" w:sz="4" w:space="0" w:color="000000"/>
              <w:bottom w:val="single" w:sz="4" w:space="0" w:color="000000"/>
              <w:right w:val="single" w:sz="4" w:space="0" w:color="000000"/>
            </w:tcBorders>
            <w:vAlign w:val="center"/>
          </w:tcPr>
          <w:p w14:paraId="2F301F0D" w14:textId="77777777" w:rsidR="00E84DED" w:rsidRPr="005D604C" w:rsidRDefault="00847BBE">
            <w:pPr>
              <w:ind w:left="10"/>
              <w:rPr>
                <w:sz w:val="18"/>
                <w:szCs w:val="18"/>
              </w:rPr>
            </w:pPr>
            <w:r w:rsidRPr="005D604C">
              <w:rPr>
                <w:b/>
                <w:sz w:val="18"/>
                <w:szCs w:val="18"/>
              </w:rPr>
              <w:t xml:space="preserve">Z-score </w:t>
            </w:r>
          </w:p>
        </w:tc>
        <w:tc>
          <w:tcPr>
            <w:tcW w:w="2372" w:type="dxa"/>
            <w:tcBorders>
              <w:top w:val="single" w:sz="4" w:space="0" w:color="000000"/>
              <w:left w:val="single" w:sz="4" w:space="0" w:color="000000"/>
              <w:bottom w:val="single" w:sz="4" w:space="0" w:color="000000"/>
              <w:right w:val="single" w:sz="4" w:space="0" w:color="000000"/>
            </w:tcBorders>
            <w:vAlign w:val="center"/>
          </w:tcPr>
          <w:p w14:paraId="6423F57C" w14:textId="77777777" w:rsidR="00E84DED" w:rsidRPr="005D604C" w:rsidRDefault="00847BBE">
            <w:pPr>
              <w:ind w:right="31"/>
              <w:jc w:val="center"/>
              <w:rPr>
                <w:sz w:val="18"/>
                <w:szCs w:val="18"/>
              </w:rPr>
            </w:pPr>
            <w:r w:rsidRPr="005D604C">
              <w:rPr>
                <w:b/>
                <w:sz w:val="18"/>
                <w:szCs w:val="18"/>
              </w:rPr>
              <w:t xml:space="preserve">Relationship </w:t>
            </w:r>
          </w:p>
        </w:tc>
      </w:tr>
      <w:tr w:rsidR="00E84DED" w:rsidRPr="005D604C" w14:paraId="0DE66D22" w14:textId="77777777" w:rsidTr="00390DDF">
        <w:trPr>
          <w:trHeight w:val="298"/>
        </w:trPr>
        <w:tc>
          <w:tcPr>
            <w:tcW w:w="1422" w:type="dxa"/>
            <w:vMerge w:val="restart"/>
            <w:tcBorders>
              <w:top w:val="single" w:sz="4" w:space="0" w:color="000000"/>
              <w:left w:val="single" w:sz="4" w:space="0" w:color="000000"/>
              <w:bottom w:val="single" w:sz="4" w:space="0" w:color="000000"/>
              <w:right w:val="single" w:sz="4" w:space="0" w:color="000000"/>
            </w:tcBorders>
            <w:vAlign w:val="center"/>
          </w:tcPr>
          <w:p w14:paraId="1A5A22FD" w14:textId="77777777" w:rsidR="00E84DED" w:rsidRPr="005D604C" w:rsidRDefault="00847BBE">
            <w:pPr>
              <w:ind w:left="5"/>
              <w:rPr>
                <w:sz w:val="18"/>
                <w:szCs w:val="18"/>
              </w:rPr>
            </w:pPr>
            <w:r w:rsidRPr="005D604C">
              <w:rPr>
                <w:sz w:val="18"/>
                <w:szCs w:val="18"/>
              </w:rPr>
              <w:t xml:space="preserve">Pneumonia </w:t>
            </w:r>
          </w:p>
        </w:tc>
        <w:tc>
          <w:tcPr>
            <w:tcW w:w="1513" w:type="dxa"/>
            <w:tcBorders>
              <w:top w:val="single" w:sz="4" w:space="0" w:color="000000"/>
              <w:left w:val="single" w:sz="4" w:space="0" w:color="000000"/>
              <w:bottom w:val="single" w:sz="4" w:space="0" w:color="000000"/>
              <w:right w:val="single" w:sz="4" w:space="0" w:color="000000"/>
            </w:tcBorders>
          </w:tcPr>
          <w:p w14:paraId="0EFD02DA" w14:textId="77777777" w:rsidR="00E84DED" w:rsidRPr="005D604C" w:rsidRDefault="00847BBE">
            <w:pPr>
              <w:ind w:left="5"/>
              <w:rPr>
                <w:sz w:val="18"/>
                <w:szCs w:val="18"/>
              </w:rPr>
            </w:pPr>
            <w:r w:rsidRPr="005D604C">
              <w:rPr>
                <w:sz w:val="18"/>
                <w:szCs w:val="18"/>
              </w:rPr>
              <w:t xml:space="preserve">Sepsis </w:t>
            </w:r>
          </w:p>
        </w:tc>
        <w:tc>
          <w:tcPr>
            <w:tcW w:w="1008" w:type="dxa"/>
            <w:tcBorders>
              <w:top w:val="single" w:sz="4" w:space="0" w:color="000000"/>
              <w:left w:val="single" w:sz="4" w:space="0" w:color="000000"/>
              <w:bottom w:val="single" w:sz="4" w:space="0" w:color="000000"/>
              <w:right w:val="single" w:sz="4" w:space="0" w:color="000000"/>
            </w:tcBorders>
          </w:tcPr>
          <w:p w14:paraId="1B632EDA" w14:textId="77777777" w:rsidR="00E84DED" w:rsidRPr="005D604C" w:rsidRDefault="00847BBE">
            <w:pPr>
              <w:ind w:right="40"/>
              <w:jc w:val="center"/>
              <w:rPr>
                <w:sz w:val="18"/>
                <w:szCs w:val="18"/>
              </w:rPr>
            </w:pPr>
            <w:r w:rsidRPr="005D604C">
              <w:rPr>
                <w:sz w:val="18"/>
                <w:szCs w:val="18"/>
              </w:rPr>
              <w:t xml:space="preserve">150 </w:t>
            </w:r>
          </w:p>
        </w:tc>
        <w:tc>
          <w:tcPr>
            <w:tcW w:w="984" w:type="dxa"/>
            <w:tcBorders>
              <w:top w:val="single" w:sz="4" w:space="0" w:color="000000"/>
              <w:left w:val="single" w:sz="4" w:space="0" w:color="000000"/>
              <w:bottom w:val="single" w:sz="4" w:space="0" w:color="000000"/>
              <w:right w:val="single" w:sz="4" w:space="0" w:color="000000"/>
            </w:tcBorders>
          </w:tcPr>
          <w:p w14:paraId="470929E0" w14:textId="77777777" w:rsidR="00E84DED" w:rsidRPr="005D604C" w:rsidRDefault="00847BBE">
            <w:pPr>
              <w:ind w:right="30"/>
              <w:jc w:val="center"/>
              <w:rPr>
                <w:sz w:val="18"/>
                <w:szCs w:val="18"/>
              </w:rPr>
            </w:pPr>
            <w:r w:rsidRPr="005D604C">
              <w:rPr>
                <w:sz w:val="18"/>
                <w:szCs w:val="18"/>
              </w:rPr>
              <w:t xml:space="preserve">25 </w:t>
            </w:r>
          </w:p>
        </w:tc>
        <w:tc>
          <w:tcPr>
            <w:tcW w:w="980" w:type="dxa"/>
            <w:tcBorders>
              <w:top w:val="single" w:sz="4" w:space="0" w:color="000000"/>
              <w:left w:val="single" w:sz="4" w:space="0" w:color="000000"/>
              <w:bottom w:val="single" w:sz="4" w:space="0" w:color="000000"/>
              <w:right w:val="single" w:sz="4" w:space="0" w:color="000000"/>
            </w:tcBorders>
          </w:tcPr>
          <w:p w14:paraId="4598578F" w14:textId="77777777" w:rsidR="00E84DED" w:rsidRPr="005D604C" w:rsidRDefault="00847BBE">
            <w:pPr>
              <w:ind w:right="31"/>
              <w:jc w:val="center"/>
              <w:rPr>
                <w:sz w:val="18"/>
                <w:szCs w:val="18"/>
              </w:rPr>
            </w:pPr>
            <w:r w:rsidRPr="005D604C">
              <w:rPr>
                <w:sz w:val="18"/>
                <w:szCs w:val="18"/>
              </w:rPr>
              <w:t xml:space="preserve">2,100 </w:t>
            </w:r>
          </w:p>
        </w:tc>
        <w:tc>
          <w:tcPr>
            <w:tcW w:w="533" w:type="dxa"/>
            <w:tcBorders>
              <w:top w:val="single" w:sz="4" w:space="0" w:color="000000"/>
              <w:left w:val="single" w:sz="4" w:space="0" w:color="000000"/>
              <w:bottom w:val="single" w:sz="4" w:space="0" w:color="000000"/>
              <w:right w:val="single" w:sz="4" w:space="0" w:color="000000"/>
            </w:tcBorders>
          </w:tcPr>
          <w:p w14:paraId="0063D2FC" w14:textId="77777777" w:rsidR="00E84DED" w:rsidRPr="005D604C" w:rsidRDefault="00847BBE">
            <w:pPr>
              <w:ind w:left="34"/>
              <w:rPr>
                <w:sz w:val="18"/>
                <w:szCs w:val="18"/>
              </w:rPr>
            </w:pPr>
            <w:r w:rsidRPr="005D604C">
              <w:rPr>
                <w:sz w:val="18"/>
                <w:szCs w:val="18"/>
              </w:rPr>
              <w:t xml:space="preserve">6.0 </w:t>
            </w:r>
          </w:p>
        </w:tc>
        <w:tc>
          <w:tcPr>
            <w:tcW w:w="850" w:type="dxa"/>
            <w:tcBorders>
              <w:top w:val="single" w:sz="4" w:space="0" w:color="000000"/>
              <w:left w:val="single" w:sz="4" w:space="0" w:color="000000"/>
              <w:bottom w:val="single" w:sz="4" w:space="0" w:color="000000"/>
              <w:right w:val="single" w:sz="4" w:space="0" w:color="000000"/>
            </w:tcBorders>
          </w:tcPr>
          <w:p w14:paraId="10A1AC58" w14:textId="77777777" w:rsidR="00E84DED" w:rsidRPr="005D604C" w:rsidRDefault="00847BBE">
            <w:pPr>
              <w:ind w:right="31"/>
              <w:jc w:val="center"/>
              <w:rPr>
                <w:sz w:val="18"/>
                <w:szCs w:val="18"/>
              </w:rPr>
            </w:pPr>
            <w:r w:rsidRPr="005D604C">
              <w:rPr>
                <w:sz w:val="18"/>
                <w:szCs w:val="18"/>
              </w:rPr>
              <w:t xml:space="preserve">25.0 </w:t>
            </w:r>
          </w:p>
        </w:tc>
        <w:tc>
          <w:tcPr>
            <w:tcW w:w="2372" w:type="dxa"/>
            <w:vMerge w:val="restart"/>
            <w:tcBorders>
              <w:top w:val="single" w:sz="4" w:space="0" w:color="000000"/>
              <w:left w:val="single" w:sz="4" w:space="0" w:color="000000"/>
              <w:bottom w:val="single" w:sz="4" w:space="0" w:color="000000"/>
              <w:right w:val="single" w:sz="4" w:space="0" w:color="000000"/>
            </w:tcBorders>
            <w:vAlign w:val="center"/>
          </w:tcPr>
          <w:p w14:paraId="255D788D" w14:textId="77777777" w:rsidR="00E84DED" w:rsidRPr="005D604C" w:rsidRDefault="00847BBE">
            <w:pPr>
              <w:ind w:left="5"/>
              <w:rPr>
                <w:sz w:val="18"/>
                <w:szCs w:val="18"/>
              </w:rPr>
            </w:pPr>
            <w:r w:rsidRPr="005D604C">
              <w:rPr>
                <w:sz w:val="18"/>
                <w:szCs w:val="18"/>
              </w:rPr>
              <w:t xml:space="preserve">A causes B </w:t>
            </w:r>
          </w:p>
        </w:tc>
      </w:tr>
      <w:tr w:rsidR="00E84DED" w:rsidRPr="005D604C" w14:paraId="5862A492" w14:textId="77777777">
        <w:trPr>
          <w:trHeight w:val="293"/>
        </w:trPr>
        <w:tc>
          <w:tcPr>
            <w:tcW w:w="0" w:type="auto"/>
            <w:vMerge/>
            <w:tcBorders>
              <w:top w:val="nil"/>
              <w:left w:val="single" w:sz="4" w:space="0" w:color="000000"/>
              <w:bottom w:val="nil"/>
              <w:right w:val="single" w:sz="4" w:space="0" w:color="000000"/>
            </w:tcBorders>
          </w:tcPr>
          <w:p w14:paraId="5BF567F9" w14:textId="77777777" w:rsidR="00E84DED" w:rsidRPr="005D604C" w:rsidRDefault="00E84DED">
            <w:pPr>
              <w:rPr>
                <w:sz w:val="18"/>
                <w:szCs w:val="18"/>
              </w:rPr>
            </w:pPr>
          </w:p>
        </w:tc>
        <w:tc>
          <w:tcPr>
            <w:tcW w:w="1513" w:type="dxa"/>
            <w:tcBorders>
              <w:top w:val="single" w:sz="4" w:space="0" w:color="000000"/>
              <w:left w:val="single" w:sz="4" w:space="0" w:color="000000"/>
              <w:bottom w:val="single" w:sz="4" w:space="0" w:color="000000"/>
              <w:right w:val="single" w:sz="4" w:space="0" w:color="000000"/>
            </w:tcBorders>
          </w:tcPr>
          <w:p w14:paraId="70A2A541" w14:textId="77777777" w:rsidR="00E84DED" w:rsidRPr="005D604C" w:rsidRDefault="00847BBE">
            <w:pPr>
              <w:ind w:left="5"/>
              <w:rPr>
                <w:sz w:val="18"/>
                <w:szCs w:val="18"/>
              </w:rPr>
            </w:pPr>
            <w:r w:rsidRPr="005D604C">
              <w:rPr>
                <w:sz w:val="18"/>
                <w:szCs w:val="18"/>
              </w:rPr>
              <w:t xml:space="preserve">Cough </w:t>
            </w:r>
          </w:p>
        </w:tc>
        <w:tc>
          <w:tcPr>
            <w:tcW w:w="1008" w:type="dxa"/>
            <w:tcBorders>
              <w:top w:val="single" w:sz="4" w:space="0" w:color="000000"/>
              <w:left w:val="single" w:sz="4" w:space="0" w:color="000000"/>
              <w:bottom w:val="single" w:sz="4" w:space="0" w:color="000000"/>
              <w:right w:val="single" w:sz="4" w:space="0" w:color="000000"/>
            </w:tcBorders>
          </w:tcPr>
          <w:p w14:paraId="2AAA9ABD" w14:textId="77777777" w:rsidR="00E84DED" w:rsidRPr="005D604C" w:rsidRDefault="00847BBE">
            <w:pPr>
              <w:ind w:right="40"/>
              <w:jc w:val="center"/>
              <w:rPr>
                <w:sz w:val="18"/>
                <w:szCs w:val="18"/>
              </w:rPr>
            </w:pPr>
            <w:r w:rsidRPr="005D604C">
              <w:rPr>
                <w:sz w:val="18"/>
                <w:szCs w:val="18"/>
              </w:rPr>
              <w:t xml:space="preserve">275 </w:t>
            </w:r>
          </w:p>
        </w:tc>
        <w:tc>
          <w:tcPr>
            <w:tcW w:w="984" w:type="dxa"/>
            <w:tcBorders>
              <w:top w:val="single" w:sz="4" w:space="0" w:color="000000"/>
              <w:left w:val="single" w:sz="4" w:space="0" w:color="000000"/>
              <w:bottom w:val="single" w:sz="4" w:space="0" w:color="000000"/>
              <w:right w:val="single" w:sz="4" w:space="0" w:color="000000"/>
            </w:tcBorders>
          </w:tcPr>
          <w:p w14:paraId="6DFEFC54" w14:textId="77777777" w:rsidR="00E84DED" w:rsidRPr="005D604C" w:rsidRDefault="00847BBE">
            <w:pPr>
              <w:ind w:right="30"/>
              <w:jc w:val="center"/>
              <w:rPr>
                <w:sz w:val="18"/>
                <w:szCs w:val="18"/>
              </w:rPr>
            </w:pPr>
            <w:r w:rsidRPr="005D604C">
              <w:rPr>
                <w:sz w:val="18"/>
                <w:szCs w:val="18"/>
              </w:rPr>
              <w:t xml:space="preserve">70 </w:t>
            </w:r>
          </w:p>
        </w:tc>
        <w:tc>
          <w:tcPr>
            <w:tcW w:w="980" w:type="dxa"/>
            <w:tcBorders>
              <w:top w:val="single" w:sz="4" w:space="0" w:color="000000"/>
              <w:left w:val="single" w:sz="4" w:space="0" w:color="000000"/>
              <w:bottom w:val="single" w:sz="4" w:space="0" w:color="000000"/>
              <w:right w:val="single" w:sz="4" w:space="0" w:color="000000"/>
            </w:tcBorders>
          </w:tcPr>
          <w:p w14:paraId="6A232124" w14:textId="77777777" w:rsidR="00E84DED" w:rsidRPr="005D604C" w:rsidRDefault="00847BBE">
            <w:pPr>
              <w:ind w:right="31"/>
              <w:jc w:val="center"/>
              <w:rPr>
                <w:sz w:val="18"/>
                <w:szCs w:val="18"/>
              </w:rPr>
            </w:pPr>
            <w:r w:rsidRPr="005D604C">
              <w:rPr>
                <w:sz w:val="18"/>
                <w:szCs w:val="18"/>
              </w:rPr>
              <w:t xml:space="preserve">2,100 </w:t>
            </w:r>
          </w:p>
        </w:tc>
        <w:tc>
          <w:tcPr>
            <w:tcW w:w="533" w:type="dxa"/>
            <w:tcBorders>
              <w:top w:val="single" w:sz="4" w:space="0" w:color="000000"/>
              <w:left w:val="single" w:sz="4" w:space="0" w:color="000000"/>
              <w:bottom w:val="single" w:sz="4" w:space="0" w:color="000000"/>
              <w:right w:val="single" w:sz="4" w:space="0" w:color="000000"/>
            </w:tcBorders>
          </w:tcPr>
          <w:p w14:paraId="60BB6161" w14:textId="77777777" w:rsidR="00E84DED" w:rsidRPr="005D604C" w:rsidRDefault="00847BBE">
            <w:pPr>
              <w:ind w:left="34"/>
              <w:rPr>
                <w:sz w:val="18"/>
                <w:szCs w:val="18"/>
              </w:rPr>
            </w:pPr>
            <w:r w:rsidRPr="005D604C">
              <w:rPr>
                <w:sz w:val="18"/>
                <w:szCs w:val="18"/>
              </w:rPr>
              <w:t xml:space="preserve">3.9 </w:t>
            </w:r>
          </w:p>
        </w:tc>
        <w:tc>
          <w:tcPr>
            <w:tcW w:w="850" w:type="dxa"/>
            <w:tcBorders>
              <w:top w:val="single" w:sz="4" w:space="0" w:color="000000"/>
              <w:left w:val="single" w:sz="4" w:space="0" w:color="000000"/>
              <w:bottom w:val="single" w:sz="4" w:space="0" w:color="000000"/>
              <w:right w:val="single" w:sz="4" w:space="0" w:color="000000"/>
            </w:tcBorders>
          </w:tcPr>
          <w:p w14:paraId="0F93B762" w14:textId="77777777" w:rsidR="00E84DED" w:rsidRPr="005D604C" w:rsidRDefault="00847BBE">
            <w:pPr>
              <w:ind w:right="31"/>
              <w:jc w:val="center"/>
              <w:rPr>
                <w:sz w:val="18"/>
                <w:szCs w:val="18"/>
              </w:rPr>
            </w:pPr>
            <w:r w:rsidRPr="005D604C">
              <w:rPr>
                <w:sz w:val="18"/>
                <w:szCs w:val="18"/>
              </w:rPr>
              <w:t xml:space="preserve">24.5 </w:t>
            </w:r>
          </w:p>
        </w:tc>
        <w:tc>
          <w:tcPr>
            <w:tcW w:w="0" w:type="auto"/>
            <w:vMerge/>
            <w:tcBorders>
              <w:top w:val="nil"/>
              <w:left w:val="single" w:sz="4" w:space="0" w:color="000000"/>
              <w:bottom w:val="single" w:sz="4" w:space="0" w:color="000000"/>
              <w:right w:val="single" w:sz="4" w:space="0" w:color="000000"/>
            </w:tcBorders>
          </w:tcPr>
          <w:p w14:paraId="30EEE8B8" w14:textId="77777777" w:rsidR="00E84DED" w:rsidRPr="005D604C" w:rsidRDefault="00E84DED">
            <w:pPr>
              <w:rPr>
                <w:sz w:val="18"/>
                <w:szCs w:val="18"/>
              </w:rPr>
            </w:pPr>
          </w:p>
        </w:tc>
      </w:tr>
      <w:tr w:rsidR="00E84DED" w:rsidRPr="005D604C" w14:paraId="11C79BC9" w14:textId="77777777">
        <w:trPr>
          <w:trHeight w:val="500"/>
        </w:trPr>
        <w:tc>
          <w:tcPr>
            <w:tcW w:w="0" w:type="auto"/>
            <w:vMerge/>
            <w:tcBorders>
              <w:top w:val="nil"/>
              <w:left w:val="single" w:sz="4" w:space="0" w:color="000000"/>
              <w:bottom w:val="nil"/>
              <w:right w:val="single" w:sz="4" w:space="0" w:color="000000"/>
            </w:tcBorders>
          </w:tcPr>
          <w:p w14:paraId="5B506B0D" w14:textId="77777777" w:rsidR="00E84DED" w:rsidRPr="005D604C" w:rsidRDefault="00E84DED">
            <w:pPr>
              <w:rPr>
                <w:sz w:val="18"/>
                <w:szCs w:val="18"/>
              </w:rPr>
            </w:pPr>
          </w:p>
        </w:tc>
        <w:tc>
          <w:tcPr>
            <w:tcW w:w="1513" w:type="dxa"/>
            <w:tcBorders>
              <w:top w:val="single" w:sz="4" w:space="0" w:color="000000"/>
              <w:left w:val="single" w:sz="4" w:space="0" w:color="000000"/>
              <w:bottom w:val="single" w:sz="4" w:space="0" w:color="000000"/>
              <w:right w:val="single" w:sz="4" w:space="0" w:color="000000"/>
            </w:tcBorders>
          </w:tcPr>
          <w:p w14:paraId="3727AEC9" w14:textId="77777777" w:rsidR="00E84DED" w:rsidRPr="005D604C" w:rsidRDefault="00847BBE">
            <w:pPr>
              <w:ind w:left="5" w:right="45"/>
              <w:rPr>
                <w:sz w:val="18"/>
                <w:szCs w:val="18"/>
              </w:rPr>
            </w:pPr>
            <w:r w:rsidRPr="005D604C">
              <w:rPr>
                <w:sz w:val="18"/>
                <w:szCs w:val="18"/>
              </w:rPr>
              <w:t xml:space="preserve">Acute bronchitis </w:t>
            </w:r>
          </w:p>
        </w:tc>
        <w:tc>
          <w:tcPr>
            <w:tcW w:w="1008" w:type="dxa"/>
            <w:tcBorders>
              <w:top w:val="single" w:sz="4" w:space="0" w:color="000000"/>
              <w:left w:val="single" w:sz="4" w:space="0" w:color="000000"/>
              <w:bottom w:val="single" w:sz="4" w:space="0" w:color="000000"/>
              <w:right w:val="single" w:sz="4" w:space="0" w:color="000000"/>
            </w:tcBorders>
            <w:vAlign w:val="center"/>
          </w:tcPr>
          <w:p w14:paraId="08691F6D" w14:textId="77777777" w:rsidR="00E84DED" w:rsidRPr="005D604C" w:rsidRDefault="00847BBE">
            <w:pPr>
              <w:ind w:right="40"/>
              <w:jc w:val="center"/>
              <w:rPr>
                <w:sz w:val="18"/>
                <w:szCs w:val="18"/>
              </w:rPr>
            </w:pPr>
            <w:r w:rsidRPr="005D604C">
              <w:rPr>
                <w:sz w:val="18"/>
                <w:szCs w:val="18"/>
              </w:rPr>
              <w:t xml:space="preserve">230 </w:t>
            </w:r>
          </w:p>
        </w:tc>
        <w:tc>
          <w:tcPr>
            <w:tcW w:w="984" w:type="dxa"/>
            <w:tcBorders>
              <w:top w:val="single" w:sz="4" w:space="0" w:color="000000"/>
              <w:left w:val="single" w:sz="4" w:space="0" w:color="000000"/>
              <w:bottom w:val="single" w:sz="4" w:space="0" w:color="000000"/>
              <w:right w:val="single" w:sz="4" w:space="0" w:color="000000"/>
            </w:tcBorders>
            <w:vAlign w:val="center"/>
          </w:tcPr>
          <w:p w14:paraId="43E75A3C" w14:textId="77777777" w:rsidR="00E84DED" w:rsidRPr="005D604C" w:rsidRDefault="00847BBE">
            <w:pPr>
              <w:ind w:right="30"/>
              <w:jc w:val="center"/>
              <w:rPr>
                <w:sz w:val="18"/>
                <w:szCs w:val="18"/>
              </w:rPr>
            </w:pPr>
            <w:r w:rsidRPr="005D604C">
              <w:rPr>
                <w:sz w:val="18"/>
                <w:szCs w:val="18"/>
              </w:rPr>
              <w:t xml:space="preserve">80 </w:t>
            </w:r>
          </w:p>
        </w:tc>
        <w:tc>
          <w:tcPr>
            <w:tcW w:w="980" w:type="dxa"/>
            <w:tcBorders>
              <w:top w:val="single" w:sz="4" w:space="0" w:color="000000"/>
              <w:left w:val="single" w:sz="4" w:space="0" w:color="000000"/>
              <w:bottom w:val="single" w:sz="4" w:space="0" w:color="000000"/>
              <w:right w:val="single" w:sz="4" w:space="0" w:color="000000"/>
            </w:tcBorders>
            <w:vAlign w:val="center"/>
          </w:tcPr>
          <w:p w14:paraId="1D7D8E22" w14:textId="77777777" w:rsidR="00E84DED" w:rsidRPr="005D604C" w:rsidRDefault="00847BBE">
            <w:pPr>
              <w:ind w:right="31"/>
              <w:jc w:val="center"/>
              <w:rPr>
                <w:sz w:val="18"/>
                <w:szCs w:val="18"/>
              </w:rPr>
            </w:pPr>
            <w:r w:rsidRPr="005D604C">
              <w:rPr>
                <w:sz w:val="18"/>
                <w:szCs w:val="18"/>
              </w:rPr>
              <w:t xml:space="preserve">2,100 </w:t>
            </w:r>
          </w:p>
        </w:tc>
        <w:tc>
          <w:tcPr>
            <w:tcW w:w="533" w:type="dxa"/>
            <w:tcBorders>
              <w:top w:val="single" w:sz="4" w:space="0" w:color="000000"/>
              <w:left w:val="single" w:sz="4" w:space="0" w:color="000000"/>
              <w:bottom w:val="single" w:sz="4" w:space="0" w:color="000000"/>
              <w:right w:val="single" w:sz="4" w:space="0" w:color="000000"/>
            </w:tcBorders>
            <w:vAlign w:val="center"/>
          </w:tcPr>
          <w:p w14:paraId="74C27C20" w14:textId="77777777" w:rsidR="00E84DED" w:rsidRPr="005D604C" w:rsidRDefault="00847BBE">
            <w:pPr>
              <w:ind w:left="34"/>
              <w:rPr>
                <w:sz w:val="18"/>
                <w:szCs w:val="18"/>
              </w:rPr>
            </w:pPr>
            <w:r w:rsidRPr="005D604C">
              <w:rPr>
                <w:sz w:val="18"/>
                <w:szCs w:val="18"/>
              </w:rPr>
              <w:t xml:space="preserve">2.9 </w:t>
            </w:r>
          </w:p>
        </w:tc>
        <w:tc>
          <w:tcPr>
            <w:tcW w:w="850" w:type="dxa"/>
            <w:tcBorders>
              <w:top w:val="single" w:sz="4" w:space="0" w:color="000000"/>
              <w:left w:val="single" w:sz="4" w:space="0" w:color="000000"/>
              <w:bottom w:val="single" w:sz="4" w:space="0" w:color="000000"/>
              <w:right w:val="single" w:sz="4" w:space="0" w:color="000000"/>
            </w:tcBorders>
            <w:vAlign w:val="center"/>
          </w:tcPr>
          <w:p w14:paraId="6420C64B" w14:textId="77777777" w:rsidR="00E84DED" w:rsidRPr="005D604C" w:rsidRDefault="00847BBE">
            <w:pPr>
              <w:ind w:right="31"/>
              <w:jc w:val="center"/>
              <w:rPr>
                <w:sz w:val="18"/>
                <w:szCs w:val="18"/>
              </w:rPr>
            </w:pPr>
            <w:r w:rsidRPr="005D604C">
              <w:rPr>
                <w:sz w:val="18"/>
                <w:szCs w:val="18"/>
              </w:rPr>
              <w:t xml:space="preserve">16.8 </w:t>
            </w:r>
          </w:p>
        </w:tc>
        <w:tc>
          <w:tcPr>
            <w:tcW w:w="2372" w:type="dxa"/>
            <w:tcBorders>
              <w:top w:val="single" w:sz="4" w:space="0" w:color="000000"/>
              <w:left w:val="single" w:sz="4" w:space="0" w:color="000000"/>
              <w:bottom w:val="single" w:sz="4" w:space="0" w:color="000000"/>
              <w:right w:val="single" w:sz="4" w:space="0" w:color="000000"/>
            </w:tcBorders>
            <w:vAlign w:val="center"/>
          </w:tcPr>
          <w:p w14:paraId="58641006" w14:textId="77777777" w:rsidR="00E84DED" w:rsidRPr="005D604C" w:rsidRDefault="00847BBE">
            <w:pPr>
              <w:ind w:left="5"/>
              <w:rPr>
                <w:sz w:val="18"/>
                <w:szCs w:val="18"/>
              </w:rPr>
            </w:pPr>
            <w:r w:rsidRPr="005D604C">
              <w:rPr>
                <w:sz w:val="18"/>
                <w:szCs w:val="18"/>
              </w:rPr>
              <w:t xml:space="preserve">Similar conditions </w:t>
            </w:r>
          </w:p>
        </w:tc>
      </w:tr>
      <w:tr w:rsidR="00E84DED" w:rsidRPr="005D604C" w14:paraId="1A68BFDA" w14:textId="77777777">
        <w:trPr>
          <w:trHeight w:val="293"/>
        </w:trPr>
        <w:tc>
          <w:tcPr>
            <w:tcW w:w="0" w:type="auto"/>
            <w:vMerge/>
            <w:tcBorders>
              <w:top w:val="nil"/>
              <w:left w:val="single" w:sz="4" w:space="0" w:color="000000"/>
              <w:bottom w:val="single" w:sz="4" w:space="0" w:color="000000"/>
              <w:right w:val="single" w:sz="4" w:space="0" w:color="000000"/>
            </w:tcBorders>
          </w:tcPr>
          <w:p w14:paraId="31B02D2F" w14:textId="77777777" w:rsidR="00E84DED" w:rsidRPr="005D604C" w:rsidRDefault="00E84DED">
            <w:pPr>
              <w:rPr>
                <w:sz w:val="18"/>
                <w:szCs w:val="18"/>
              </w:rPr>
            </w:pPr>
          </w:p>
        </w:tc>
        <w:tc>
          <w:tcPr>
            <w:tcW w:w="1513" w:type="dxa"/>
            <w:tcBorders>
              <w:top w:val="single" w:sz="4" w:space="0" w:color="000000"/>
              <w:left w:val="single" w:sz="4" w:space="0" w:color="000000"/>
              <w:bottom w:val="single" w:sz="4" w:space="0" w:color="000000"/>
              <w:right w:val="single" w:sz="4" w:space="0" w:color="000000"/>
            </w:tcBorders>
          </w:tcPr>
          <w:p w14:paraId="4EC242A2" w14:textId="77777777" w:rsidR="00E84DED" w:rsidRPr="005D604C" w:rsidRDefault="00847BBE">
            <w:pPr>
              <w:ind w:left="5"/>
              <w:rPr>
                <w:sz w:val="18"/>
                <w:szCs w:val="18"/>
              </w:rPr>
            </w:pPr>
            <w:r w:rsidRPr="005D604C">
              <w:rPr>
                <w:sz w:val="18"/>
                <w:szCs w:val="18"/>
              </w:rPr>
              <w:t xml:space="preserve">Ankle pain </w:t>
            </w:r>
          </w:p>
        </w:tc>
        <w:tc>
          <w:tcPr>
            <w:tcW w:w="1008" w:type="dxa"/>
            <w:tcBorders>
              <w:top w:val="single" w:sz="4" w:space="0" w:color="000000"/>
              <w:left w:val="single" w:sz="4" w:space="0" w:color="000000"/>
              <w:bottom w:val="single" w:sz="4" w:space="0" w:color="000000"/>
              <w:right w:val="single" w:sz="4" w:space="0" w:color="000000"/>
            </w:tcBorders>
          </w:tcPr>
          <w:p w14:paraId="0D832389" w14:textId="77777777" w:rsidR="00E84DED" w:rsidRPr="005D604C" w:rsidRDefault="00847BBE">
            <w:pPr>
              <w:ind w:right="45"/>
              <w:jc w:val="center"/>
              <w:rPr>
                <w:sz w:val="18"/>
                <w:szCs w:val="18"/>
              </w:rPr>
            </w:pPr>
            <w:r w:rsidRPr="005D604C">
              <w:rPr>
                <w:sz w:val="18"/>
                <w:szCs w:val="18"/>
              </w:rPr>
              <w:t xml:space="preserve">95 </w:t>
            </w:r>
          </w:p>
        </w:tc>
        <w:tc>
          <w:tcPr>
            <w:tcW w:w="984" w:type="dxa"/>
            <w:tcBorders>
              <w:top w:val="single" w:sz="4" w:space="0" w:color="000000"/>
              <w:left w:val="single" w:sz="4" w:space="0" w:color="000000"/>
              <w:bottom w:val="single" w:sz="4" w:space="0" w:color="000000"/>
              <w:right w:val="single" w:sz="4" w:space="0" w:color="000000"/>
            </w:tcBorders>
          </w:tcPr>
          <w:p w14:paraId="7AF6FAB5" w14:textId="77777777" w:rsidR="00E84DED" w:rsidRPr="005D604C" w:rsidRDefault="00847BBE">
            <w:pPr>
              <w:ind w:right="30"/>
              <w:jc w:val="center"/>
              <w:rPr>
                <w:sz w:val="18"/>
                <w:szCs w:val="18"/>
              </w:rPr>
            </w:pPr>
            <w:r w:rsidRPr="005D604C">
              <w:rPr>
                <w:sz w:val="18"/>
                <w:szCs w:val="18"/>
              </w:rPr>
              <w:t xml:space="preserve">40 </w:t>
            </w:r>
          </w:p>
        </w:tc>
        <w:tc>
          <w:tcPr>
            <w:tcW w:w="980" w:type="dxa"/>
            <w:tcBorders>
              <w:top w:val="single" w:sz="4" w:space="0" w:color="000000"/>
              <w:left w:val="single" w:sz="4" w:space="0" w:color="000000"/>
              <w:bottom w:val="single" w:sz="4" w:space="0" w:color="000000"/>
              <w:right w:val="single" w:sz="4" w:space="0" w:color="000000"/>
            </w:tcBorders>
          </w:tcPr>
          <w:p w14:paraId="6FFCFDF1" w14:textId="77777777" w:rsidR="00E84DED" w:rsidRPr="005D604C" w:rsidRDefault="00847BBE">
            <w:pPr>
              <w:ind w:right="35"/>
              <w:jc w:val="center"/>
              <w:rPr>
                <w:sz w:val="18"/>
                <w:szCs w:val="18"/>
              </w:rPr>
            </w:pPr>
            <w:r w:rsidRPr="005D604C">
              <w:rPr>
                <w:sz w:val="18"/>
                <w:szCs w:val="18"/>
              </w:rPr>
              <w:t xml:space="preserve">17,100 </w:t>
            </w:r>
          </w:p>
        </w:tc>
        <w:tc>
          <w:tcPr>
            <w:tcW w:w="533" w:type="dxa"/>
            <w:tcBorders>
              <w:top w:val="single" w:sz="4" w:space="0" w:color="000000"/>
              <w:left w:val="single" w:sz="4" w:space="0" w:color="000000"/>
              <w:bottom w:val="single" w:sz="4" w:space="0" w:color="000000"/>
              <w:right w:val="single" w:sz="4" w:space="0" w:color="000000"/>
            </w:tcBorders>
          </w:tcPr>
          <w:p w14:paraId="57A7010F" w14:textId="77777777" w:rsidR="00E84DED" w:rsidRPr="005D604C" w:rsidRDefault="00847BBE">
            <w:pPr>
              <w:ind w:left="34"/>
              <w:rPr>
                <w:sz w:val="18"/>
                <w:szCs w:val="18"/>
              </w:rPr>
            </w:pPr>
            <w:r w:rsidRPr="005D604C">
              <w:rPr>
                <w:sz w:val="18"/>
                <w:szCs w:val="18"/>
              </w:rPr>
              <w:t xml:space="preserve">2.4 </w:t>
            </w:r>
          </w:p>
        </w:tc>
        <w:tc>
          <w:tcPr>
            <w:tcW w:w="850" w:type="dxa"/>
            <w:tcBorders>
              <w:top w:val="single" w:sz="4" w:space="0" w:color="000000"/>
              <w:left w:val="single" w:sz="4" w:space="0" w:color="000000"/>
              <w:bottom w:val="single" w:sz="4" w:space="0" w:color="000000"/>
              <w:right w:val="single" w:sz="4" w:space="0" w:color="000000"/>
            </w:tcBorders>
          </w:tcPr>
          <w:p w14:paraId="3CE075B0" w14:textId="77777777" w:rsidR="00E84DED" w:rsidRPr="005D604C" w:rsidRDefault="00847BBE">
            <w:pPr>
              <w:ind w:right="35"/>
              <w:jc w:val="center"/>
              <w:rPr>
                <w:sz w:val="18"/>
                <w:szCs w:val="18"/>
              </w:rPr>
            </w:pPr>
            <w:r w:rsidRPr="005D604C">
              <w:rPr>
                <w:sz w:val="18"/>
                <w:szCs w:val="18"/>
              </w:rPr>
              <w:t xml:space="preserve">8.7 </w:t>
            </w:r>
          </w:p>
        </w:tc>
        <w:tc>
          <w:tcPr>
            <w:tcW w:w="2372" w:type="dxa"/>
            <w:tcBorders>
              <w:top w:val="single" w:sz="4" w:space="0" w:color="000000"/>
              <w:left w:val="single" w:sz="4" w:space="0" w:color="000000"/>
              <w:bottom w:val="single" w:sz="4" w:space="0" w:color="000000"/>
              <w:right w:val="single" w:sz="4" w:space="0" w:color="000000"/>
            </w:tcBorders>
          </w:tcPr>
          <w:p w14:paraId="0A0FC798" w14:textId="77777777" w:rsidR="00E84DED" w:rsidRPr="005D604C" w:rsidRDefault="00847BBE">
            <w:pPr>
              <w:ind w:left="5"/>
              <w:rPr>
                <w:sz w:val="18"/>
                <w:szCs w:val="18"/>
              </w:rPr>
            </w:pPr>
            <w:r w:rsidRPr="005D604C">
              <w:rPr>
                <w:sz w:val="18"/>
                <w:szCs w:val="18"/>
              </w:rPr>
              <w:t xml:space="preserve">None </w:t>
            </w:r>
          </w:p>
        </w:tc>
      </w:tr>
    </w:tbl>
    <w:p w14:paraId="51B2EEB6" w14:textId="77777777" w:rsidR="00E84DED" w:rsidRDefault="00847BBE">
      <w:pPr>
        <w:pStyle w:val="Heading1"/>
        <w:ind w:left="-5"/>
      </w:pPr>
      <w:r>
        <w:t>Conclusion</w:t>
      </w:r>
      <w:r>
        <w:rPr>
          <w:b w:val="0"/>
        </w:rPr>
        <w:t xml:space="preserve"> </w:t>
      </w:r>
    </w:p>
    <w:p w14:paraId="587C97E7" w14:textId="6603F153" w:rsidR="00E84DED" w:rsidRDefault="00404FEA">
      <w:pPr>
        <w:spacing w:after="121" w:line="239" w:lineRule="auto"/>
        <w:ind w:left="-5" w:right="-12" w:hanging="10"/>
        <w:jc w:val="both"/>
      </w:pPr>
      <w:r>
        <w:t>TAXIS</w:t>
      </w:r>
      <w:r w:rsidR="00847BBE">
        <w:t xml:space="preserve"> builds on the robust foundation of the OMOP C</w:t>
      </w:r>
      <w:r w:rsidR="00495F74">
        <w:t>DM</w:t>
      </w:r>
      <w:r w:rsidR="00847BBE">
        <w:t xml:space="preserve"> and the collaborative energy of the OHDSI community. </w:t>
      </w:r>
      <w:r w:rsidR="00495F74">
        <w:t>It</w:t>
      </w:r>
      <w:r w:rsidR="00847BBE">
        <w:t xml:space="preserve"> offers the opportunity to extend this infrastructure by introducing a clinically grounded diagnostic </w:t>
      </w:r>
      <w:r w:rsidR="00BC7228">
        <w:t>taxonomy</w:t>
      </w:r>
      <w:r w:rsidR="00847BBE">
        <w:t xml:space="preserve"> and a set of relationships between concepts</w:t>
      </w:r>
      <w:r w:rsidR="00495F74">
        <w:t xml:space="preserve"> (diagnoses in Step 1)</w:t>
      </w:r>
      <w:r w:rsidR="00847BBE">
        <w:t xml:space="preserve"> that support more reproducible, scalable, and efficient analytics. </w:t>
      </w:r>
    </w:p>
    <w:p w14:paraId="3EDC6650" w14:textId="05AB3211" w:rsidR="00E84DED" w:rsidRDefault="00847BBE">
      <w:pPr>
        <w:spacing w:after="121" w:line="239" w:lineRule="auto"/>
        <w:ind w:left="-5" w:right="-12" w:hanging="10"/>
        <w:jc w:val="both"/>
      </w:pPr>
      <w:r>
        <w:t xml:space="preserve">For OHDSI users, these tools simplify cohort building, improve phenotype accuracy, and streamline confounding control. For instance, users studying sepsis can easily identify related upstream and downstream conditions </w:t>
      </w:r>
      <w:r w:rsidR="00495F74">
        <w:t xml:space="preserve">using the TAXIS relationships </w:t>
      </w:r>
      <w:r>
        <w:t xml:space="preserve">without manual mapping, thereby improving both efficiency and analytical rigor. </w:t>
      </w:r>
      <w:r w:rsidR="00495F74">
        <w:t xml:space="preserve">Subsequent steps, including </w:t>
      </w:r>
      <w:r>
        <w:t>linking diagnoses to services and mapping service-to-service relationships</w:t>
      </w:r>
      <w:r w:rsidR="00495F74">
        <w:t xml:space="preserve">, </w:t>
      </w:r>
      <w:r>
        <w:t xml:space="preserve">will unlock insights into care pathways, service variation, and potential improvements in care delivery. These steps will enable more dynamic modeling of real-world clinical practice. </w:t>
      </w:r>
    </w:p>
    <w:p w14:paraId="284DEC65" w14:textId="1CEC09A3" w:rsidR="00E84DED" w:rsidRDefault="00404FEA">
      <w:pPr>
        <w:spacing w:after="121" w:line="239" w:lineRule="auto"/>
        <w:ind w:left="-5" w:right="-12" w:hanging="10"/>
        <w:jc w:val="both"/>
      </w:pPr>
      <w:r>
        <w:t>TAXIS</w:t>
      </w:r>
      <w:r w:rsidR="00847BBE">
        <w:t xml:space="preserve"> reflects the strength of the OHDSI community: building shared, rigorous, and reusable tools. Through continued collaboration, this foundation will evolve into a knowledge layer that enhances research and accelerates its real-world impact. This first step in the </w:t>
      </w:r>
      <w:r>
        <w:t>TAXIS</w:t>
      </w:r>
      <w:r w:rsidR="00847BBE">
        <w:t xml:space="preserve"> project is just the beginning of what we can achieve together. </w:t>
      </w:r>
    </w:p>
    <w:p w14:paraId="5072B6A8" w14:textId="77777777" w:rsidR="00E84DED" w:rsidRDefault="00847BBE">
      <w:pPr>
        <w:pStyle w:val="Heading1"/>
        <w:ind w:left="-5"/>
      </w:pPr>
      <w:r>
        <w:t>References</w:t>
      </w:r>
      <w:r>
        <w:rPr>
          <w:b w:val="0"/>
        </w:rPr>
        <w:t xml:space="preserve"> </w:t>
      </w:r>
    </w:p>
    <w:p w14:paraId="5BD62E4F" w14:textId="77777777" w:rsidR="00E84DED" w:rsidRDefault="00847BBE">
      <w:pPr>
        <w:spacing w:after="0"/>
      </w:pPr>
      <w:r>
        <w:rPr>
          <w:noProof/>
        </w:rPr>
        <mc:AlternateContent>
          <mc:Choice Requires="wpg">
            <w:drawing>
              <wp:inline distT="0" distB="0" distL="0" distR="0" wp14:anchorId="23DCCB5B" wp14:editId="68723647">
                <wp:extent cx="1829689" cy="6096"/>
                <wp:effectExtent l="0" t="0" r="0" b="0"/>
                <wp:docPr id="8582" name="Group 8582"/>
                <wp:cNvGraphicFramePr/>
                <a:graphic xmlns:a="http://schemas.openxmlformats.org/drawingml/2006/main">
                  <a:graphicData uri="http://schemas.microsoft.com/office/word/2010/wordprocessingGroup">
                    <wpg:wgp>
                      <wpg:cNvGrpSpPr/>
                      <wpg:grpSpPr>
                        <a:xfrm>
                          <a:off x="0" y="0"/>
                          <a:ext cx="1829689" cy="6096"/>
                          <a:chOff x="0" y="0"/>
                          <a:chExt cx="1829689" cy="6096"/>
                        </a:xfrm>
                      </wpg:grpSpPr>
                      <wps:wsp>
                        <wps:cNvPr id="9186" name="Shape 9186"/>
                        <wps:cNvSpPr/>
                        <wps:spPr>
                          <a:xfrm>
                            <a:off x="0" y="0"/>
                            <a:ext cx="1829689" cy="9144"/>
                          </a:xfrm>
                          <a:custGeom>
                            <a:avLst/>
                            <a:gdLst/>
                            <a:ahLst/>
                            <a:cxnLst/>
                            <a:rect l="0" t="0" r="0" b="0"/>
                            <a:pathLst>
                              <a:path w="1829689" h="9144">
                                <a:moveTo>
                                  <a:pt x="0" y="0"/>
                                </a:moveTo>
                                <a:lnTo>
                                  <a:pt x="1829689" y="0"/>
                                </a:lnTo>
                                <a:lnTo>
                                  <a:pt x="182968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582" style="width:144.07pt;height:0.47998pt;mso-position-horizontal-relative:char;mso-position-vertical-relative:line" coordsize="18296,60">
                <v:shape id="Shape 9187" style="position:absolute;width:18296;height:91;left:0;top:0;" coordsize="1829689,9144" path="m0,0l1829689,0l1829689,9144l0,9144l0,0">
                  <v:stroke weight="0pt" endcap="flat" joinstyle="miter" miterlimit="10" on="false" color="#000000" opacity="0"/>
                  <v:fill on="true" color="#000000"/>
                </v:shape>
              </v:group>
            </w:pict>
          </mc:Fallback>
        </mc:AlternateContent>
      </w:r>
      <w:r>
        <w:t xml:space="preserve"> </w:t>
      </w:r>
    </w:p>
    <w:p w14:paraId="42BB8063" w14:textId="77777777" w:rsidR="00E84DED" w:rsidRDefault="00847BBE">
      <w:pPr>
        <w:numPr>
          <w:ilvl w:val="0"/>
          <w:numId w:val="2"/>
        </w:numPr>
        <w:spacing w:after="38" w:line="249" w:lineRule="auto"/>
        <w:ind w:right="13" w:hanging="96"/>
        <w:jc w:val="both"/>
      </w:pPr>
      <w:proofErr w:type="spellStart"/>
      <w:r>
        <w:rPr>
          <w:color w:val="0D0D0D"/>
          <w:sz w:val="18"/>
        </w:rPr>
        <w:t>Bandeian</w:t>
      </w:r>
      <w:proofErr w:type="spellEnd"/>
      <w:r>
        <w:rPr>
          <w:color w:val="0D0D0D"/>
          <w:sz w:val="18"/>
        </w:rPr>
        <w:t xml:space="preserve"> S, </w:t>
      </w:r>
      <w:r>
        <w:rPr>
          <w:color w:val="0D0D0D"/>
          <w:sz w:val="18"/>
          <w:u w:val="single" w:color="0D0D0D"/>
        </w:rPr>
        <w:t>Clinical Analytic Model</w:t>
      </w:r>
      <w:r>
        <w:rPr>
          <w:color w:val="0D0D0D"/>
          <w:sz w:val="18"/>
        </w:rPr>
        <w:t>, Council on Health Care Economics and Policy, Princeton Conference XV, 2008, https://heller.brandeis.edu/council/pdfs/2008/Steve-Bandeian.pdf.</w:t>
      </w:r>
      <w:r>
        <w:rPr>
          <w:sz w:val="18"/>
        </w:rPr>
        <w:t xml:space="preserve"> </w:t>
      </w:r>
    </w:p>
    <w:p w14:paraId="2E394130" w14:textId="77777777" w:rsidR="00E84DED" w:rsidRDefault="00847BBE">
      <w:pPr>
        <w:numPr>
          <w:ilvl w:val="0"/>
          <w:numId w:val="2"/>
        </w:numPr>
        <w:spacing w:after="24" w:line="252" w:lineRule="auto"/>
        <w:ind w:right="13" w:hanging="96"/>
        <w:jc w:val="both"/>
      </w:pPr>
      <w:proofErr w:type="spellStart"/>
      <w:r>
        <w:rPr>
          <w:sz w:val="18"/>
        </w:rPr>
        <w:t>Bandeian</w:t>
      </w:r>
      <w:proofErr w:type="spellEnd"/>
      <w:r>
        <w:rPr>
          <w:sz w:val="18"/>
        </w:rPr>
        <w:t xml:space="preserve"> S, </w:t>
      </w:r>
      <w:r>
        <w:rPr>
          <w:sz w:val="18"/>
          <w:u w:val="single" w:color="000000"/>
        </w:rPr>
        <w:t>Population Health Management, Informatics, and the Clinical Analytic Model</w:t>
      </w:r>
      <w:r>
        <w:rPr>
          <w:sz w:val="18"/>
        </w:rPr>
        <w:t>, Johns Hopkins Informatics Grand Rounds, Feb 2014</w:t>
      </w:r>
      <w:r>
        <w:rPr>
          <w:color w:val="0D0D0D"/>
          <w:sz w:val="18"/>
        </w:rPr>
        <w:t>.</w:t>
      </w:r>
      <w:r>
        <w:rPr>
          <w:sz w:val="18"/>
        </w:rPr>
        <w:t xml:space="preserve"> </w:t>
      </w:r>
    </w:p>
    <w:p w14:paraId="6586A581" w14:textId="7D8A77A0" w:rsidR="00E84DED" w:rsidRDefault="00847BBE">
      <w:pPr>
        <w:numPr>
          <w:ilvl w:val="0"/>
          <w:numId w:val="2"/>
        </w:numPr>
        <w:spacing w:after="38" w:line="249" w:lineRule="auto"/>
        <w:ind w:right="13" w:hanging="96"/>
        <w:jc w:val="both"/>
      </w:pPr>
      <w:r>
        <w:rPr>
          <w:color w:val="0D0D0D"/>
          <w:sz w:val="18"/>
        </w:rPr>
        <w:t xml:space="preserve">Blue Cross Blue Shield Association. Blue Cross Blue Shield Health Index identifies </w:t>
      </w:r>
      <w:r w:rsidR="00495F74">
        <w:rPr>
          <w:color w:val="0D0D0D"/>
          <w:sz w:val="18"/>
        </w:rPr>
        <w:t xml:space="preserve">the </w:t>
      </w:r>
      <w:r>
        <w:rPr>
          <w:color w:val="0D0D0D"/>
          <w:sz w:val="18"/>
        </w:rPr>
        <w:t>top 10 conditions nationwide. BCBSA Association News. Available at</w:t>
      </w:r>
      <w:hyperlink r:id="rId5">
        <w:r>
          <w:rPr>
            <w:color w:val="0D0D0D"/>
            <w:sz w:val="18"/>
          </w:rPr>
          <w:t xml:space="preserve">: </w:t>
        </w:r>
      </w:hyperlink>
      <w:hyperlink r:id="rId6">
        <w:r>
          <w:rPr>
            <w:color w:val="0D0D0D"/>
            <w:sz w:val="18"/>
            <w:u w:val="single" w:color="0D0D0D"/>
          </w:rPr>
          <w:t>https://www.bcbs.com/about</w:t>
        </w:r>
      </w:hyperlink>
      <w:hyperlink r:id="rId7">
        <w:r>
          <w:rPr>
            <w:color w:val="0D0D0D"/>
            <w:sz w:val="18"/>
            <w:u w:val="single" w:color="0D0D0D"/>
          </w:rPr>
          <w:t>-</w:t>
        </w:r>
      </w:hyperlink>
      <w:hyperlink r:id="rId8">
        <w:r>
          <w:rPr>
            <w:color w:val="0D0D0D"/>
            <w:sz w:val="18"/>
            <w:u w:val="single" w:color="0D0D0D"/>
          </w:rPr>
          <w:t>us/association</w:t>
        </w:r>
      </w:hyperlink>
      <w:hyperlink r:id="rId9">
        <w:r>
          <w:rPr>
            <w:color w:val="0D0D0D"/>
            <w:sz w:val="18"/>
            <w:u w:val="single" w:color="0D0D0D"/>
          </w:rPr>
          <w:t>-</w:t>
        </w:r>
      </w:hyperlink>
      <w:hyperlink r:id="rId10">
        <w:r>
          <w:rPr>
            <w:color w:val="0D0D0D"/>
            <w:sz w:val="18"/>
            <w:u w:val="single" w:color="0D0D0D"/>
          </w:rPr>
          <w:t>news/blue</w:t>
        </w:r>
      </w:hyperlink>
      <w:hyperlink r:id="rId11">
        <w:r>
          <w:rPr>
            <w:color w:val="0D0D0D"/>
            <w:sz w:val="18"/>
            <w:u w:val="single" w:color="0D0D0D"/>
          </w:rPr>
          <w:t>-</w:t>
        </w:r>
      </w:hyperlink>
      <w:hyperlink r:id="rId12">
        <w:r>
          <w:rPr>
            <w:color w:val="0D0D0D"/>
            <w:sz w:val="18"/>
            <w:u w:val="single" w:color="0D0D0D"/>
          </w:rPr>
          <w:t>cross</w:t>
        </w:r>
      </w:hyperlink>
      <w:hyperlink r:id="rId13">
        <w:r>
          <w:rPr>
            <w:color w:val="0D0D0D"/>
            <w:sz w:val="18"/>
            <w:u w:val="single" w:color="0D0D0D"/>
          </w:rPr>
          <w:t>-</w:t>
        </w:r>
      </w:hyperlink>
      <w:hyperlink r:id="rId14">
        <w:r>
          <w:rPr>
            <w:color w:val="0D0D0D"/>
            <w:sz w:val="18"/>
            <w:u w:val="single" w:color="0D0D0D"/>
          </w:rPr>
          <w:t>blue</w:t>
        </w:r>
      </w:hyperlink>
      <w:hyperlink r:id="rId15">
        <w:r>
          <w:rPr>
            <w:color w:val="0D0D0D"/>
            <w:sz w:val="18"/>
            <w:u w:val="single" w:color="0D0D0D"/>
          </w:rPr>
          <w:t>-</w:t>
        </w:r>
      </w:hyperlink>
      <w:hyperlink r:id="rId16">
        <w:r>
          <w:rPr>
            <w:color w:val="0D0D0D"/>
            <w:sz w:val="18"/>
            <w:u w:val="single" w:color="0D0D0D"/>
          </w:rPr>
          <w:t>shield</w:t>
        </w:r>
      </w:hyperlink>
      <w:hyperlink r:id="rId17">
        <w:r>
          <w:rPr>
            <w:color w:val="0D0D0D"/>
            <w:sz w:val="18"/>
            <w:u w:val="single" w:color="0D0D0D"/>
          </w:rPr>
          <w:t>-</w:t>
        </w:r>
      </w:hyperlink>
      <w:hyperlink r:id="rId18">
        <w:r>
          <w:rPr>
            <w:color w:val="0D0D0D"/>
            <w:sz w:val="18"/>
            <w:u w:val="single" w:color="0D0D0D"/>
          </w:rPr>
          <w:t>health</w:t>
        </w:r>
      </w:hyperlink>
      <w:hyperlink r:id="rId19">
        <w:r>
          <w:rPr>
            <w:color w:val="0D0D0D"/>
            <w:sz w:val="18"/>
            <w:u w:val="single" w:color="0D0D0D"/>
          </w:rPr>
          <w:t>-</w:t>
        </w:r>
      </w:hyperlink>
      <w:hyperlink r:id="rId20">
        <w:r>
          <w:rPr>
            <w:color w:val="0D0D0D"/>
            <w:sz w:val="18"/>
            <w:u w:val="single" w:color="0D0D0D"/>
          </w:rPr>
          <w:t>index</w:t>
        </w:r>
      </w:hyperlink>
      <w:hyperlink r:id="rId21"/>
      <w:hyperlink r:id="rId22">
        <w:r>
          <w:rPr>
            <w:color w:val="0D0D0D"/>
            <w:sz w:val="18"/>
            <w:u w:val="single" w:color="0D0D0D"/>
          </w:rPr>
          <w:t>identifies</w:t>
        </w:r>
      </w:hyperlink>
      <w:hyperlink r:id="rId23">
        <w:r>
          <w:rPr>
            <w:color w:val="0D0D0D"/>
            <w:sz w:val="18"/>
            <w:u w:val="single" w:color="0D0D0D"/>
          </w:rPr>
          <w:t>-</w:t>
        </w:r>
      </w:hyperlink>
      <w:hyperlink r:id="rId24">
        <w:r>
          <w:rPr>
            <w:color w:val="0D0D0D"/>
            <w:sz w:val="18"/>
            <w:u w:val="single" w:color="0D0D0D"/>
          </w:rPr>
          <w:t>top</w:t>
        </w:r>
      </w:hyperlink>
      <w:hyperlink r:id="rId25">
        <w:r>
          <w:rPr>
            <w:color w:val="0D0D0D"/>
            <w:sz w:val="18"/>
            <w:u w:val="single" w:color="0D0D0D"/>
          </w:rPr>
          <w:t>-</w:t>
        </w:r>
      </w:hyperlink>
      <w:hyperlink r:id="rId26">
        <w:r>
          <w:rPr>
            <w:color w:val="0D0D0D"/>
            <w:sz w:val="18"/>
            <w:u w:val="single" w:color="0D0D0D"/>
          </w:rPr>
          <w:t>10</w:t>
        </w:r>
      </w:hyperlink>
      <w:hyperlink r:id="rId27">
        <w:r>
          <w:rPr>
            <w:color w:val="0D0D0D"/>
            <w:sz w:val="18"/>
            <w:u w:val="single" w:color="0D0D0D"/>
          </w:rPr>
          <w:t>-</w:t>
        </w:r>
      </w:hyperlink>
      <w:hyperlink r:id="rId28">
        <w:r>
          <w:rPr>
            <w:color w:val="0D0D0D"/>
            <w:sz w:val="18"/>
            <w:u w:val="single" w:color="0D0D0D"/>
          </w:rPr>
          <w:t>conditions</w:t>
        </w:r>
      </w:hyperlink>
      <w:hyperlink r:id="rId29">
        <w:r>
          <w:rPr>
            <w:color w:val="0D0D0D"/>
            <w:sz w:val="18"/>
            <w:u w:val="single" w:color="0D0D0D"/>
          </w:rPr>
          <w:t>-</w:t>
        </w:r>
      </w:hyperlink>
      <w:hyperlink r:id="rId30">
        <w:r>
          <w:rPr>
            <w:color w:val="0D0D0D"/>
            <w:sz w:val="18"/>
            <w:u w:val="single" w:color="0D0D0D"/>
          </w:rPr>
          <w:t>nationwide</w:t>
        </w:r>
      </w:hyperlink>
      <w:hyperlink r:id="rId31">
        <w:r>
          <w:rPr>
            <w:color w:val="0D0D0D"/>
            <w:sz w:val="18"/>
          </w:rPr>
          <w:t>.</w:t>
        </w:r>
      </w:hyperlink>
      <w:r>
        <w:rPr>
          <w:color w:val="0D0D0D"/>
          <w:sz w:val="18"/>
        </w:rPr>
        <w:t xml:space="preserve"> Accessed June 27, 2025.</w:t>
      </w:r>
      <w:r>
        <w:rPr>
          <w:sz w:val="18"/>
        </w:rPr>
        <w:t xml:space="preserve"> </w:t>
      </w:r>
    </w:p>
    <w:p w14:paraId="7988223F" w14:textId="77777777" w:rsidR="00E84DED" w:rsidRDefault="00847BBE">
      <w:pPr>
        <w:numPr>
          <w:ilvl w:val="0"/>
          <w:numId w:val="2"/>
        </w:numPr>
        <w:spacing w:after="32" w:line="252" w:lineRule="auto"/>
        <w:ind w:right="13" w:hanging="96"/>
        <w:jc w:val="both"/>
      </w:pPr>
      <w:proofErr w:type="spellStart"/>
      <w:r>
        <w:rPr>
          <w:color w:val="0D0D0D"/>
          <w:sz w:val="18"/>
        </w:rPr>
        <w:t>Bandeian</w:t>
      </w:r>
      <w:proofErr w:type="spellEnd"/>
      <w:r>
        <w:rPr>
          <w:color w:val="0D0D0D"/>
          <w:sz w:val="18"/>
        </w:rPr>
        <w:t xml:space="preserve"> S, </w:t>
      </w:r>
      <w:proofErr w:type="gramStart"/>
      <w:r>
        <w:rPr>
          <w:color w:val="0D0D0D"/>
          <w:sz w:val="18"/>
          <w:u w:val="single" w:color="0D0D0D"/>
        </w:rPr>
        <w:t>Using</w:t>
      </w:r>
      <w:proofErr w:type="gramEnd"/>
      <w:r>
        <w:rPr>
          <w:color w:val="0D0D0D"/>
          <w:sz w:val="18"/>
          <w:u w:val="single" w:color="0D0D0D"/>
        </w:rPr>
        <w:t xml:space="preserve"> a Longitudinal Patient History Sourced from Claims Data to Analyze and Predict Potentially Avoidable</w:t>
      </w:r>
      <w:r>
        <w:rPr>
          <w:color w:val="0D0D0D"/>
          <w:sz w:val="18"/>
        </w:rPr>
        <w:t xml:space="preserve"> </w:t>
      </w:r>
      <w:r>
        <w:rPr>
          <w:color w:val="0D0D0D"/>
          <w:sz w:val="18"/>
          <w:u w:val="single" w:color="0D0D0D"/>
        </w:rPr>
        <w:t>Utilization, Costs, and</w:t>
      </w:r>
      <w:r>
        <w:rPr>
          <w:color w:val="0D0D0D"/>
          <w:sz w:val="18"/>
        </w:rPr>
        <w:t xml:space="preserve"> </w:t>
      </w:r>
      <w:r>
        <w:rPr>
          <w:color w:val="0D0D0D"/>
          <w:sz w:val="18"/>
          <w:u w:val="single" w:color="0D0D0D"/>
        </w:rPr>
        <w:t>Adverse Outcomes</w:t>
      </w:r>
      <w:r>
        <w:rPr>
          <w:color w:val="0D0D0D"/>
          <w:sz w:val="18"/>
        </w:rPr>
        <w:t>, Johns Hopkins CHSOR Seminar, Dec 2019.</w:t>
      </w:r>
      <w:r>
        <w:rPr>
          <w:sz w:val="18"/>
        </w:rPr>
        <w:t xml:space="preserve"> </w:t>
      </w:r>
    </w:p>
    <w:p w14:paraId="7696C9AA" w14:textId="77777777" w:rsidR="00E84DED" w:rsidRDefault="00847BBE">
      <w:pPr>
        <w:numPr>
          <w:ilvl w:val="0"/>
          <w:numId w:val="2"/>
        </w:numPr>
        <w:spacing w:after="8" w:line="249" w:lineRule="auto"/>
        <w:ind w:right="13" w:hanging="96"/>
        <w:jc w:val="both"/>
      </w:pPr>
      <w:proofErr w:type="spellStart"/>
      <w:r>
        <w:rPr>
          <w:color w:val="0D0D0D"/>
          <w:sz w:val="18"/>
        </w:rPr>
        <w:t>Bandeian</w:t>
      </w:r>
      <w:proofErr w:type="spellEnd"/>
      <w:r>
        <w:rPr>
          <w:color w:val="0D0D0D"/>
          <w:sz w:val="18"/>
        </w:rPr>
        <w:t xml:space="preserve"> S, Tompkins CP, Davison A. A Future Health Care Analytic System: Part 1—What the Destination Looks Like. In: </w:t>
      </w:r>
    </w:p>
    <w:p w14:paraId="11C3657D" w14:textId="77777777" w:rsidR="00E84DED" w:rsidRDefault="00847BBE">
      <w:pPr>
        <w:spacing w:after="38" w:line="249" w:lineRule="auto"/>
        <w:ind w:left="-5" w:right="13" w:hanging="10"/>
        <w:jc w:val="both"/>
      </w:pPr>
      <w:r>
        <w:rPr>
          <w:color w:val="0D0D0D"/>
          <w:sz w:val="18"/>
        </w:rPr>
        <w:lastRenderedPageBreak/>
        <w:t>Kiel JM, Kim GR, Ball MJ, eds. Healthcare Information Management Systems: Cases, Strategies, and Solutions. 5th ed. Cham, Switzerland: Springer International Publishing; 2022:404.</w:t>
      </w:r>
      <w:r>
        <w:rPr>
          <w:sz w:val="18"/>
        </w:rPr>
        <w:t xml:space="preserve"> </w:t>
      </w:r>
    </w:p>
    <w:p w14:paraId="10192117" w14:textId="77777777" w:rsidR="00E84DED" w:rsidRDefault="00847BBE">
      <w:pPr>
        <w:numPr>
          <w:ilvl w:val="0"/>
          <w:numId w:val="2"/>
        </w:numPr>
        <w:spacing w:after="0" w:line="249" w:lineRule="auto"/>
        <w:ind w:right="13" w:hanging="96"/>
        <w:jc w:val="both"/>
      </w:pPr>
      <w:proofErr w:type="spellStart"/>
      <w:r>
        <w:rPr>
          <w:color w:val="0D0D0D"/>
          <w:sz w:val="18"/>
        </w:rPr>
        <w:t>Bandeian</w:t>
      </w:r>
      <w:proofErr w:type="spellEnd"/>
      <w:r>
        <w:rPr>
          <w:color w:val="0D0D0D"/>
          <w:sz w:val="18"/>
        </w:rPr>
        <w:t xml:space="preserve"> S, Tompkins CP, Davison A. A Future Health Care Analytic System: Part 2—</w:t>
      </w:r>
      <w:r>
        <w:rPr>
          <w:sz w:val="18"/>
        </w:rPr>
        <w:t xml:space="preserve"> </w:t>
      </w:r>
      <w:r>
        <w:rPr>
          <w:color w:val="0D0D0D"/>
          <w:sz w:val="18"/>
        </w:rPr>
        <w:t xml:space="preserve">What is Needed and ‘Getting It Done’. In: Kiel JM, Kim GR, Ball MJ, eds. Healthcare Information Management Systems: Cases, Strategies, and Solutions. </w:t>
      </w:r>
    </w:p>
    <w:p w14:paraId="2F171712" w14:textId="77777777" w:rsidR="00E84DED" w:rsidRDefault="00847BBE">
      <w:pPr>
        <w:spacing w:after="38" w:line="249" w:lineRule="auto"/>
        <w:ind w:left="-5" w:right="13" w:hanging="10"/>
        <w:jc w:val="both"/>
      </w:pPr>
      <w:r>
        <w:rPr>
          <w:color w:val="0D0D0D"/>
          <w:sz w:val="18"/>
        </w:rPr>
        <w:t>5th ed. Cham, Switzerland: Springer International Publishing; 2022:419.</w:t>
      </w:r>
      <w:r>
        <w:rPr>
          <w:sz w:val="18"/>
        </w:rPr>
        <w:t xml:space="preserve"> </w:t>
      </w:r>
    </w:p>
    <w:sectPr w:rsidR="00E84DED">
      <w:pgSz w:w="12240" w:h="15840"/>
      <w:pgMar w:top="1439" w:right="1437" w:bottom="167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068BE"/>
    <w:multiLevelType w:val="hybridMultilevel"/>
    <w:tmpl w:val="14822408"/>
    <w:lvl w:ilvl="0" w:tplc="A5E490B0">
      <w:start w:val="1"/>
      <w:numFmt w:val="decimal"/>
      <w:lvlText w:val="%1"/>
      <w:lvlJc w:val="left"/>
      <w:pPr>
        <w:ind w:left="96"/>
      </w:pPr>
      <w:rPr>
        <w:rFonts w:ascii="Calibri" w:eastAsia="Calibri" w:hAnsi="Calibri" w:cs="Calibri"/>
        <w:b w:val="0"/>
        <w:i w:val="0"/>
        <w:strike w:val="0"/>
        <w:dstrike w:val="0"/>
        <w:color w:val="000000"/>
        <w:sz w:val="18"/>
        <w:szCs w:val="18"/>
        <w:u w:val="none" w:color="000000"/>
        <w:bdr w:val="none" w:sz="0" w:space="0" w:color="auto"/>
        <w:shd w:val="clear" w:color="auto" w:fill="auto"/>
        <w:vertAlign w:val="superscript"/>
      </w:rPr>
    </w:lvl>
    <w:lvl w:ilvl="1" w:tplc="4B1E0A88">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superscript"/>
      </w:rPr>
    </w:lvl>
    <w:lvl w:ilvl="2" w:tplc="473424EC">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superscript"/>
      </w:rPr>
    </w:lvl>
    <w:lvl w:ilvl="3" w:tplc="DCF43BEC">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superscript"/>
      </w:rPr>
    </w:lvl>
    <w:lvl w:ilvl="4" w:tplc="4E6051BC">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superscript"/>
      </w:rPr>
    </w:lvl>
    <w:lvl w:ilvl="5" w:tplc="085C195C">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superscript"/>
      </w:rPr>
    </w:lvl>
    <w:lvl w:ilvl="6" w:tplc="61FED95E">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superscript"/>
      </w:rPr>
    </w:lvl>
    <w:lvl w:ilvl="7" w:tplc="7DFC924E">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superscript"/>
      </w:rPr>
    </w:lvl>
    <w:lvl w:ilvl="8" w:tplc="4E8A6DFA">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superscript"/>
      </w:rPr>
    </w:lvl>
  </w:abstractNum>
  <w:abstractNum w:abstractNumId="1" w15:restartNumberingAfterBreak="0">
    <w:nsid w:val="089D2B7D"/>
    <w:multiLevelType w:val="hybridMultilevel"/>
    <w:tmpl w:val="32F09158"/>
    <w:lvl w:ilvl="0" w:tplc="82D8065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0C0458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8E23CD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F921B0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F78DEE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6849B7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3ECAD5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2E06E5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FAA8AC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218631340">
    <w:abstractNumId w:val="1"/>
  </w:num>
  <w:num w:numId="2" w16cid:durableId="1825975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DED"/>
    <w:rsid w:val="001236F2"/>
    <w:rsid w:val="00390DDF"/>
    <w:rsid w:val="00404FEA"/>
    <w:rsid w:val="00495F74"/>
    <w:rsid w:val="0051504F"/>
    <w:rsid w:val="005D604C"/>
    <w:rsid w:val="00660F49"/>
    <w:rsid w:val="0066633C"/>
    <w:rsid w:val="00847BBE"/>
    <w:rsid w:val="009207A4"/>
    <w:rsid w:val="00A463EF"/>
    <w:rsid w:val="00AB52D6"/>
    <w:rsid w:val="00B40AB5"/>
    <w:rsid w:val="00BC7228"/>
    <w:rsid w:val="00E84DED"/>
    <w:rsid w:val="00EA6973"/>
    <w:rsid w:val="00EA6F79"/>
    <w:rsid w:val="00FC2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51B24C"/>
  <w15:docId w15:val="{9B4FE75D-EE84-455A-84AD-D19721B95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93" w:line="259" w:lineRule="auto"/>
      <w:ind w:left="10" w:hanging="10"/>
      <w:outlineLvl w:val="0"/>
    </w:pPr>
    <w:rPr>
      <w:rFonts w:ascii="Calibri" w:eastAsia="Calibri" w:hAnsi="Calibri" w:cs="Calibri"/>
      <w:b/>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Caption">
    <w:name w:val="caption"/>
    <w:basedOn w:val="Normal"/>
    <w:next w:val="Normal"/>
    <w:uiPriority w:val="35"/>
    <w:unhideWhenUsed/>
    <w:qFormat/>
    <w:rsid w:val="005D604C"/>
    <w:pPr>
      <w:spacing w:after="200" w:line="240" w:lineRule="auto"/>
    </w:pPr>
    <w:rPr>
      <w:i/>
      <w:iCs/>
      <w:color w:val="0E2841" w:themeColor="text2"/>
      <w:sz w:val="18"/>
      <w:szCs w:val="18"/>
    </w:rPr>
  </w:style>
  <w:style w:type="character" w:styleId="Strong">
    <w:name w:val="Strong"/>
    <w:basedOn w:val="DefaultParagraphFont"/>
    <w:uiPriority w:val="22"/>
    <w:qFormat/>
    <w:rsid w:val="00FC21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www.bcbs.com/about-us/association-news/blue-cross-blue-shield-health-index-identifies-top-10-conditions-nationwide" TargetMode="External"/><Relationship Id="rId18" Type="http://schemas.openxmlformats.org/officeDocument/2006/relationships/hyperlink" Target="https://www.bcbs.com/about-us/association-news/blue-cross-blue-shield-health-index-identifies-top-10-conditions-nationwide" TargetMode="External"/><Relationship Id="rId26" Type="http://schemas.openxmlformats.org/officeDocument/2006/relationships/hyperlink" Target="https://www.bcbs.com/about-us/association-news/blue-cross-blue-shield-health-index-identifies-top-10-conditions-nationwide" TargetMode="External"/><Relationship Id="rId3" Type="http://schemas.openxmlformats.org/officeDocument/2006/relationships/settings" Target="settings.xml"/><Relationship Id="rId21" Type="http://schemas.openxmlformats.org/officeDocument/2006/relationships/hyperlink" Target="https://www.bcbs.com/about-us/association-news/blue-cross-blue-shield-health-index-identifies-top-10-conditions-nationwide" TargetMode="External"/><Relationship Id="rId7" Type="http://schemas.openxmlformats.org/officeDocument/2006/relationships/hyperlink" Target="https://www.bcbs.com/about-us/association-news/blue-cross-blue-shield-health-index-identifies-top-10-conditions-nationwide" TargetMode="External"/><Relationship Id="rId12" Type="http://schemas.openxmlformats.org/officeDocument/2006/relationships/hyperlink" Target="https://www.bcbs.com/about-us/association-news/blue-cross-blue-shield-health-index-identifies-top-10-conditions-nationwide" TargetMode="External"/><Relationship Id="rId17" Type="http://schemas.openxmlformats.org/officeDocument/2006/relationships/hyperlink" Target="https://www.bcbs.com/about-us/association-news/blue-cross-blue-shield-health-index-identifies-top-10-conditions-nationwide" TargetMode="External"/><Relationship Id="rId25" Type="http://schemas.openxmlformats.org/officeDocument/2006/relationships/hyperlink" Target="https://www.bcbs.com/about-us/association-news/blue-cross-blue-shield-health-index-identifies-top-10-conditions-nationwide"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bcbs.com/about-us/association-news/blue-cross-blue-shield-health-index-identifies-top-10-conditions-nationwide" TargetMode="External"/><Relationship Id="rId20" Type="http://schemas.openxmlformats.org/officeDocument/2006/relationships/hyperlink" Target="https://www.bcbs.com/about-us/association-news/blue-cross-blue-shield-health-index-identifies-top-10-conditions-nationwide" TargetMode="External"/><Relationship Id="rId29" Type="http://schemas.openxmlformats.org/officeDocument/2006/relationships/hyperlink" Target="https://www.bcbs.com/about-us/association-news/blue-cross-blue-shield-health-index-identifies-top-10-conditions-nationwide" TargetMode="External"/><Relationship Id="rId1" Type="http://schemas.openxmlformats.org/officeDocument/2006/relationships/numbering" Target="numbering.xml"/><Relationship Id="rId6" Type="http://schemas.openxmlformats.org/officeDocument/2006/relationships/hyperlink" Target="https://www.bcbs.com/about-us/association-news/blue-cross-blue-shield-health-index-identifies-top-10-conditions-nationwide" TargetMode="External"/><Relationship Id="rId11" Type="http://schemas.openxmlformats.org/officeDocument/2006/relationships/hyperlink" Target="https://www.bcbs.com/about-us/association-news/blue-cross-blue-shield-health-index-identifies-top-10-conditions-nationwide" TargetMode="External"/><Relationship Id="rId24" Type="http://schemas.openxmlformats.org/officeDocument/2006/relationships/hyperlink" Target="https://www.bcbs.com/about-us/association-news/blue-cross-blue-shield-health-index-identifies-top-10-conditions-nationwide" TargetMode="External"/><Relationship Id="rId32" Type="http://schemas.openxmlformats.org/officeDocument/2006/relationships/fontTable" Target="fontTable.xml"/><Relationship Id="rId5" Type="http://schemas.openxmlformats.org/officeDocument/2006/relationships/hyperlink" Target="https://www.bcbs.com/about-us/association-news/blue-cross-blue-shield-health-index-identifies-top-10-conditions-nationwide" TargetMode="External"/><Relationship Id="rId15" Type="http://schemas.openxmlformats.org/officeDocument/2006/relationships/hyperlink" Target="https://www.bcbs.com/about-us/association-news/blue-cross-blue-shield-health-index-identifies-top-10-conditions-nationwide" TargetMode="External"/><Relationship Id="rId23" Type="http://schemas.openxmlformats.org/officeDocument/2006/relationships/hyperlink" Target="https://www.bcbs.com/about-us/association-news/blue-cross-blue-shield-health-index-identifies-top-10-conditions-nationwide" TargetMode="External"/><Relationship Id="rId28" Type="http://schemas.openxmlformats.org/officeDocument/2006/relationships/hyperlink" Target="https://www.bcbs.com/about-us/association-news/blue-cross-blue-shield-health-index-identifies-top-10-conditions-nationwide" TargetMode="External"/><Relationship Id="rId10" Type="http://schemas.openxmlformats.org/officeDocument/2006/relationships/hyperlink" Target="https://www.bcbs.com/about-us/association-news/blue-cross-blue-shield-health-index-identifies-top-10-conditions-nationwide" TargetMode="External"/><Relationship Id="rId19" Type="http://schemas.openxmlformats.org/officeDocument/2006/relationships/hyperlink" Target="https://www.bcbs.com/about-us/association-news/blue-cross-blue-shield-health-index-identifies-top-10-conditions-nationwide" TargetMode="External"/><Relationship Id="rId31" Type="http://schemas.openxmlformats.org/officeDocument/2006/relationships/hyperlink" Target="https://www.bcbs.com/about-us/association-news/blue-cross-blue-shield-health-index-identifies-top-10-conditions-nationwide" TargetMode="External"/><Relationship Id="rId4" Type="http://schemas.openxmlformats.org/officeDocument/2006/relationships/webSettings" Target="webSettings.xml"/><Relationship Id="rId9" Type="http://schemas.openxmlformats.org/officeDocument/2006/relationships/hyperlink" Target="https://www.bcbs.com/about-us/association-news/blue-cross-blue-shield-health-index-identifies-top-10-conditions-nationwide" TargetMode="External"/><Relationship Id="rId14" Type="http://schemas.openxmlformats.org/officeDocument/2006/relationships/hyperlink" Target="https://www.bcbs.com/about-us/association-news/blue-cross-blue-shield-health-index-identifies-top-10-conditions-nationwide" TargetMode="External"/><Relationship Id="rId22" Type="http://schemas.openxmlformats.org/officeDocument/2006/relationships/hyperlink" Target="https://www.bcbs.com/about-us/association-news/blue-cross-blue-shield-health-index-identifies-top-10-conditions-nationwide" TargetMode="External"/><Relationship Id="rId27" Type="http://schemas.openxmlformats.org/officeDocument/2006/relationships/hyperlink" Target="https://www.bcbs.com/about-us/association-news/blue-cross-blue-shield-health-index-identifies-top-10-conditions-nationwide" TargetMode="External"/><Relationship Id="rId30" Type="http://schemas.openxmlformats.org/officeDocument/2006/relationships/hyperlink" Target="https://www.bcbs.com/about-us/association-news/blue-cross-blue-shield-health-index-identifies-top-10-conditions-nationwide" TargetMode="External"/><Relationship Id="rId8" Type="http://schemas.openxmlformats.org/officeDocument/2006/relationships/hyperlink" Target="https://www.bcbs.com/about-us/association-news/blue-cross-blue-shield-health-index-identifies-top-10-conditions-nationw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134</TotalTime>
  <Pages>4</Pages>
  <Words>1895</Words>
  <Characters>12000</Characters>
  <Application>Microsoft Office Word</Application>
  <DocSecurity>0</DocSecurity>
  <Lines>300</Lines>
  <Paragraphs>178</Paragraphs>
  <ScaleCrop>false</ScaleCrop>
  <Company/>
  <LinksUpToDate>false</LinksUpToDate>
  <CharactersWithSpaces>13717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bandeian</dc:creator>
  <cp:keywords/>
  <cp:lastModifiedBy>j marc overhage</cp:lastModifiedBy>
  <cp:revision>5</cp:revision>
  <dcterms:created xsi:type="dcterms:W3CDTF">2025-08-25T15:29:00Z</dcterms:created>
  <dcterms:modified xsi:type="dcterms:W3CDTF">2025-08-25T16:43:00Z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5f896ae9-965a-4d98-8ffb-d2a85897ec56</vt:lpwstr>
  </property>
</Properties>
</file>