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1A2E"/>
        <w:spacing w:before="0" w:after="0" w:line="960" w:lineRule="exact"/>
        <w:ind w:left="-1440" w:right="-1440"/>
      </w:pPr>
      <w:r>
        <w:rPr>
          <w:rFonts w:ascii="Calibri" w:hAnsi="Calibri"/>
          <w:b/>
          <w:i w:val="0"/>
          <w:color w:val="FFFFFF"/>
          <w:sz w:val="64"/>
        </w:rPr>
        <w:t xml:space="preserve">  AttendLog</w:t>
      </w:r>
      <w:r>
        <w:rPr>
          <w:color w:val="009688"/>
        </w:rPr>
      </w:r>
    </w:p>
    <w:p>
      <w:pPr>
        <w:shd w:val="clear" w:color="auto" w:fill="0F3C78"/>
        <w:spacing w:before="0" w:after="0" w:line="600" w:lineRule="exact"/>
        <w:ind w:left="-1440" w:right="-1440"/>
      </w:pPr>
      <w:r>
        <w:rPr>
          <w:rFonts w:ascii="Calibri" w:hAnsi="Calibri"/>
          <w:b w:val="0"/>
          <w:i w:val="0"/>
          <w:color w:val="BFDBFF"/>
          <w:sz w:val="26"/>
        </w:rPr>
        <w:t xml:space="preserve">  Facial Recognition Attendance System  —  Project Overview</w:t>
      </w:r>
    </w:p>
    <w:p/>
    <w:p>
      <w:pPr>
        <w:shd w:val="clear" w:color="auto" w:fill="0F3C78"/>
        <w:spacing w:before="280" w:after="40" w:line="520" w:lineRule="exact"/>
        <w:ind w:left="-1440" w:right="-1440"/>
      </w:pPr>
      <w:r>
        <w:rPr>
          <w:rFonts w:ascii="Calibri" w:hAnsi="Calibri"/>
          <w:b/>
          <w:i w:val="0"/>
          <w:color w:val="FFFFFF"/>
          <w:sz w:val="24"/>
        </w:rPr>
        <w:t xml:space="preserve">  1   What Is It?</w:t>
      </w:r>
    </w:p>
    <w:p>
      <w:pPr>
        <w:spacing w:before="0" w:after="100"/>
      </w:pPr>
      <w:r>
        <w:rPr>
          <w:rFonts w:ascii="Calibri" w:hAnsi="Calibri"/>
          <w:b w:val="0"/>
          <w:i w:val="0"/>
          <w:color w:val="111827"/>
          <w:sz w:val="21"/>
        </w:rPr>
        <w:t>AttendLog is a web-based educator dashboard that automates classroom attendance tracking using facial recognition. It is designed for teachers who need to manage multiple classes, track student presence over time, and generate attendance analytics — all through a browser interface with no specialist hardware required.</w:t>
      </w:r>
    </w:p>
    <w:p>
      <w:pPr>
        <w:spacing w:before="0" w:after="100"/>
      </w:pPr>
      <w:r>
        <w:rPr>
          <w:rFonts w:ascii="Calibri" w:hAnsi="Calibri"/>
          <w:b w:val="0"/>
          <w:i w:val="0"/>
          <w:color w:val="111827"/>
          <w:sz w:val="21"/>
        </w:rPr>
        <w:t>The system replaces manual roll-call with computer vision. A teacher uploads a photo of a classroom (or uses a live webcam feed), and AttendLog automatically identifies which enrolled students are present by comparing faces in the image against a stored library of student face profiles, producing a timestamped attendance record with minimal human input.</w:t>
      </w:r>
    </w:p>
    <w:p>
      <w:pPr>
        <w:shd w:val="clear" w:color="auto" w:fill="0F3C78"/>
        <w:spacing w:before="280" w:after="40" w:line="520" w:lineRule="exact"/>
        <w:ind w:left="-1440" w:right="-1440"/>
      </w:pPr>
      <w:r>
        <w:rPr>
          <w:rFonts w:ascii="Calibri" w:hAnsi="Calibri"/>
          <w:b/>
          <w:i w:val="0"/>
          <w:color w:val="FFFFFF"/>
          <w:sz w:val="24"/>
        </w:rPr>
        <w:t xml:space="preserve">  2   How It Works — The Full Flow</w:t>
      </w:r>
    </w:p>
    <w:p>
      <w:pPr>
        <w:spacing w:before="200" w:after="40"/>
      </w:pPr>
      <w:r>
        <w:rPr>
          <w:rFonts w:ascii="Calibri" w:hAnsi="Calibri"/>
          <w:b/>
          <w:i w:val="0"/>
          <w:color w:val="0F3C78"/>
          <w:sz w:val="22"/>
        </w:rPr>
        <w:t>Step 1 — Teacher Authentication</w:t>
      </w:r>
    </w:p>
    <w:p>
      <w:pPr>
        <w:spacing w:before="0" w:after="100"/>
      </w:pPr>
      <w:r>
        <w:rPr>
          <w:rFonts w:ascii="Calibri" w:hAnsi="Calibri"/>
          <w:b w:val="0"/>
          <w:i w:val="0"/>
          <w:color w:val="111827"/>
          <w:sz w:val="21"/>
        </w:rPr>
        <w:t>Teachers create individual accounts with a username and password. Passwords are stored as secure cryptographic hashes — never in plain text. Sessions are managed server-side so that each teacher only ever sees their own students, classes, and records. A default admin account is automatically seeded on first launch to allow immediate access.</w:t>
      </w:r>
    </w:p>
    <w:p>
      <w:pPr>
        <w:spacing w:before="200" w:after="40"/>
      </w:pPr>
      <w:r>
        <w:rPr>
          <w:rFonts w:ascii="Calibri" w:hAnsi="Calibri"/>
          <w:b/>
          <w:i w:val="0"/>
          <w:color w:val="0F3C78"/>
          <w:sz w:val="22"/>
        </w:rPr>
        <w:t>Step 2 — Student Enrollment (Building the Face Library)</w:t>
      </w:r>
    </w:p>
    <w:p>
      <w:pPr>
        <w:spacing w:before="0" w:after="100"/>
      </w:pPr>
      <w:r>
        <w:rPr>
          <w:rFonts w:ascii="Calibri" w:hAnsi="Calibri"/>
          <w:b w:val="0"/>
          <w:i w:val="0"/>
          <w:color w:val="111827"/>
          <w:sz w:val="21"/>
        </w:rPr>
        <w:t>Before any attendance can be taken, each student must be enrolled. The teacher supplies a student's name, index number, and a clear face photo — either uploaded as a file or captured live via the browser's webcam. When a photo is submitted, the system runs it through a deep learning face recognition model (VGG-Face) which extracts a face embedding — a numerical fingerprint of that individual's face. This embedding is stored in the database alongside the student profile and is what all future matching is compared against.</w:t>
      </w:r>
    </w:p>
    <w:p>
      <w:pPr>
        <w:spacing w:before="0" w:after="100"/>
      </w:pPr>
      <w:r>
        <w:rPr>
          <w:rFonts w:ascii="Calibri" w:hAnsi="Calibri"/>
          <w:b w:val="0"/>
          <w:i w:val="0"/>
          <w:color w:val="111827"/>
          <w:sz w:val="21"/>
        </w:rPr>
        <w:t>A separate batch enrollment script also exists, linking this project to a companion "performance prediction" mini-project. It reads student records and photos from that project and mass-enrolls them into AttendLog automatically, making cross-project data sharing seamless.</w:t>
      </w:r>
    </w:p>
    <w:p>
      <w:pPr>
        <w:spacing w:before="200" w:after="40"/>
      </w:pPr>
      <w:r>
        <w:rPr>
          <w:rFonts w:ascii="Calibri" w:hAnsi="Calibri"/>
          <w:b/>
          <w:i w:val="0"/>
          <w:color w:val="0F3C78"/>
          <w:sz w:val="22"/>
        </w:rPr>
        <w:t>Step 3 — Class Management</w:t>
      </w:r>
    </w:p>
    <w:p>
      <w:pPr>
        <w:spacing w:before="0" w:after="100"/>
      </w:pPr>
      <w:r>
        <w:rPr>
          <w:rFonts w:ascii="Calibri" w:hAnsi="Calibri"/>
          <w:b w:val="0"/>
          <w:i w:val="0"/>
          <w:color w:val="111827"/>
          <w:sz w:val="21"/>
        </w:rPr>
        <w:t>Teachers organise students into named classes (e.g. "Mathematics 101"). A student can belong to multiple classes simultaneously. All classes are fully isolated per teacher account.</w:t>
      </w:r>
    </w:p>
    <w:p>
      <w:pPr>
        <w:spacing w:before="200" w:after="40"/>
      </w:pPr>
      <w:r>
        <w:rPr>
          <w:rFonts w:ascii="Calibri" w:hAnsi="Calibri"/>
          <w:b/>
          <w:i w:val="0"/>
          <w:color w:val="0F3C78"/>
          <w:sz w:val="22"/>
        </w:rPr>
        <w:t>Step 4 — Attendance Sessions</w:t>
      </w:r>
    </w:p>
    <w:p>
      <w:pPr>
        <w:spacing w:before="0" w:after="100"/>
      </w:pPr>
      <w:r>
        <w:rPr>
          <w:rFonts w:ascii="Calibri" w:hAnsi="Calibri"/>
          <w:b w:val="0"/>
          <w:i w:val="0"/>
          <w:color w:val="111827"/>
          <w:sz w:val="21"/>
        </w:rPr>
        <w:t>Within each class, teachers create attendance sessions — each with a title, date, and an optional weight so that certain sessions (such as exams) can count more heavily in analytics. There are three ways to record attendance in a session:</w:t>
      </w:r>
    </w:p>
    <w:p>
      <w:pPr>
        <w:pStyle w:val="ListBullet"/>
        <w:spacing w:before="20" w:after="20"/>
        <w:ind w:left="360"/>
      </w:pPr>
      <w:r>
        <w:rPr>
          <w:rFonts w:ascii="Calibri" w:hAnsi="Calibri"/>
          <w:b/>
          <w:i w:val="0"/>
          <w:color w:val="0F3C78"/>
          <w:sz w:val="21"/>
        </w:rPr>
        <w:t>Manual Entry —</w:t>
      </w:r>
      <w:r>
        <w:rPr>
          <w:rFonts w:ascii="Calibri" w:hAnsi="Calibri"/>
          <w:b w:val="0"/>
          <w:i w:val="0"/>
          <w:color w:val="111827"/>
          <w:sz w:val="21"/>
        </w:rPr>
        <w:t xml:space="preserve"> Type a student's index number directly into a search field to mark them present.</w:t>
      </w:r>
    </w:p>
    <w:p>
      <w:pPr>
        <w:pStyle w:val="ListBullet"/>
        <w:spacing w:before="20" w:after="20"/>
        <w:ind w:left="360"/>
      </w:pPr>
      <w:r>
        <w:rPr>
          <w:rFonts w:ascii="Calibri" w:hAnsi="Calibri"/>
          <w:b/>
          <w:i w:val="0"/>
          <w:color w:val="0F3C78"/>
          <w:sz w:val="21"/>
        </w:rPr>
        <w:t>Photo Attendance —</w:t>
      </w:r>
      <w:r>
        <w:rPr>
          <w:rFonts w:ascii="Calibri" w:hAnsi="Calibri"/>
          <w:b w:val="0"/>
          <w:i w:val="0"/>
          <w:color w:val="111827"/>
          <w:sz w:val="21"/>
        </w:rPr>
        <w:t xml:space="preserve"> Upload a group photo of the class. The system detects every face in the image, compares each one against enrolled student embeddings using cosine similarity, and marks anyone whose match score clears the confidence threshold as present. The system saves an annotated copy of the photo with coloured bounding boxes around each detected face — green for recognised students (labelled with name and confidence percentage), blue for unrecognised faces.</w:t>
      </w:r>
    </w:p>
    <w:p>
      <w:pPr>
        <w:pStyle w:val="ListBullet"/>
        <w:spacing w:before="20" w:after="20"/>
        <w:ind w:left="360"/>
      </w:pPr>
      <w:r>
        <w:rPr>
          <w:rFonts w:ascii="Calibri" w:hAnsi="Calibri"/>
          <w:b/>
          <w:i w:val="0"/>
          <w:color w:val="0F3C78"/>
          <w:sz w:val="21"/>
        </w:rPr>
        <w:t>Live Camera —</w:t>
      </w:r>
      <w:r>
        <w:rPr>
          <w:rFonts w:ascii="Calibri" w:hAnsi="Calibri"/>
          <w:b w:val="0"/>
          <w:i w:val="0"/>
          <w:color w:val="111827"/>
          <w:sz w:val="21"/>
        </w:rPr>
        <w:t xml:space="preserve"> Point the browser webcam at the class in real time. The teacher can scan on demand or enable auto-scanning every 3 seconds, which continuously checks for new faces.</w:t>
      </w:r>
    </w:p>
    <w:p>
      <w:pPr>
        <w:spacing w:before="200" w:after="40"/>
      </w:pPr>
      <w:r>
        <w:rPr>
          <w:rFonts w:ascii="Calibri" w:hAnsi="Calibri"/>
          <w:b/>
          <w:i w:val="0"/>
          <w:color w:val="0F3C78"/>
          <w:sz w:val="22"/>
        </w:rPr>
        <w:t>Step 5 — Analytics</w:t>
      </w:r>
    </w:p>
    <w:p>
      <w:pPr>
        <w:spacing w:before="0" w:after="100"/>
      </w:pPr>
      <w:r>
        <w:rPr>
          <w:rFonts w:ascii="Calibri" w:hAnsi="Calibri"/>
          <w:b w:val="0"/>
          <w:i w:val="0"/>
          <w:color w:val="111827"/>
          <w:sz w:val="21"/>
        </w:rPr>
        <w:t>For each class the system computes per-student attendance statistics across all sessions, taking session weights into account. It surfaces:</w:t>
      </w:r>
    </w:p>
    <w:p>
      <w:pPr>
        <w:pStyle w:val="ListBullet"/>
        <w:spacing w:before="20" w:after="20"/>
        <w:ind w:left="360"/>
      </w:pPr>
      <w:r>
        <w:rPr>
          <w:rFonts w:ascii="Calibri" w:hAnsi="Calibri"/>
          <w:b w:val="0"/>
          <w:i w:val="0"/>
          <w:color w:val="111827"/>
          <w:sz w:val="21"/>
        </w:rPr>
        <w:t>Weighted attendance rate as a percentage</w:t>
      </w:r>
    </w:p>
    <w:p>
      <w:pPr>
        <w:pStyle w:val="ListBullet"/>
        <w:spacing w:before="20" w:after="20"/>
        <w:ind w:left="360"/>
      </w:pPr>
      <w:r>
        <w:rPr>
          <w:rFonts w:ascii="Calibri" w:hAnsi="Calibri"/>
          <w:b w:val="0"/>
          <w:i w:val="0"/>
          <w:color w:val="111827"/>
          <w:sz w:val="21"/>
        </w:rPr>
        <w:t>Number of consecutive absences at the most recent point in the term</w:t>
      </w:r>
    </w:p>
    <w:p>
      <w:pPr>
        <w:pStyle w:val="ListBullet"/>
        <w:spacing w:before="20" w:after="20"/>
        <w:ind w:left="360"/>
      </w:pPr>
      <w:r>
        <w:rPr>
          <w:rFonts w:ascii="Calibri" w:hAnsi="Calibri"/>
          <w:b w:val="0"/>
          <w:i w:val="0"/>
          <w:color w:val="111827"/>
          <w:sz w:val="21"/>
        </w:rPr>
        <w:t>Automatic flags for students below 50% attendance</w:t>
      </w:r>
    </w:p>
    <w:p>
      <w:pPr>
        <w:pStyle w:val="ListBullet"/>
        <w:spacing w:before="20" w:after="20"/>
        <w:ind w:left="360"/>
      </w:pPr>
      <w:r>
        <w:rPr>
          <w:rFonts w:ascii="Calibri" w:hAnsi="Calibri"/>
          <w:b w:val="0"/>
          <w:i w:val="0"/>
          <w:color w:val="111827"/>
          <w:sz w:val="21"/>
        </w:rPr>
        <w:t>Automatic flags for students with two or more consecutive absences</w:t>
      </w:r>
    </w:p>
    <w:p>
      <w:pPr>
        <w:shd w:val="clear" w:color="auto" w:fill="0F3C78"/>
        <w:spacing w:before="280" w:after="40" w:line="520" w:lineRule="exact"/>
        <w:ind w:left="-1440" w:right="-1440"/>
      </w:pPr>
      <w:r>
        <w:rPr>
          <w:rFonts w:ascii="Calibri" w:hAnsi="Calibri"/>
          <w:b/>
          <w:i w:val="0"/>
          <w:color w:val="FFFFFF"/>
          <w:sz w:val="24"/>
        </w:rPr>
        <w:t xml:space="preserve">  3   Libraries and Technologies</w:t>
      </w:r>
    </w:p>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F3C78"/>
            <w:tcBorders>
              <w:top w:val="single" w:sz="4" w:space="0" w:color="0F3C78"/>
              <w:left w:val="single" w:sz="4" w:space="0" w:color="0F3C78"/>
              <w:bottom w:val="single" w:sz="4" w:space="0" w:color="0F3C78"/>
              <w:right w:val="single" w:sz="4" w:space="0" w:color="0F3C78"/>
            </w:tcBorders>
          </w:tcPr>
          <w:p>
            <w:pPr>
              <w:spacing w:before="60" w:after="60"/>
              <w:jc w:val="left"/>
            </w:pPr>
            <w:r>
              <w:rPr>
                <w:rFonts w:ascii="Calibri" w:hAnsi="Calibri"/>
                <w:b/>
                <w:i w:val="0"/>
                <w:color w:val="FFFFFF"/>
                <w:sz w:val="20"/>
              </w:rPr>
              <w:t>Component</w:t>
            </w:r>
          </w:p>
        </w:tc>
        <w:tc>
          <w:tcPr>
            <w:tcW w:type="dxa" w:w="2736"/>
            <w:shd w:val="clear" w:color="auto" w:fill="0F3C78"/>
            <w:tcBorders>
              <w:top w:val="single" w:sz="4" w:space="0" w:color="0F3C78"/>
              <w:left w:val="single" w:sz="4" w:space="0" w:color="0F3C78"/>
              <w:bottom w:val="single" w:sz="4" w:space="0" w:color="0F3C78"/>
              <w:right w:val="single" w:sz="4" w:space="0" w:color="0F3C78"/>
            </w:tcBorders>
          </w:tcPr>
          <w:p>
            <w:pPr>
              <w:spacing w:before="60" w:after="60"/>
              <w:jc w:val="left"/>
            </w:pPr>
            <w:r>
              <w:rPr>
                <w:rFonts w:ascii="Calibri" w:hAnsi="Calibri"/>
                <w:b/>
                <w:i w:val="0"/>
                <w:color w:val="FFFFFF"/>
                <w:sz w:val="20"/>
              </w:rPr>
              <w:t>Library / Technology</w:t>
            </w:r>
          </w:p>
        </w:tc>
        <w:tc>
          <w:tcPr>
            <w:tcW w:type="dxa" w:w="4608"/>
            <w:shd w:val="clear" w:color="auto" w:fill="0F3C78"/>
            <w:tcBorders>
              <w:top w:val="single" w:sz="4" w:space="0" w:color="0F3C78"/>
              <w:left w:val="single" w:sz="4" w:space="0" w:color="0F3C78"/>
              <w:bottom w:val="single" w:sz="4" w:space="0" w:color="0F3C78"/>
              <w:right w:val="single" w:sz="4" w:space="0" w:color="0F3C78"/>
            </w:tcBorders>
          </w:tcPr>
          <w:p>
            <w:pPr>
              <w:spacing w:before="60" w:after="60"/>
              <w:jc w:val="left"/>
            </w:pPr>
            <w:r>
              <w:rPr>
                <w:rFonts w:ascii="Calibri" w:hAnsi="Calibri"/>
                <w:b/>
                <w:i w:val="0"/>
                <w:color w:val="FFFFFF"/>
                <w:sz w:val="20"/>
              </w:rPr>
              <w:t>Role</w:t>
            </w:r>
          </w:p>
        </w:tc>
      </w:tr>
      <w:tr>
        <w:tc>
          <w:tcPr>
            <w:tcW w:type="dxa" w:w="2160"/>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Web Server</w:t>
            </w:r>
          </w:p>
        </w:tc>
        <w:tc>
          <w:tcPr>
            <w:tcW w:type="dxa" w:w="2736"/>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Flask</w:t>
            </w:r>
          </w:p>
        </w:tc>
        <w:tc>
          <w:tcPr>
            <w:tcW w:type="dxa" w:w="4608"/>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Serves the HTML interface and handles all REST API requests between the browser and the backend.</w:t>
            </w:r>
          </w:p>
        </w:tc>
      </w:tr>
      <w:tr>
        <w:tc>
          <w:tcPr>
            <w:tcW w:type="dxa" w:w="2160"/>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Face Recognition</w:t>
            </w:r>
          </w:p>
        </w:tc>
        <w:tc>
          <w:tcPr>
            <w:tcW w:type="dxa" w:w="2736"/>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DeepFace (VGG-Face)</w:t>
            </w:r>
          </w:p>
        </w:tc>
        <w:tc>
          <w:tcPr>
            <w:tcW w:type="dxa" w:w="4608"/>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Runs the deep learning model to extract face embeddings from photos and detect multiple faces in group images.</w:t>
            </w:r>
          </w:p>
        </w:tc>
      </w:tr>
      <w:tr>
        <w:tc>
          <w:tcPr>
            <w:tcW w:type="dxa" w:w="2160"/>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Image Processing</w:t>
            </w:r>
          </w:p>
        </w:tc>
        <w:tc>
          <w:tcPr>
            <w:tcW w:type="dxa" w:w="2736"/>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OpenCV (cv2)</w:t>
            </w:r>
          </w:p>
        </w:tc>
        <w:tc>
          <w:tcPr>
            <w:tcW w:type="dxa" w:w="4608"/>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Reads image files, draws bounding boxes around detected faces, and renders name/confidence labels on annotated photos.</w:t>
            </w:r>
          </w:p>
        </w:tc>
      </w:tr>
      <w:tr>
        <w:tc>
          <w:tcPr>
            <w:tcW w:type="dxa" w:w="2160"/>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Numerical Computing</w:t>
            </w:r>
          </w:p>
        </w:tc>
        <w:tc>
          <w:tcPr>
            <w:tcW w:type="dxa" w:w="2736"/>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NumPy</w:t>
            </w:r>
          </w:p>
        </w:tc>
        <w:tc>
          <w:tcPr>
            <w:tcW w:type="dxa" w:w="4608"/>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Computes cosine distance between face embeddings to determine how closely two faces match.</w:t>
            </w:r>
          </w:p>
        </w:tc>
      </w:tr>
      <w:tr>
        <w:tc>
          <w:tcPr>
            <w:tcW w:type="dxa" w:w="2160"/>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Database</w:t>
            </w:r>
          </w:p>
        </w:tc>
        <w:tc>
          <w:tcPr>
            <w:tcW w:type="dxa" w:w="2736"/>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SQLite</w:t>
            </w:r>
          </w:p>
        </w:tc>
        <w:tc>
          <w:tcPr>
            <w:tcW w:type="dxa" w:w="4608"/>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Stores all teachers, students, classes, sessions, and attendance records in a lightweight file-based database.</w:t>
            </w:r>
          </w:p>
        </w:tc>
      </w:tr>
      <w:tr>
        <w:tc>
          <w:tcPr>
            <w:tcW w:type="dxa" w:w="2160"/>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Auth Security</w:t>
            </w:r>
          </w:p>
        </w:tc>
        <w:tc>
          <w:tcPr>
            <w:tcW w:type="dxa" w:w="2736"/>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Werkzeug</w:t>
            </w:r>
          </w:p>
        </w:tc>
        <w:tc>
          <w:tcPr>
            <w:tcW w:type="dxa" w:w="4608"/>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Hashes passwords on creation and verifies them on login — passwords are never stored in plain text.</w:t>
            </w:r>
          </w:p>
        </w:tc>
      </w:tr>
      <w:tr>
        <w:tc>
          <w:tcPr>
            <w:tcW w:type="dxa" w:w="2160"/>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Frontend</w:t>
            </w:r>
          </w:p>
        </w:tc>
        <w:tc>
          <w:tcPr>
            <w:tcW w:type="dxa" w:w="2736"/>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Vanilla JS + HTML/CSS</w:t>
            </w:r>
          </w:p>
        </w:tc>
        <w:tc>
          <w:tcPr>
            <w:tcW w:type="dxa" w:w="4608"/>
            <w:shd w:val="clear" w:color="auto" w:fill="F3F4F6"/>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Single-page application UI rendered entirely in the browser with no external JavaScript framework.</w:t>
            </w:r>
          </w:p>
        </w:tc>
      </w:tr>
      <w:tr>
        <w:tc>
          <w:tcPr>
            <w:tcW w:type="dxa" w:w="2160"/>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0F3C78"/>
                <w:sz w:val="19"/>
              </w:rPr>
              <w:t>Fonts &amp; Icons</w:t>
            </w:r>
          </w:p>
        </w:tc>
        <w:tc>
          <w:tcPr>
            <w:tcW w:type="dxa" w:w="2736"/>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i w:val="0"/>
                <w:color w:val="1F2D3D"/>
                <w:sz w:val="19"/>
              </w:rPr>
              <w:t>Google Fonts + Material Icons</w:t>
            </w:r>
          </w:p>
        </w:tc>
        <w:tc>
          <w:tcPr>
            <w:tcW w:type="dxa" w:w="4608"/>
            <w:shd w:val="clear" w:color="auto" w:fill="FFFFFF"/>
            <w:tcBorders>
              <w:top w:val="single" w:sz="4" w:space="0" w:color="E5E7EB"/>
              <w:left w:val="single" w:sz="4" w:space="0" w:color="E5E7EB"/>
              <w:bottom w:val="single" w:sz="4" w:space="0" w:color="E5E7EB"/>
              <w:right w:val="single" w:sz="4" w:space="0" w:color="E5E7EB"/>
            </w:tcBorders>
          </w:tcPr>
          <w:p>
            <w:pPr>
              <w:spacing w:before="60" w:after="60"/>
            </w:pPr>
            <w:r>
              <w:rPr>
                <w:rFonts w:ascii="Calibri" w:hAnsi="Calibri"/>
                <w:b w:val="0"/>
                <w:i w:val="0"/>
                <w:color w:val="111827"/>
                <w:sz w:val="19"/>
              </w:rPr>
              <w:t>UI typography (Poppins, Inter, Roboto) and icon set for a clean, modern interface.</w:t>
            </w:r>
          </w:p>
        </w:tc>
      </w:tr>
    </w:tbl>
    <w:p/>
    <w:p>
      <w:pPr>
        <w:shd w:val="clear" w:color="auto" w:fill="0F3C78"/>
        <w:spacing w:before="280" w:after="40" w:line="520" w:lineRule="exact"/>
        <w:ind w:left="-1440" w:right="-1440"/>
      </w:pPr>
      <w:r>
        <w:rPr>
          <w:rFonts w:ascii="Calibri" w:hAnsi="Calibri"/>
          <w:b/>
          <w:i w:val="0"/>
          <w:color w:val="FFFFFF"/>
          <w:sz w:val="24"/>
        </w:rPr>
        <w:t xml:space="preserve">  4   Data Architecture</w:t>
      </w:r>
    </w:p>
    <w:p>
      <w:pPr>
        <w:spacing w:before="0" w:after="100"/>
      </w:pPr>
      <w:r>
        <w:rPr>
          <w:rFonts w:ascii="Calibri" w:hAnsi="Calibri"/>
          <w:b w:val="0"/>
          <w:i w:val="0"/>
          <w:color w:val="111827"/>
          <w:sz w:val="21"/>
        </w:rPr>
        <w:t>All persistent data lives in a single SQLite database file. The schema is organised around five core entities and their relationships:</w:t>
      </w:r>
    </w:p>
    <w:p>
      <w:pPr>
        <w:pStyle w:val="ListBullet"/>
        <w:spacing w:before="20" w:after="20"/>
        <w:ind w:left="360"/>
      </w:pPr>
      <w:r>
        <w:rPr>
          <w:rFonts w:ascii="Calibri" w:hAnsi="Calibri"/>
          <w:b w:val="0"/>
          <w:i w:val="0"/>
          <w:color w:val="111827"/>
          <w:sz w:val="21"/>
        </w:rPr>
        <w:t>Teachers — accounts with hashed credentials and ownership over all data they create.</w:t>
      </w:r>
    </w:p>
    <w:p>
      <w:pPr>
        <w:pStyle w:val="ListBullet"/>
        <w:spacing w:before="20" w:after="20"/>
        <w:ind w:left="360"/>
      </w:pPr>
      <w:r>
        <w:rPr>
          <w:rFonts w:ascii="Calibri" w:hAnsi="Calibri"/>
          <w:b w:val="0"/>
          <w:i w:val="0"/>
          <w:color w:val="111827"/>
          <w:sz w:val="21"/>
        </w:rPr>
        <w:t>Students — profiles consisting of name, index number, profile photo, and stored face embedding.</w:t>
      </w:r>
    </w:p>
    <w:p>
      <w:pPr>
        <w:pStyle w:val="ListBullet"/>
        <w:spacing w:before="20" w:after="20"/>
        <w:ind w:left="360"/>
      </w:pPr>
      <w:r>
        <w:rPr>
          <w:rFonts w:ascii="Calibri" w:hAnsi="Calibri"/>
          <w:b w:val="0"/>
          <w:i w:val="0"/>
          <w:color w:val="111827"/>
          <w:sz w:val="21"/>
        </w:rPr>
        <w:t>Classes — named course groups created by a teacher, optionally described.</w:t>
      </w:r>
    </w:p>
    <w:p>
      <w:pPr>
        <w:pStyle w:val="ListBullet"/>
        <w:spacing w:before="20" w:after="20"/>
        <w:ind w:left="360"/>
      </w:pPr>
      <w:r>
        <w:rPr>
          <w:rFonts w:ascii="Calibri" w:hAnsi="Calibri"/>
          <w:b w:val="0"/>
          <w:i w:val="0"/>
          <w:color w:val="111827"/>
          <w:sz w:val="21"/>
        </w:rPr>
        <w:t>Class-Student (join table) — many-to-many relationship allowing a student to belong to multiple classes; cascades deletes cleanly.</w:t>
      </w:r>
    </w:p>
    <w:p>
      <w:pPr>
        <w:pStyle w:val="ListBullet"/>
        <w:spacing w:before="20" w:after="20"/>
        <w:ind w:left="360"/>
      </w:pPr>
      <w:r>
        <w:rPr>
          <w:rFonts w:ascii="Calibri" w:hAnsi="Calibri"/>
          <w:b w:val="0"/>
          <w:i w:val="0"/>
          <w:color w:val="111827"/>
          <w:sz w:val="21"/>
        </w:rPr>
        <w:t>Sessions — individual attendance-taking events linked to a class, with a date, title, weight, and optional annotated photo.</w:t>
      </w:r>
    </w:p>
    <w:p>
      <w:pPr>
        <w:pStyle w:val="ListBullet"/>
        <w:spacing w:before="20" w:after="20"/>
        <w:ind w:left="360"/>
      </w:pPr>
      <w:r>
        <w:rPr>
          <w:rFonts w:ascii="Calibri" w:hAnsi="Calibri"/>
          <w:b w:val="0"/>
          <w:i w:val="0"/>
          <w:color w:val="111827"/>
          <w:sz w:val="21"/>
        </w:rPr>
        <w:t>Attendance Records — per-session, per-student presence logs capturing status, recognition confidence score, and timestamp.</w:t>
      </w:r>
    </w:p>
    <w:p>
      <w:pPr>
        <w:spacing w:before="0" w:after="100"/>
      </w:pPr>
      <w:r>
        <w:rPr>
          <w:rFonts w:ascii="Calibri" w:hAnsi="Calibri"/>
          <w:b w:val="0"/>
          <w:i w:val="0"/>
          <w:color w:val="111827"/>
          <w:sz w:val="21"/>
        </w:rPr>
        <w:t>Foreign key cascades ensure that deleting a class automatically removes all its sessions and attendance records, maintaining referential integrity without orphaned data. The database also includes an automatic migration path so the schema can evolve without breaking existing installations.</w:t>
      </w:r>
    </w:p>
    <w:p>
      <w:pPr>
        <w:shd w:val="clear" w:color="auto" w:fill="0F3C78"/>
        <w:spacing w:before="280" w:after="40" w:line="520" w:lineRule="exact"/>
        <w:ind w:left="-1440" w:right="-1440"/>
      </w:pPr>
      <w:r>
        <w:rPr>
          <w:rFonts w:ascii="Calibri" w:hAnsi="Calibri"/>
          <w:b/>
          <w:i w:val="0"/>
          <w:color w:val="FFFFFF"/>
          <w:sz w:val="24"/>
        </w:rPr>
        <w:t xml:space="preserve">  5   Identity Isolation and Security</w:t>
      </w:r>
    </w:p>
    <w:p>
      <w:pPr>
        <w:spacing w:before="0" w:after="100"/>
      </w:pPr>
      <w:r>
        <w:rPr>
          <w:rFonts w:ascii="Calibri" w:hAnsi="Calibri"/>
          <w:b w:val="0"/>
          <w:i w:val="0"/>
          <w:color w:val="111827"/>
          <w:sz w:val="21"/>
        </w:rPr>
        <w:t>Every API endpoint enforces authentication. Any request to protected routes without an active session is rejected with a 401 error or redirected to the login page. All database queries are scoped to the currently authenticated teacher's ID, meaning one teacher cannot read or modify another's data even if they guess a numeric resource ID. This makes the system safe to deploy in a shared school environment where multiple educators use the same server instance.</w:t>
      </w:r>
    </w:p>
    <w:p>
      <w:pPr>
        <w:spacing w:before="0" w:after="100"/>
      </w:pPr>
      <w:r>
        <w:rPr>
          <w:rFonts w:ascii="Calibri" w:hAnsi="Calibri"/>
          <w:b w:val="0"/>
          <w:i w:val="0"/>
          <w:color w:val="111827"/>
          <w:sz w:val="21"/>
        </w:rPr>
        <w:t>The batch enrollment utility and the seeded admin account are the only mechanisms that operate outside this isolation model, and both are administrative tools intended for initial setup only.</w:t>
      </w:r>
    </w:p>
    <w:p>
      <w:pPr>
        <w:shd w:val="clear" w:color="auto" w:fill="0F3C78"/>
        <w:spacing w:before="280" w:after="40" w:line="520" w:lineRule="exact"/>
        <w:ind w:left="-1440" w:right="-1440"/>
      </w:pPr>
      <w:r>
        <w:rPr>
          <w:rFonts w:ascii="Calibri" w:hAnsi="Calibri"/>
          <w:b/>
          <w:i w:val="0"/>
          <w:color w:val="FFFFFF"/>
          <w:sz w:val="24"/>
        </w:rPr>
        <w:t xml:space="preserve">  6   Face Recognition — Under the Hood</w:t>
      </w:r>
    </w:p>
    <w:p>
      <w:pPr>
        <w:spacing w:before="0" w:after="100"/>
      </w:pPr>
      <w:r>
        <w:rPr>
          <w:rFonts w:ascii="Calibri" w:hAnsi="Calibri"/>
          <w:b w:val="0"/>
          <w:i w:val="0"/>
          <w:color w:val="111827"/>
          <w:sz w:val="21"/>
        </w:rPr>
        <w:t>The face recognition pipeline has two phases that happen at different times:</w:t>
      </w:r>
    </w:p>
    <w:p>
      <w:pPr>
        <w:spacing w:before="200" w:after="40"/>
      </w:pPr>
      <w:r>
        <w:rPr>
          <w:rFonts w:ascii="Calibri" w:hAnsi="Calibri"/>
          <w:b/>
          <w:i w:val="0"/>
          <w:color w:val="0F3C78"/>
          <w:sz w:val="22"/>
        </w:rPr>
        <w:t>Enrollment Phase</w:t>
      </w:r>
    </w:p>
    <w:p>
      <w:pPr>
        <w:spacing w:before="0" w:after="100"/>
      </w:pPr>
      <w:r>
        <w:rPr>
          <w:rFonts w:ascii="Calibri" w:hAnsi="Calibri"/>
          <w:b w:val="0"/>
          <w:i w:val="0"/>
          <w:color w:val="111827"/>
          <w:sz w:val="21"/>
        </w:rPr>
        <w:t>When a student is registered, their photo is passed through the VGG-Face convolutional neural network via the DeepFace library. The model outputs a high-dimensional vector (the embedding) that encodes the spatial and geometric characteristics of that person's face. This vector is serialised as JSON and stored in the database. The photo is also retained on disk.</w:t>
      </w:r>
    </w:p>
    <w:p>
      <w:pPr>
        <w:spacing w:before="200" w:after="40"/>
      </w:pPr>
      <w:r>
        <w:rPr>
          <w:rFonts w:ascii="Calibri" w:hAnsi="Calibri"/>
          <w:b/>
          <w:i w:val="0"/>
          <w:color w:val="0F3C78"/>
          <w:sz w:val="22"/>
        </w:rPr>
        <w:t>Recognition Phase</w:t>
      </w:r>
    </w:p>
    <w:p>
      <w:pPr>
        <w:spacing w:before="0" w:after="100"/>
      </w:pPr>
      <w:r>
        <w:rPr>
          <w:rFonts w:ascii="Calibri" w:hAnsi="Calibri"/>
          <w:b w:val="0"/>
          <w:i w:val="0"/>
          <w:color w:val="111827"/>
          <w:sz w:val="21"/>
        </w:rPr>
        <w:t>When a group attendance photo is submitted, DeepFace detects every individual face in the image and generates an embedding for each one. The system then compares each detected face against every enrolled student's stored embedding using cosine distance — a mathematical measure of how similar two vectors are in direction. A cosine distance at or below the configured threshold (0.40) is treated as a confirmed match. The best-matching student per detected face is selected, and only the highest-confidence match per student is recorded to prevent double-counting. OpenCV then draws annotated overlays on the original image showing who was recognised and where.</w:t>
      </w:r>
    </w:p>
    <w:p/>
    <w:p>
      <w:pPr>
        <w:shd w:val="clear" w:color="auto" w:fill="1A1A2E"/>
        <w:spacing w:before="160" w:after="0" w:line="440" w:lineRule="exact"/>
        <w:ind w:left="-1440" w:right="-1440"/>
      </w:pPr>
      <w:r>
        <w:rPr>
          <w:rFonts w:ascii="Calibri" w:hAnsi="Calibri"/>
          <w:b w:val="0"/>
          <w:i w:val="0"/>
          <w:color w:val="9CA3AF"/>
          <w:sz w:val="18"/>
        </w:rPr>
        <w:t xml:space="preserve">  AttendLog  |  Facial Recognition Attendance System  |  Project Documentation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