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45220">
      <w:pPr>
        <w:ind w:firstLine="636" w:firstLineChars="289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驱动模型</w:t>
      </w:r>
    </w:p>
    <w:p w14:paraId="0F0052BF">
      <w:pPr>
        <w:rPr>
          <w:b/>
          <w:bCs/>
        </w:rPr>
      </w:pPr>
      <w:r>
        <w:rPr>
          <w:b/>
          <w:bCs/>
        </w:rPr>
        <w:t>（一）</w:t>
      </w:r>
      <w:r>
        <w:rPr>
          <w:rFonts w:hint="eastAsia"/>
          <w:b/>
          <w:bCs/>
          <w:color w:val="FF0000"/>
        </w:rPr>
        <w:t>大语言模型（</w:t>
      </w:r>
      <w:r>
        <w:rPr>
          <w:b/>
          <w:bCs/>
          <w:color w:val="FF0000"/>
        </w:rPr>
        <w:t>LLMs</w:t>
      </w:r>
      <w:r>
        <w:rPr>
          <w:rFonts w:hint="eastAsia"/>
          <w:b/>
          <w:bCs/>
          <w:color w:val="FF0000"/>
        </w:rPr>
        <w:t>）</w:t>
      </w:r>
      <w:r>
        <w:rPr>
          <w:b/>
          <w:bCs/>
          <w:color w:val="FF0000"/>
        </w:rPr>
        <w:t>/</w:t>
      </w:r>
      <w:r>
        <w:rPr>
          <w:rFonts w:hint="eastAsia"/>
          <w:b/>
          <w:bCs/>
          <w:color w:val="FF0000"/>
        </w:rPr>
        <w:t>多模态大语言模型（</w:t>
      </w:r>
      <w:r>
        <w:rPr>
          <w:b/>
          <w:bCs/>
          <w:color w:val="FF0000"/>
        </w:rPr>
        <w:t>MLLMs</w:t>
      </w:r>
      <w:r>
        <w:rPr>
          <w:rFonts w:hint="eastAsia"/>
          <w:b/>
          <w:bCs/>
          <w:color w:val="FF0000"/>
        </w:rPr>
        <w:t>）</w:t>
      </w:r>
      <w:r>
        <w:rPr>
          <w:b/>
          <w:bCs/>
        </w:rPr>
        <w:t xml:space="preserve"> 驱动的具身智能</w:t>
      </w:r>
    </w:p>
    <w:p w14:paraId="1A733225">
      <w:pPr>
        <w:numPr>
          <w:ilvl w:val="0"/>
          <w:numId w:val="1"/>
        </w:numPr>
      </w:pPr>
      <w:r>
        <w:rPr>
          <w:b/>
          <w:bCs/>
        </w:rPr>
        <w:t>核心作用</w:t>
      </w:r>
      <w:r>
        <w:t>：通过语义推理（解析多模态输入语义）和任务分解（将复杂目标拆分为子任务），衔接高层自然语言指令与底层动作序列。</w:t>
      </w:r>
    </w:p>
    <w:p w14:paraId="5057773A">
      <w:pPr>
        <w:numPr>
          <w:ilvl w:val="0"/>
          <w:numId w:val="1"/>
        </w:numPr>
      </w:pPr>
      <w:r>
        <w:rPr>
          <w:b/>
          <w:bCs/>
        </w:rPr>
        <w:t>分类与进展</w:t>
      </w:r>
      <w:r>
        <w:t>：包括视觉 - 语言模型（VLMs，如 PaLM-E）和视觉 - 语言 - 动作模型（VLAs，如 RT-2、OpenVLA），分别适用于固定动作空间任务与跨机器人 / 环境的自适应扩展场景。</w:t>
      </w:r>
    </w:p>
    <w:p w14:paraId="4685D857">
      <w:pPr>
        <w:numPr>
          <w:ilvl w:val="0"/>
          <w:numId w:val="1"/>
        </w:numPr>
      </w:pPr>
      <w:r>
        <w:rPr>
          <w:b/>
          <w:bCs/>
        </w:rPr>
        <w:t>局限性</w:t>
      </w:r>
      <w:r>
        <w:t>：缺乏物理约束 grounding，实时环境反馈适配能力弱。</w:t>
      </w:r>
    </w:p>
    <w:p w14:paraId="17C96D81">
      <w:pPr>
        <w:rPr>
          <w:b/>
          <w:bCs/>
        </w:rPr>
      </w:pPr>
      <w:r>
        <w:rPr>
          <w:b/>
          <w:bCs/>
        </w:rPr>
        <w:t>（二）</w:t>
      </w:r>
      <w:r>
        <w:rPr>
          <w:rFonts w:hint="eastAsia"/>
          <w:b/>
          <w:bCs/>
          <w:color w:val="FF0000"/>
        </w:rPr>
        <w:t>世界模型（</w:t>
      </w:r>
      <w:r>
        <w:rPr>
          <w:b/>
          <w:bCs/>
          <w:color w:val="FF0000"/>
        </w:rPr>
        <w:t xml:space="preserve">WMs </w:t>
      </w:r>
      <w:r>
        <w:rPr>
          <w:rFonts w:hint="eastAsia"/>
          <w:b/>
          <w:bCs/>
          <w:color w:val="FF0000"/>
        </w:rPr>
        <w:t>）</w:t>
      </w:r>
      <w:r>
        <w:rPr>
          <w:b/>
          <w:bCs/>
        </w:rPr>
        <w:t>驱动的具身智能</w:t>
      </w:r>
    </w:p>
    <w:p w14:paraId="257AB6EC">
      <w:pPr>
        <w:numPr>
          <w:ilvl w:val="0"/>
          <w:numId w:val="2"/>
        </w:numPr>
      </w:pPr>
      <w:r>
        <w:rPr>
          <w:b/>
          <w:bCs/>
        </w:rPr>
        <w:t>核心作用</w:t>
      </w:r>
      <w:r>
        <w:t>：通过构建外部世界的内部表征（压缩感官输入为结构化潜空间）和未来预测（模拟符合物理规律的动作序列结果），实现合规的物理交互。</w:t>
      </w:r>
    </w:p>
    <w:p w14:paraId="6FC83307">
      <w:pPr>
        <w:numPr>
          <w:ilvl w:val="0"/>
          <w:numId w:val="2"/>
        </w:numPr>
      </w:pPr>
      <w:r>
        <w:rPr>
          <w:b/>
          <w:bCs/>
        </w:rPr>
        <w:t>分类与进展</w:t>
      </w:r>
      <w:r>
        <w:t>：主要包括 RSSM-based（如 Dreamer 系列）、JEPA-based、Transformer-based（如 Genie）三类架构，分别在时序动态捕捉、语义特征提取、长时记忆推理上各具优势。</w:t>
      </w:r>
    </w:p>
    <w:p w14:paraId="6E5A95B1">
      <w:pPr>
        <w:numPr>
          <w:ilvl w:val="0"/>
          <w:numId w:val="2"/>
        </w:numPr>
      </w:pPr>
      <w:r>
        <w:rPr>
          <w:b/>
          <w:bCs/>
        </w:rPr>
        <w:t>局限性</w:t>
      </w:r>
      <w:r>
        <w:t>：开放式语义推理能力不足，缺乏通用化任务分解能力。</w:t>
      </w:r>
    </w:p>
    <w:p w14:paraId="242D94C6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二者结合：</w:t>
      </w:r>
      <w:r>
        <w:rPr>
          <w:b/>
          <w:bCs/>
        </w:rPr>
        <w:t>创新融合架构：MLLM-WM 联合驱动</w:t>
      </w:r>
    </w:p>
    <w:p w14:paraId="03B131F2">
      <w:pPr>
        <w:numPr>
          <w:ilvl w:val="0"/>
          <w:numId w:val="3"/>
        </w:numPr>
      </w:pPr>
      <w:r>
        <w:rPr>
          <w:b/>
          <w:bCs/>
        </w:rPr>
        <w:t>融合逻辑</w:t>
      </w:r>
      <w:r>
        <w:t>：MLLM 提供高层语义推理与任务规划，WM 补充物理规律约束与环境动态预测，弥补各自短板。</w:t>
      </w:r>
    </w:p>
    <w:p w14:paraId="3FD5C55D">
      <w:pPr>
        <w:numPr>
          <w:ilvl w:val="0"/>
          <w:numId w:val="3"/>
        </w:numPr>
      </w:pPr>
      <w:r>
        <w:rPr>
          <w:b/>
          <w:bCs/>
        </w:rPr>
        <w:t>核心 workflow</w:t>
      </w:r>
      <w:r>
        <w:t>：包含自状态输入 - 硬件落地、任务规划 - 记忆更新、环境感知 - 动态交互三条闭环流程，实现语义智能与物理交互的深度衔接。</w:t>
      </w:r>
    </w:p>
    <w:p w14:paraId="07016053">
      <w:pPr>
        <w:numPr>
          <w:ilvl w:val="0"/>
          <w:numId w:val="3"/>
        </w:numPr>
      </w:pPr>
      <w:r>
        <w:rPr>
          <w:b/>
          <w:bCs/>
        </w:rPr>
        <w:t>优势与挑战</w:t>
      </w:r>
      <w:r>
        <w:t>：优势在于兼顾语义理解、物理合规性与跨场景泛化能力；挑战包括实时同步延迟、语义 - 物理错位、大规模记忆管理等。</w:t>
      </w:r>
    </w:p>
    <w:p w14:paraId="161705E4">
      <w:pPr>
        <w:numPr>
          <w:numId w:val="0"/>
        </w:numPr>
        <w:ind w:left="360" w:leftChars="0"/>
      </w:pPr>
      <w:r>
        <w:drawing>
          <wp:inline distT="0" distB="0" distL="114300" distR="114300">
            <wp:extent cx="5270500" cy="213233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7E008">
      <w:pPr>
        <w:numPr>
          <w:numId w:val="0"/>
        </w:numPr>
        <w:ind w:left="360" w:leftChars="0"/>
      </w:pPr>
      <w:r>
        <w:drawing>
          <wp:inline distT="0" distB="0" distL="114300" distR="114300">
            <wp:extent cx="5269865" cy="3239770"/>
            <wp:effectExtent l="0" t="0" r="63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9F213">
      <w:pPr>
        <w:rPr>
          <w:b/>
          <w:bCs/>
        </w:rPr>
      </w:pPr>
      <w:r>
        <w:rPr>
          <w:b/>
          <w:bCs/>
        </w:rPr>
        <w:t>应用场景与未来方向</w:t>
      </w:r>
    </w:p>
    <w:p w14:paraId="54F89207">
      <w:pPr>
        <w:rPr>
          <w:rFonts w:hint="eastAsia" w:eastAsiaTheme="minorEastAsia"/>
          <w:b/>
          <w:bCs/>
          <w:lang w:eastAsia="zh-CN"/>
        </w:rPr>
      </w:pPr>
      <w:r>
        <w:rPr>
          <w:b/>
          <w:bCs/>
        </w:rPr>
        <w:t>一</w:t>
      </w:r>
      <w:r>
        <w:rPr>
          <w:rFonts w:hint="eastAsia"/>
          <w:b/>
          <w:bCs/>
        </w:rPr>
        <w:t>、</w:t>
      </w:r>
      <w:r>
        <w:rPr>
          <w:b/>
          <w:bCs/>
        </w:rPr>
        <w:t>典型应用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现在</w:t>
      </w:r>
      <w:r>
        <w:rPr>
          <w:rFonts w:hint="eastAsia"/>
          <w:b/>
          <w:bCs/>
          <w:lang w:eastAsia="zh-CN"/>
        </w:rPr>
        <w:t>）</w:t>
      </w:r>
    </w:p>
    <w:p w14:paraId="5F06E930">
      <w:pPr>
        <w:numPr>
          <w:ilvl w:val="0"/>
          <w:numId w:val="4"/>
        </w:numPr>
        <w:rPr>
          <w:color w:val="FF0000"/>
        </w:rPr>
      </w:pPr>
      <w:r>
        <w:rPr>
          <w:color w:val="FF0000"/>
        </w:rPr>
        <w:t>服务机器人：家庭服务（如 RT-2 实现餐具堆叠、烹饪）、医疗辅助、公共环境导航配送。</w:t>
      </w:r>
    </w:p>
    <w:p w14:paraId="272CBDB1">
      <w:pPr>
        <w:numPr>
          <w:ilvl w:val="0"/>
          <w:numId w:val="4"/>
        </w:numPr>
        <w:rPr>
          <w:color w:val="FF0000"/>
        </w:rPr>
      </w:pPr>
      <w:r>
        <w:rPr>
          <w:color w:val="FF0000"/>
        </w:rPr>
        <w:t>救援无人机：灾害场景实时环境感知、语音指令响应、多机协同搜救。</w:t>
      </w:r>
    </w:p>
    <w:p w14:paraId="7A75EE50">
      <w:pPr>
        <w:numPr>
          <w:ilvl w:val="0"/>
          <w:numId w:val="4"/>
        </w:numPr>
        <w:rPr>
          <w:color w:val="FF0000"/>
        </w:rPr>
      </w:pPr>
      <w:r>
        <w:rPr>
          <w:color w:val="FF0000"/>
        </w:rPr>
        <w:t>工业机器人：柔性操作（如特斯拉工厂零件校准）、物流分拣（京东）、库存检测（天猫仓库）。</w:t>
      </w:r>
    </w:p>
    <w:p w14:paraId="19446A0D">
      <w:pPr>
        <w:numPr>
          <w:ilvl w:val="0"/>
          <w:numId w:val="4"/>
        </w:numPr>
      </w:pPr>
      <w:r>
        <w:rPr>
          <w:color w:val="FF0000"/>
        </w:rPr>
        <w:t>其他领域：教育社交机器人、虚拟环境智能体、太空探索自主机器人。</w:t>
      </w:r>
    </w:p>
    <w:p w14:paraId="70A53948">
      <w:pPr>
        <w:rPr>
          <w:rFonts w:hint="eastAsia" w:eastAsiaTheme="minorEastAsia"/>
          <w:b/>
          <w:bCs/>
          <w:color w:val="FF0000"/>
          <w:lang w:eastAsia="zh-CN"/>
        </w:rPr>
      </w:pPr>
      <w:r>
        <w:rPr>
          <w:b/>
          <w:bCs/>
          <w:color w:val="FF0000"/>
        </w:rPr>
        <w:t>二</w:t>
      </w:r>
      <w:r>
        <w:rPr>
          <w:rFonts w:hint="eastAsia"/>
          <w:b/>
          <w:bCs/>
          <w:color w:val="FF0000"/>
        </w:rPr>
        <w:t>、</w:t>
      </w:r>
      <w:r>
        <w:rPr>
          <w:b/>
          <w:bCs/>
          <w:color w:val="FF0000"/>
        </w:rPr>
        <w:t>未来研究方向</w:t>
      </w: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未来</w:t>
      </w:r>
      <w:bookmarkStart w:id="0" w:name="_GoBack"/>
      <w:bookmarkEnd w:id="0"/>
      <w:r>
        <w:rPr>
          <w:rFonts w:hint="eastAsia"/>
          <w:b/>
          <w:bCs/>
          <w:color w:val="FF0000"/>
          <w:lang w:eastAsia="zh-CN"/>
        </w:rPr>
        <w:t>）</w:t>
      </w:r>
    </w:p>
    <w:p w14:paraId="0D9360B7">
      <w:pPr>
        <w:numPr>
          <w:ilvl w:val="0"/>
          <w:numId w:val="5"/>
        </w:numPr>
        <w:rPr>
          <w:color w:val="FF0000"/>
        </w:rPr>
      </w:pPr>
      <w:r>
        <w:rPr>
          <w:color w:val="FF0000"/>
        </w:rPr>
        <w:t>核心方向：自主具身智能（自适应感知、环境认知）、硬件优化（专用加速器、软硬件协同）、群体具身智能（多智能体协同）、可解释性与可信性（伦理合规、安全保障）。</w:t>
      </w:r>
    </w:p>
    <w:p w14:paraId="69F21323">
      <w:pPr>
        <w:numPr>
          <w:ilvl w:val="0"/>
          <w:numId w:val="5"/>
        </w:numPr>
        <w:rPr>
          <w:color w:val="FF0000"/>
        </w:rPr>
      </w:pPr>
      <w:r>
        <w:rPr>
          <w:color w:val="FF0000"/>
        </w:rPr>
        <w:t>补充方向：终身学习、人机协同学习、道德决策机制。</w:t>
      </w:r>
    </w:p>
    <w:p w14:paraId="5FE5E8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532BCE"/>
    <w:multiLevelType w:val="multilevel"/>
    <w:tmpl w:val="0E532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FD139BB"/>
    <w:multiLevelType w:val="multilevel"/>
    <w:tmpl w:val="1FD139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0BC00C2"/>
    <w:multiLevelType w:val="multilevel"/>
    <w:tmpl w:val="20BC00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73B29CC"/>
    <w:multiLevelType w:val="multilevel"/>
    <w:tmpl w:val="573B29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F6860EE"/>
    <w:multiLevelType w:val="multilevel"/>
    <w:tmpl w:val="5F686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0E1"/>
    <w:rsid w:val="00AA60E1"/>
    <w:rsid w:val="00B477A0"/>
    <w:rsid w:val="4D3844AF"/>
    <w:rsid w:val="5624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796</Words>
  <Characters>897</Characters>
  <Lines>6</Lines>
  <Paragraphs>1</Paragraphs>
  <TotalTime>47</TotalTime>
  <ScaleCrop>false</ScaleCrop>
  <LinksUpToDate>false</LinksUpToDate>
  <CharactersWithSpaces>928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2025-12-14T08:29:00Z</dcterms:created>
  <dc:creator>手 你我倆</dc:creator>
  <cp:lastModifiedBy>雪</cp:lastModifiedBy>
  <dcterms:modified xsi:type="dcterms:W3CDTF">2025-12-14T09:21:12Z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eyJoZGlkIjoiZGY4ZGQxZjI5Njk4MTQwYzc2NTFjMTQ2MjJkM2Q4YjciLCJ1c2VySWQiOiIyMzM1Njg1OTAifQ==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A4BA86E68A3F4414A7A5B2DC3F258A3A_13</vt:lpwstr>
  </property>
</Properties>
</file>