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openmind-bank-business-plan"/>
      <w:r>
        <w:t xml:space="preserve">OpenMind Bank Business Plan</w:t>
      </w:r>
      <w:bookmarkEnd w:id="20"/>
    </w:p>
    <w:p>
      <w:pPr>
        <w:pStyle w:val="Heading2"/>
      </w:pPr>
      <w:bookmarkStart w:id="21" w:name="executive-summary"/>
      <w:r>
        <w:t xml:space="preserve">Executive Summary</w:t>
      </w:r>
      <w:bookmarkEnd w:id="21"/>
    </w:p>
    <w:p>
      <w:pPr>
        <w:pStyle w:val="FirstParagraph"/>
      </w:pPr>
      <w:r>
        <w:t xml:space="preserve">OpenMind Bank aims to establish itself as a leading digital-first bank in Germany, combining innovative financial technology with traditional banking values. Our mission is to provide accessible, transparent, and personalized banking services to both retail and business customers across Germany. By leveraging cutting-edge technology and maintaining a customer-centric approach, OpenMind Bank will address the growing demand for digital banking solutions while maintaining the trust and security expected from a German financial institution.</w:t>
      </w:r>
    </w:p>
    <w:p>
      <w:pPr>
        <w:pStyle w:val="BodyText"/>
      </w:pPr>
      <w:r>
        <w:t xml:space="preserve">The bank will launch with a comprehensive suite of digital banking products, including current accounts, savings products, investment services, and lending solutions. Our competitive advantage lies in our proprietary AI-driven financial management tools, enhanced security protocols, and commitment to sustainability in banking operations.</w:t>
      </w:r>
    </w:p>
    <w:p>
      <w:pPr>
        <w:pStyle w:val="BodyText"/>
      </w:pPr>
      <w:r>
        <w:t xml:space="preserve">OpenMind Bank projects to achieve profitability by year three of operations, with an initial customer base of 50,000 growing to 250,000 by year five. The bank requires an initial investment of €75 million to cover licensing, technology infrastructure, staffing, and marketing costs until the break-even point.</w:t>
      </w:r>
    </w:p>
    <w:p>
      <w:pPr>
        <w:pStyle w:val="Heading2"/>
      </w:pPr>
      <w:bookmarkStart w:id="22" w:name="company-description"/>
      <w:r>
        <w:t xml:space="preserve">Company Description</w:t>
      </w:r>
      <w:bookmarkEnd w:id="22"/>
    </w:p>
    <w:p>
      <w:pPr>
        <w:pStyle w:val="Heading3"/>
      </w:pPr>
      <w:bookmarkStart w:id="23" w:name="vision-and-mission"/>
      <w:r>
        <w:t xml:space="preserve">Vision and Mission</w:t>
      </w:r>
      <w:bookmarkEnd w:id="23"/>
    </w:p>
    <w:p>
      <w:pPr>
        <w:pStyle w:val="FirstParagraph"/>
      </w:pPr>
      <w:r>
        <w:rPr>
          <w:b/>
        </w:rPr>
        <w:t xml:space="preserve">Vision:</w:t>
      </w:r>
      <w:r>
        <w:t xml:space="preserve"> </w:t>
      </w:r>
      <w:r>
        <w:t xml:space="preserve">To transform the banking experience in Germany through technology, transparency, and trust.</w:t>
      </w:r>
    </w:p>
    <w:p>
      <w:pPr>
        <w:pStyle w:val="BodyText"/>
      </w:pPr>
      <w:r>
        <w:rPr>
          <w:b/>
        </w:rPr>
        <w:t xml:space="preserve">Mission:</w:t>
      </w:r>
      <w:r>
        <w:t xml:space="preserve"> </w:t>
      </w:r>
      <w:r>
        <w:t xml:space="preserve">To empower individuals and businesses with innovative financial tools that simplify banking, enhance financial well-being, and promote sustainable economic growth.</w:t>
      </w:r>
    </w:p>
    <w:p>
      <w:pPr>
        <w:pStyle w:val="Heading3"/>
      </w:pPr>
      <w:bookmarkStart w:id="24" w:name="legal-structure"/>
      <w:r>
        <w:t xml:space="preserve">Legal Structure</w:t>
      </w:r>
      <w:bookmarkEnd w:id="24"/>
    </w:p>
    <w:p>
      <w:pPr>
        <w:pStyle w:val="FirstParagraph"/>
      </w:pPr>
      <w:r>
        <w:t xml:space="preserve">OpenMind Bank will be established as an Aktiengesellschaft (AG) under German law, with headquarters in Frankfurt am Main. The bank will operate under a full banking license from the Federal Financial Supervisory Authority (BaFin) and will be a member of the German Deposit Protection Fund.</w:t>
      </w:r>
    </w:p>
    <w:p>
      <w:pPr>
        <w:pStyle w:val="Heading3"/>
      </w:pPr>
      <w:bookmarkStart w:id="25" w:name="core-values"/>
      <w:r>
        <w:t xml:space="preserve">Core Values</w:t>
      </w:r>
      <w:bookmarkEnd w:id="25"/>
    </w:p>
    <w:p>
      <w:pPr>
        <w:numPr>
          <w:ilvl w:val="0"/>
          <w:numId w:val="1001"/>
        </w:numPr>
        <w:pStyle w:val="Compact"/>
      </w:pPr>
      <w:r>
        <w:rPr>
          <w:b/>
        </w:rPr>
        <w:t xml:space="preserve">Innovation:</w:t>
      </w:r>
      <w:r>
        <w:t xml:space="preserve"> </w:t>
      </w:r>
      <w:r>
        <w:t xml:space="preserve">Continuously developing and implementing new technologies to improve the banking experience</w:t>
      </w:r>
    </w:p>
    <w:p>
      <w:pPr>
        <w:numPr>
          <w:ilvl w:val="0"/>
          <w:numId w:val="1001"/>
        </w:numPr>
        <w:pStyle w:val="Compact"/>
      </w:pPr>
      <w:r>
        <w:rPr>
          <w:b/>
        </w:rPr>
        <w:t xml:space="preserve">Transparency:</w:t>
      </w:r>
      <w:r>
        <w:t xml:space="preserve"> </w:t>
      </w:r>
      <w:r>
        <w:t xml:space="preserve">Providing clear, understandable information about all products, services, and fees</w:t>
      </w:r>
    </w:p>
    <w:p>
      <w:pPr>
        <w:numPr>
          <w:ilvl w:val="0"/>
          <w:numId w:val="1001"/>
        </w:numPr>
        <w:pStyle w:val="Compact"/>
      </w:pPr>
      <w:r>
        <w:rPr>
          <w:b/>
        </w:rPr>
        <w:t xml:space="preserve">Security:</w:t>
      </w:r>
      <w:r>
        <w:t xml:space="preserve"> </w:t>
      </w:r>
      <w:r>
        <w:t xml:space="preserve">Maintaining the highest standards of data protection and financial security</w:t>
      </w:r>
    </w:p>
    <w:p>
      <w:pPr>
        <w:numPr>
          <w:ilvl w:val="0"/>
          <w:numId w:val="1001"/>
        </w:numPr>
        <w:pStyle w:val="Compact"/>
      </w:pPr>
      <w:r>
        <w:rPr>
          <w:b/>
        </w:rPr>
        <w:t xml:space="preserve">Sustainability:</w:t>
      </w:r>
      <w:r>
        <w:t xml:space="preserve"> </w:t>
      </w:r>
      <w:r>
        <w:t xml:space="preserve">Integrating environmental and social responsibility into all aspects of operations</w:t>
      </w:r>
    </w:p>
    <w:p>
      <w:pPr>
        <w:numPr>
          <w:ilvl w:val="0"/>
          <w:numId w:val="1001"/>
        </w:numPr>
        <w:pStyle w:val="Compact"/>
      </w:pPr>
      <w:r>
        <w:rPr>
          <w:b/>
        </w:rPr>
        <w:t xml:space="preserve">Inclusivity:</w:t>
      </w:r>
      <w:r>
        <w:t xml:space="preserve"> </w:t>
      </w:r>
      <w:r>
        <w:t xml:space="preserve">Creating accessible financial services for all segments of the population</w:t>
      </w:r>
    </w:p>
    <w:p>
      <w:pPr>
        <w:pStyle w:val="Heading3"/>
      </w:pPr>
      <w:bookmarkStart w:id="26" w:name="banking-model"/>
      <w:r>
        <w:t xml:space="preserve">Banking Model</w:t>
      </w:r>
      <w:bookmarkEnd w:id="26"/>
    </w:p>
    <w:p>
      <w:pPr>
        <w:pStyle w:val="FirstParagraph"/>
      </w:pPr>
      <w:r>
        <w:t xml:space="preserve">OpenMind Bank will operate primarily as a digital bank with limited physical presence. The bank will maintain a flagship branch in Frankfurt and customer service centers in Berlin, Munich, and Hamburg. This hybrid model allows for cost efficiency while providing necessary in-person services for complex transactions and advisory services.</w:t>
      </w:r>
    </w:p>
    <w:p>
      <w:pPr>
        <w:pStyle w:val="Heading2"/>
      </w:pPr>
      <w:bookmarkStart w:id="27" w:name="market-analysis"/>
      <w:r>
        <w:t xml:space="preserve">Market Analysis</w:t>
      </w:r>
      <w:bookmarkEnd w:id="27"/>
    </w:p>
    <w:p>
      <w:pPr>
        <w:pStyle w:val="Heading3"/>
      </w:pPr>
      <w:bookmarkStart w:id="28" w:name="german-banking-industry-overview"/>
      <w:r>
        <w:t xml:space="preserve">German Banking Industry Overview</w:t>
      </w:r>
      <w:bookmarkEnd w:id="28"/>
    </w:p>
    <w:p>
      <w:pPr>
        <w:pStyle w:val="FirstParagraph"/>
      </w:pPr>
      <w:r>
        <w:t xml:space="preserve">The German banking sector is characterized by its three-pillar structure consisting of private commercial banks, public savings banks (Sparkassen), and cooperative banks (Volksbanken and Raiffeisenbanken). With over 1,500 banks operating in Germany, the market is highly competitive but also fragmented.</w:t>
      </w:r>
    </w:p>
    <w:p>
      <w:pPr>
        <w:pStyle w:val="BodyText"/>
      </w:pPr>
      <w:r>
        <w:t xml:space="preserve">Key industry metrics:</w:t>
      </w:r>
      <w:r>
        <w:t xml:space="preserve"> </w:t>
      </w:r>
      <w:r>
        <w:t xml:space="preserve">- Total banking assets: €8.2 trillion (2024)</w:t>
      </w:r>
      <w:r>
        <w:t xml:space="preserve"> </w:t>
      </w:r>
      <w:r>
        <w:t xml:space="preserve">- Average banking penetration: 99% of adult population</w:t>
      </w:r>
      <w:r>
        <w:t xml:space="preserve"> </w:t>
      </w:r>
      <w:r>
        <w:t xml:space="preserve">- Digital banking adoption: 76% of population (growing at 5% annually)</w:t>
      </w:r>
      <w:r>
        <w:t xml:space="preserve"> </w:t>
      </w:r>
      <w:r>
        <w:t xml:space="preserve">- Mobile banking usage: 68% of bank customers</w:t>
      </w:r>
    </w:p>
    <w:p>
      <w:pPr>
        <w:pStyle w:val="Heading3"/>
      </w:pPr>
      <w:bookmarkStart w:id="29" w:name="market-trends"/>
      <w:r>
        <w:t xml:space="preserve">Market Trends</w:t>
      </w:r>
      <w:bookmarkEnd w:id="29"/>
    </w:p>
    <w:p>
      <w:pPr>
        <w:numPr>
          <w:ilvl w:val="0"/>
          <w:numId w:val="1002"/>
        </w:numPr>
        <w:pStyle w:val="Compact"/>
      </w:pPr>
      <w:r>
        <w:rPr>
          <w:b/>
        </w:rPr>
        <w:t xml:space="preserve">Digital Transformation:</w:t>
      </w:r>
      <w:r>
        <w:t xml:space="preserve"> </w:t>
      </w:r>
      <w:r>
        <w:t xml:space="preserve">Traditional banks are investing heavily in digital capabilities, while new digital-only banks are gaining market share.</w:t>
      </w:r>
    </w:p>
    <w:p>
      <w:pPr>
        <w:numPr>
          <w:ilvl w:val="0"/>
          <w:numId w:val="1002"/>
        </w:numPr>
        <w:pStyle w:val="Compact"/>
      </w:pPr>
      <w:r>
        <w:rPr>
          <w:b/>
        </w:rPr>
        <w:t xml:space="preserve">Consolidation:</w:t>
      </w:r>
      <w:r>
        <w:t xml:space="preserve"> </w:t>
      </w:r>
      <w:r>
        <w:t xml:space="preserve">The number of banks in Germany has decreased by 25% over the past decade due to mergers and acquisitions.</w:t>
      </w:r>
    </w:p>
    <w:p>
      <w:pPr>
        <w:numPr>
          <w:ilvl w:val="0"/>
          <w:numId w:val="1002"/>
        </w:numPr>
        <w:pStyle w:val="Compact"/>
      </w:pPr>
      <w:r>
        <w:rPr>
          <w:b/>
        </w:rPr>
        <w:t xml:space="preserve">Low Interest Environment:</w:t>
      </w:r>
      <w:r>
        <w:t xml:space="preserve"> </w:t>
      </w:r>
      <w:r>
        <w:t xml:space="preserve">Prolonged low interest rates have compressed margins, forcing banks to seek new revenue streams.</w:t>
      </w:r>
    </w:p>
    <w:p>
      <w:pPr>
        <w:numPr>
          <w:ilvl w:val="0"/>
          <w:numId w:val="1002"/>
        </w:numPr>
        <w:pStyle w:val="Compact"/>
      </w:pPr>
      <w:r>
        <w:rPr>
          <w:b/>
        </w:rPr>
        <w:t xml:space="preserve">Regulatory Changes:</w:t>
      </w:r>
      <w:r>
        <w:t xml:space="preserve"> </w:t>
      </w:r>
      <w:r>
        <w:t xml:space="preserve">Increased regulation following Basel III and IV implementations has raised compliance costs.</w:t>
      </w:r>
    </w:p>
    <w:p>
      <w:pPr>
        <w:numPr>
          <w:ilvl w:val="0"/>
          <w:numId w:val="1002"/>
        </w:numPr>
        <w:pStyle w:val="Compact"/>
      </w:pPr>
      <w:r>
        <w:rPr>
          <w:b/>
        </w:rPr>
        <w:t xml:space="preserve">Sustainability Focus:</w:t>
      </w:r>
      <w:r>
        <w:t xml:space="preserve"> </w:t>
      </w:r>
      <w:r>
        <w:t xml:space="preserve">Growing demand for green banking products and ESG-compliant investment options.</w:t>
      </w:r>
    </w:p>
    <w:p>
      <w:pPr>
        <w:pStyle w:val="Heading3"/>
      </w:pPr>
      <w:bookmarkStart w:id="30" w:name="target-market"/>
      <w:r>
        <w:t xml:space="preserve">Target Market</w:t>
      </w:r>
      <w:bookmarkEnd w:id="30"/>
    </w:p>
    <w:p>
      <w:pPr>
        <w:pStyle w:val="FirstParagraph"/>
      </w:pPr>
      <w:r>
        <w:t xml:space="preserve">OpenMind Bank will focus on the following customer segments:</w:t>
      </w:r>
    </w:p>
    <w:p>
      <w:pPr>
        <w:numPr>
          <w:ilvl w:val="0"/>
          <w:numId w:val="1003"/>
        </w:numPr>
        <w:pStyle w:val="Compact"/>
      </w:pPr>
      <w:r>
        <w:rPr>
          <w:b/>
        </w:rPr>
        <w:t xml:space="preserve">Digital Natives (25-40 years):</w:t>
      </w:r>
      <w:r>
        <w:t xml:space="preserve"> </w:t>
      </w:r>
      <w:r>
        <w:t xml:space="preserve">Tech-savvy professionals seeking convenient, mobile-first banking solutions with integrated financial management tools.</w:t>
      </w:r>
    </w:p>
    <w:p>
      <w:pPr>
        <w:numPr>
          <w:ilvl w:val="0"/>
          <w:numId w:val="1003"/>
        </w:numPr>
        <w:pStyle w:val="Compact"/>
      </w:pPr>
      <w:r>
        <w:rPr>
          <w:b/>
        </w:rPr>
        <w:t xml:space="preserve">Affluent Professionals (35-55 years):</w:t>
      </w:r>
      <w:r>
        <w:t xml:space="preserve"> </w:t>
      </w:r>
      <w:r>
        <w:t xml:space="preserve">Higher-income individuals looking for comprehensive financial services, including wealth management and premium banking services.</w:t>
      </w:r>
    </w:p>
    <w:p>
      <w:pPr>
        <w:numPr>
          <w:ilvl w:val="0"/>
          <w:numId w:val="1003"/>
        </w:numPr>
        <w:pStyle w:val="Compact"/>
      </w:pPr>
      <w:r>
        <w:rPr>
          <w:b/>
        </w:rPr>
        <w:t xml:space="preserve">Small and Medium Enterprises (SMEs):</w:t>
      </w:r>
      <w:r>
        <w:t xml:space="preserve"> </w:t>
      </w:r>
      <w:r>
        <w:t xml:space="preserve">Businesses seeking efficient banking solutions with integrated accounting and financial management capabilities.</w:t>
      </w:r>
    </w:p>
    <w:p>
      <w:pPr>
        <w:numPr>
          <w:ilvl w:val="0"/>
          <w:numId w:val="1003"/>
        </w:numPr>
        <w:pStyle w:val="Compact"/>
      </w:pPr>
      <w:r>
        <w:rPr>
          <w:b/>
        </w:rPr>
        <w:t xml:space="preserve">Sustainability-Focused Customers:</w:t>
      </w:r>
      <w:r>
        <w:t xml:space="preserve"> </w:t>
      </w:r>
      <w:r>
        <w:t xml:space="preserve">Environmentally and socially conscious individuals and businesses prioritizing sustainable banking practices.</w:t>
      </w:r>
    </w:p>
    <w:p>
      <w:pPr>
        <w:pStyle w:val="Heading3"/>
      </w:pPr>
      <w:bookmarkStart w:id="31" w:name="competitive-analysis"/>
      <w:r>
        <w:t xml:space="preserve">Competitive Analysis</w:t>
      </w:r>
      <w:bookmarkEnd w:id="31"/>
    </w:p>
    <w:tbl>
      <w:tblPr>
        <w:tblStyle w:val="Table"/>
        <w:tblW w:type="pct" w:w="4999.999999999999"/>
        <w:tblLook w:firstRow="1"/>
      </w:tblPr>
      <w:tblGrid>
        <w:gridCol w:w="2448"/>
        <w:gridCol w:w="1584"/>
        <w:gridCol w:w="1728"/>
        <w:gridCol w:w="2160"/>
      </w:tblGrid>
      <w:tr>
        <w:trPr>
          <w:cnfStyle w:firstRow="1"/>
        </w:trPr>
        <w:tc>
          <w:tcPr>
            <w:tcBorders>
              <w:bottom w:val="single"/>
            </w:tcBorders>
            <w:vAlign w:val="bottom"/>
          </w:tcPr>
          <w:p>
            <w:pPr>
              <w:pStyle w:val="Compact"/>
              <w:jc w:val="left"/>
            </w:pPr>
            <w:r>
              <w:t xml:space="preserve">Competitor Type</w:t>
            </w:r>
          </w:p>
        </w:tc>
        <w:tc>
          <w:tcPr>
            <w:tcBorders>
              <w:bottom w:val="single"/>
            </w:tcBorders>
            <w:vAlign w:val="bottom"/>
          </w:tcPr>
          <w:p>
            <w:pPr>
              <w:pStyle w:val="Compact"/>
              <w:jc w:val="left"/>
            </w:pPr>
            <w:r>
              <w:t xml:space="preserve">Strengths</w:t>
            </w:r>
          </w:p>
        </w:tc>
        <w:tc>
          <w:tcPr>
            <w:tcBorders>
              <w:bottom w:val="single"/>
            </w:tcBorders>
            <w:vAlign w:val="bottom"/>
          </w:tcPr>
          <w:p>
            <w:pPr>
              <w:pStyle w:val="Compact"/>
              <w:jc w:val="left"/>
            </w:pPr>
            <w:r>
              <w:t xml:space="preserve">Weaknesses</w:t>
            </w:r>
          </w:p>
        </w:tc>
        <w:tc>
          <w:tcPr>
            <w:tcBorders>
              <w:bottom w:val="single"/>
            </w:tcBorders>
            <w:vAlign w:val="bottom"/>
          </w:tcPr>
          <w:p>
            <w:pPr>
              <w:pStyle w:val="Compact"/>
              <w:jc w:val="left"/>
            </w:pPr>
            <w:r>
              <w:t xml:space="preserve">Our Advantage</w:t>
            </w:r>
          </w:p>
        </w:tc>
      </w:tr>
      <w:tr>
        <w:tc>
          <w:p>
            <w:pPr>
              <w:pStyle w:val="Compact"/>
              <w:jc w:val="left"/>
            </w:pPr>
            <w:r>
              <w:t xml:space="preserve">Traditional Banks (Deutsche Bank, Commerzbank)</w:t>
            </w:r>
          </w:p>
        </w:tc>
        <w:tc>
          <w:p>
            <w:pPr>
              <w:pStyle w:val="Compact"/>
              <w:jc w:val="left"/>
            </w:pPr>
            <w:r>
              <w:t xml:space="preserve">Established trust, wide branch network, comprehensive services</w:t>
            </w:r>
          </w:p>
        </w:tc>
        <w:tc>
          <w:p>
            <w:pPr>
              <w:pStyle w:val="Compact"/>
              <w:jc w:val="left"/>
            </w:pPr>
            <w:r>
              <w:t xml:space="preserve">Legacy systems, high operational costs, slower innovation</w:t>
            </w:r>
          </w:p>
        </w:tc>
        <w:tc>
          <w:p>
            <w:pPr>
              <w:pStyle w:val="Compact"/>
              <w:jc w:val="left"/>
            </w:pPr>
            <w:r>
              <w:t xml:space="preserve">Superior digital experience, lower fees, faster service delivery</w:t>
            </w:r>
          </w:p>
        </w:tc>
      </w:tr>
      <w:tr>
        <w:tc>
          <w:p>
            <w:pPr>
              <w:pStyle w:val="Compact"/>
              <w:jc w:val="left"/>
            </w:pPr>
            <w:r>
              <w:t xml:space="preserve">Digital Banks (N26, Revolut)</w:t>
            </w:r>
          </w:p>
        </w:tc>
        <w:tc>
          <w:p>
            <w:pPr>
              <w:pStyle w:val="Compact"/>
              <w:jc w:val="left"/>
            </w:pPr>
            <w:r>
              <w:t xml:space="preserve">User-friendly apps, low fees, quick onboarding</w:t>
            </w:r>
          </w:p>
        </w:tc>
        <w:tc>
          <w:p>
            <w:pPr>
              <w:pStyle w:val="Compact"/>
              <w:jc w:val="left"/>
            </w:pPr>
            <w:r>
              <w:t xml:space="preserve">Limited product range, minimal personal service, less established trust</w:t>
            </w:r>
          </w:p>
        </w:tc>
        <w:tc>
          <w:p>
            <w:pPr>
              <w:pStyle w:val="Compact"/>
              <w:jc w:val="left"/>
            </w:pPr>
            <w:r>
              <w:t xml:space="preserve">More comprehensive product offerings, German-focused approach, hybrid service model</w:t>
            </w:r>
          </w:p>
        </w:tc>
      </w:tr>
      <w:tr>
        <w:tc>
          <w:p>
            <w:pPr>
              <w:pStyle w:val="Compact"/>
              <w:jc w:val="left"/>
            </w:pPr>
            <w:r>
              <w:t xml:space="preserve">Specialized Lenders</w:t>
            </w:r>
          </w:p>
        </w:tc>
        <w:tc>
          <w:p>
            <w:pPr>
              <w:pStyle w:val="Compact"/>
              <w:jc w:val="left"/>
            </w:pPr>
            <w:r>
              <w:t xml:space="preserve">Expertise in specific lending areas, streamlined processes</w:t>
            </w:r>
          </w:p>
        </w:tc>
        <w:tc>
          <w:p>
            <w:pPr>
              <w:pStyle w:val="Compact"/>
              <w:jc w:val="left"/>
            </w:pPr>
            <w:r>
              <w:t xml:space="preserve">Limited service range, higher interest rates</w:t>
            </w:r>
          </w:p>
        </w:tc>
        <w:tc>
          <w:p>
            <w:pPr>
              <w:pStyle w:val="Compact"/>
              <w:jc w:val="left"/>
            </w:pPr>
            <w:r>
              <w:t xml:space="preserve">Full-service banking, integrated financial ecosystem, competitive rates</w:t>
            </w:r>
          </w:p>
        </w:tc>
      </w:tr>
      <w:tr>
        <w:tc>
          <w:p>
            <w:pPr>
              <w:pStyle w:val="Compact"/>
              <w:jc w:val="left"/>
            </w:pPr>
            <w:r>
              <w:t xml:space="preserve">Cooperative Banks</w:t>
            </w:r>
          </w:p>
        </w:tc>
        <w:tc>
          <w:p>
            <w:pPr>
              <w:pStyle w:val="Compact"/>
              <w:jc w:val="left"/>
            </w:pPr>
            <w:r>
              <w:t xml:space="preserve">Strong community presence, member benefits</w:t>
            </w:r>
          </w:p>
        </w:tc>
        <w:tc>
          <w:p>
            <w:pPr>
              <w:pStyle w:val="Compact"/>
              <w:jc w:val="left"/>
            </w:pPr>
            <w:r>
              <w:t xml:space="preserve">Fragmented digital experience, limited innovation</w:t>
            </w:r>
          </w:p>
        </w:tc>
        <w:tc>
          <w:p>
            <w:pPr>
              <w:pStyle w:val="Compact"/>
              <w:jc w:val="left"/>
            </w:pPr>
            <w:r>
              <w:t xml:space="preserve">Advanced technology, unified digital platform, competitive pricing</w:t>
            </w:r>
          </w:p>
        </w:tc>
      </w:tr>
    </w:tbl>
    <w:p>
      <w:pPr>
        <w:pStyle w:val="Heading3"/>
      </w:pPr>
      <w:bookmarkStart w:id="32" w:name="regulatory-environment"/>
      <w:r>
        <w:t xml:space="preserve">Regulatory Environment</w:t>
      </w:r>
      <w:bookmarkEnd w:id="32"/>
    </w:p>
    <w:p>
      <w:pPr>
        <w:pStyle w:val="FirstParagraph"/>
      </w:pPr>
      <w:r>
        <w:t xml:space="preserve">The German banking sector is highly regulated, with oversight from multiple authorities:</w:t>
      </w:r>
    </w:p>
    <w:p>
      <w:pPr>
        <w:numPr>
          <w:ilvl w:val="0"/>
          <w:numId w:val="1004"/>
        </w:numPr>
        <w:pStyle w:val="Compact"/>
      </w:pPr>
      <w:r>
        <w:rPr>
          <w:b/>
        </w:rPr>
        <w:t xml:space="preserve">BaFin (Federal Financial Supervisory Authority):</w:t>
      </w:r>
      <w:r>
        <w:t xml:space="preserve"> </w:t>
      </w:r>
      <w:r>
        <w:t xml:space="preserve">Primary regulator for banking, insurance, and securities trading</w:t>
      </w:r>
    </w:p>
    <w:p>
      <w:pPr>
        <w:numPr>
          <w:ilvl w:val="0"/>
          <w:numId w:val="1004"/>
        </w:numPr>
        <w:pStyle w:val="Compact"/>
      </w:pPr>
      <w:r>
        <w:rPr>
          <w:b/>
        </w:rPr>
        <w:t xml:space="preserve">Deutsche Bundesbank:</w:t>
      </w:r>
      <w:r>
        <w:t xml:space="preserve"> </w:t>
      </w:r>
      <w:r>
        <w:t xml:space="preserve">Central bank responsible for monetary policy and financial stability</w:t>
      </w:r>
    </w:p>
    <w:p>
      <w:pPr>
        <w:numPr>
          <w:ilvl w:val="0"/>
          <w:numId w:val="1004"/>
        </w:numPr>
        <w:pStyle w:val="Compact"/>
      </w:pPr>
      <w:r>
        <w:rPr>
          <w:b/>
        </w:rPr>
        <w:t xml:space="preserve">European Central Bank (ECB):</w:t>
      </w:r>
      <w:r>
        <w:t xml:space="preserve"> </w:t>
      </w:r>
      <w:r>
        <w:t xml:space="preserve">Supervisory authority for significant banks under the Single Supervisory Mechanism</w:t>
      </w:r>
    </w:p>
    <w:p>
      <w:pPr>
        <w:numPr>
          <w:ilvl w:val="0"/>
          <w:numId w:val="1004"/>
        </w:numPr>
        <w:pStyle w:val="Compact"/>
      </w:pPr>
      <w:r>
        <w:rPr>
          <w:b/>
        </w:rPr>
        <w:t xml:space="preserve">European Banking Authority (EBA):</w:t>
      </w:r>
      <w:r>
        <w:t xml:space="preserve"> </w:t>
      </w:r>
      <w:r>
        <w:t xml:space="preserve">Sets regulatory standards for the EU banking sector</w:t>
      </w:r>
    </w:p>
    <w:p>
      <w:pPr>
        <w:pStyle w:val="FirstParagraph"/>
      </w:pPr>
      <w:r>
        <w:t xml:space="preserve">Key regulatory requirements include:</w:t>
      </w:r>
      <w:r>
        <w:t xml:space="preserve"> </w:t>
      </w:r>
      <w:r>
        <w:t xml:space="preserve">- Minimum capital requirements (CRD IV/CRR)</w:t>
      </w:r>
      <w:r>
        <w:t xml:space="preserve"> </w:t>
      </w:r>
      <w:r>
        <w:t xml:space="preserve">- Anti-money laundering (AML) and Know Your Customer (KYC) procedures</w:t>
      </w:r>
      <w:r>
        <w:t xml:space="preserve"> </w:t>
      </w:r>
      <w:r>
        <w:t xml:space="preserve">- Payment Services Directive 2 (PSD2) compliance</w:t>
      </w:r>
      <w:r>
        <w:t xml:space="preserve"> </w:t>
      </w:r>
      <w:r>
        <w:t xml:space="preserve">- General Data Protection Regulation (GDPR) compliance</w:t>
      </w:r>
      <w:r>
        <w:t xml:space="preserve"> </w:t>
      </w:r>
      <w:r>
        <w:t xml:space="preserve">- Deposit protection scheme participation</w:t>
      </w:r>
    </w:p>
    <w:p>
      <w:pPr>
        <w:pStyle w:val="Heading2"/>
      </w:pPr>
      <w:bookmarkStart w:id="33" w:name="organization-management-structure"/>
      <w:r>
        <w:t xml:space="preserve">Organization &amp; Management Structure</w:t>
      </w:r>
      <w:bookmarkEnd w:id="33"/>
    </w:p>
    <w:p>
      <w:pPr>
        <w:pStyle w:val="Heading3"/>
      </w:pPr>
      <w:bookmarkStart w:id="34" w:name="organizational-structure"/>
      <w:r>
        <w:t xml:space="preserve">Organizational Structure</w:t>
      </w:r>
      <w:bookmarkEnd w:id="34"/>
    </w:p>
    <w:p>
      <w:pPr>
        <w:pStyle w:val="FirstParagraph"/>
      </w:pPr>
      <w:r>
        <w:t xml:space="preserve">OpenMind Bank will adopt a matrix organizational structure that balances functional expertise with customer-centric service delivery:</w:t>
      </w:r>
    </w:p>
    <w:p>
      <w:pPr>
        <w:numPr>
          <w:ilvl w:val="0"/>
          <w:numId w:val="1005"/>
        </w:numPr>
        <w:pStyle w:val="Compact"/>
      </w:pPr>
      <w:r>
        <w:rPr>
          <w:b/>
        </w:rPr>
        <w:t xml:space="preserve">Executive Leadership:</w:t>
      </w:r>
    </w:p>
    <w:p>
      <w:pPr>
        <w:numPr>
          <w:ilvl w:val="1"/>
          <w:numId w:val="1006"/>
        </w:numPr>
        <w:pStyle w:val="Compact"/>
      </w:pPr>
      <w:r>
        <w:t xml:space="preserve">Chief Executive Officer (CEO)</w:t>
      </w:r>
    </w:p>
    <w:p>
      <w:pPr>
        <w:numPr>
          <w:ilvl w:val="1"/>
          <w:numId w:val="1006"/>
        </w:numPr>
        <w:pStyle w:val="Compact"/>
      </w:pPr>
      <w:r>
        <w:t xml:space="preserve">Chief Financial Officer (CFO)</w:t>
      </w:r>
    </w:p>
    <w:p>
      <w:pPr>
        <w:numPr>
          <w:ilvl w:val="1"/>
          <w:numId w:val="1006"/>
        </w:numPr>
        <w:pStyle w:val="Compact"/>
      </w:pPr>
      <w:r>
        <w:t xml:space="preserve">Chief Technology Officer (CTO)</w:t>
      </w:r>
    </w:p>
    <w:p>
      <w:pPr>
        <w:numPr>
          <w:ilvl w:val="1"/>
          <w:numId w:val="1006"/>
        </w:numPr>
        <w:pStyle w:val="Compact"/>
      </w:pPr>
      <w:r>
        <w:t xml:space="preserve">Chief Risk Officer (CRO)</w:t>
      </w:r>
    </w:p>
    <w:p>
      <w:pPr>
        <w:numPr>
          <w:ilvl w:val="1"/>
          <w:numId w:val="1006"/>
        </w:numPr>
        <w:pStyle w:val="Compact"/>
      </w:pPr>
      <w:r>
        <w:t xml:space="preserve">Chief Operations Officer (COO)</w:t>
      </w:r>
    </w:p>
    <w:p>
      <w:pPr>
        <w:numPr>
          <w:ilvl w:val="1"/>
          <w:numId w:val="1006"/>
        </w:numPr>
        <w:pStyle w:val="Compact"/>
      </w:pPr>
      <w:r>
        <w:t xml:space="preserve">Chief Marketing Officer (CMO)</w:t>
      </w:r>
    </w:p>
    <w:p>
      <w:pPr>
        <w:numPr>
          <w:ilvl w:val="1"/>
          <w:numId w:val="1006"/>
        </w:numPr>
        <w:pStyle w:val="Compact"/>
      </w:pPr>
      <w:r>
        <w:t xml:space="preserve">Chief Compliance Officer (CCO)</w:t>
      </w:r>
    </w:p>
    <w:p>
      <w:pPr>
        <w:numPr>
          <w:ilvl w:val="0"/>
          <w:numId w:val="1005"/>
        </w:numPr>
        <w:pStyle w:val="Compact"/>
      </w:pPr>
      <w:r>
        <w:rPr>
          <w:b/>
        </w:rPr>
        <w:t xml:space="preserve">Functional Departments:</w:t>
      </w:r>
    </w:p>
    <w:p>
      <w:pPr>
        <w:numPr>
          <w:ilvl w:val="1"/>
          <w:numId w:val="1007"/>
        </w:numPr>
        <w:pStyle w:val="Compact"/>
      </w:pPr>
      <w:r>
        <w:t xml:space="preserve">Retail Banking</w:t>
      </w:r>
    </w:p>
    <w:p>
      <w:pPr>
        <w:numPr>
          <w:ilvl w:val="1"/>
          <w:numId w:val="1007"/>
        </w:numPr>
        <w:pStyle w:val="Compact"/>
      </w:pPr>
      <w:r>
        <w:t xml:space="preserve">Business Banking</w:t>
      </w:r>
    </w:p>
    <w:p>
      <w:pPr>
        <w:numPr>
          <w:ilvl w:val="1"/>
          <w:numId w:val="1007"/>
        </w:numPr>
        <w:pStyle w:val="Compact"/>
      </w:pPr>
      <w:r>
        <w:t xml:space="preserve">Technology &amp; Innovation</w:t>
      </w:r>
    </w:p>
    <w:p>
      <w:pPr>
        <w:numPr>
          <w:ilvl w:val="1"/>
          <w:numId w:val="1007"/>
        </w:numPr>
        <w:pStyle w:val="Compact"/>
      </w:pPr>
      <w:r>
        <w:t xml:space="preserve">Risk Management &amp; Compliance</w:t>
      </w:r>
    </w:p>
    <w:p>
      <w:pPr>
        <w:numPr>
          <w:ilvl w:val="1"/>
          <w:numId w:val="1007"/>
        </w:numPr>
        <w:pStyle w:val="Compact"/>
      </w:pPr>
      <w:r>
        <w:t xml:space="preserve">Operations &amp; Customer Service</w:t>
      </w:r>
    </w:p>
    <w:p>
      <w:pPr>
        <w:numPr>
          <w:ilvl w:val="1"/>
          <w:numId w:val="1007"/>
        </w:numPr>
        <w:pStyle w:val="Compact"/>
      </w:pPr>
      <w:r>
        <w:t xml:space="preserve">Finance &amp; Treasury</w:t>
      </w:r>
    </w:p>
    <w:p>
      <w:pPr>
        <w:numPr>
          <w:ilvl w:val="1"/>
          <w:numId w:val="1007"/>
        </w:numPr>
        <w:pStyle w:val="Compact"/>
      </w:pPr>
      <w:r>
        <w:t xml:space="preserve">Marketing &amp; Communications</w:t>
      </w:r>
    </w:p>
    <w:p>
      <w:pPr>
        <w:numPr>
          <w:ilvl w:val="1"/>
          <w:numId w:val="1007"/>
        </w:numPr>
        <w:pStyle w:val="Compact"/>
      </w:pPr>
      <w:r>
        <w:t xml:space="preserve">Human Resources</w:t>
      </w:r>
    </w:p>
    <w:p>
      <w:pPr>
        <w:numPr>
          <w:ilvl w:val="1"/>
          <w:numId w:val="1007"/>
        </w:numPr>
        <w:pStyle w:val="Compact"/>
      </w:pPr>
      <w:r>
        <w:t xml:space="preserve">Legal Affairs</w:t>
      </w:r>
    </w:p>
    <w:p>
      <w:pPr>
        <w:numPr>
          <w:ilvl w:val="0"/>
          <w:numId w:val="1005"/>
        </w:numPr>
        <w:pStyle w:val="Compact"/>
      </w:pPr>
      <w:r>
        <w:rPr>
          <w:b/>
        </w:rPr>
        <w:t xml:space="preserve">Cross-Functional Teams:</w:t>
      </w:r>
    </w:p>
    <w:p>
      <w:pPr>
        <w:numPr>
          <w:ilvl w:val="1"/>
          <w:numId w:val="1008"/>
        </w:numPr>
        <w:pStyle w:val="Compact"/>
      </w:pPr>
      <w:r>
        <w:t xml:space="preserve">Digital Transformation</w:t>
      </w:r>
    </w:p>
    <w:p>
      <w:pPr>
        <w:numPr>
          <w:ilvl w:val="1"/>
          <w:numId w:val="1008"/>
        </w:numPr>
        <w:pStyle w:val="Compact"/>
      </w:pPr>
      <w:r>
        <w:t xml:space="preserve">Customer Experience</w:t>
      </w:r>
    </w:p>
    <w:p>
      <w:pPr>
        <w:numPr>
          <w:ilvl w:val="1"/>
          <w:numId w:val="1008"/>
        </w:numPr>
        <w:pStyle w:val="Compact"/>
      </w:pPr>
      <w:r>
        <w:t xml:space="preserve">Product Development</w:t>
      </w:r>
    </w:p>
    <w:p>
      <w:pPr>
        <w:numPr>
          <w:ilvl w:val="1"/>
          <w:numId w:val="1008"/>
        </w:numPr>
        <w:pStyle w:val="Compact"/>
      </w:pPr>
      <w:r>
        <w:t xml:space="preserve">Sustainability Initiatives</w:t>
      </w:r>
    </w:p>
    <w:p>
      <w:pPr>
        <w:numPr>
          <w:ilvl w:val="1"/>
          <w:numId w:val="1008"/>
        </w:numPr>
        <w:pStyle w:val="Compact"/>
      </w:pPr>
      <w:r>
        <w:t xml:space="preserve">Data Analytics &amp; AI</w:t>
      </w:r>
    </w:p>
    <w:p>
      <w:pPr>
        <w:pStyle w:val="Heading3"/>
      </w:pPr>
      <w:bookmarkStart w:id="35" w:name="management-team"/>
      <w:r>
        <w:t xml:space="preserve">Management Team</w:t>
      </w:r>
      <w:bookmarkEnd w:id="35"/>
    </w:p>
    <w:p>
      <w:pPr>
        <w:pStyle w:val="FirstParagraph"/>
      </w:pPr>
      <w:r>
        <w:t xml:space="preserve">The founding management team will consist of experienced professionals from both traditional banking and fintech sectors:</w:t>
      </w:r>
    </w:p>
    <w:p>
      <w:pPr>
        <w:numPr>
          <w:ilvl w:val="0"/>
          <w:numId w:val="1009"/>
        </w:numPr>
        <w:pStyle w:val="Compact"/>
      </w:pPr>
      <w:r>
        <w:rPr>
          <w:b/>
        </w:rPr>
        <w:t xml:space="preserve">CEO:</w:t>
      </w:r>
      <w:r>
        <w:t xml:space="preserve"> </w:t>
      </w:r>
      <w:r>
        <w:t xml:space="preserve">Former executive from a major German bank with 20+ years of experience in retail and commercial banking</w:t>
      </w:r>
    </w:p>
    <w:p>
      <w:pPr>
        <w:numPr>
          <w:ilvl w:val="0"/>
          <w:numId w:val="1009"/>
        </w:numPr>
        <w:pStyle w:val="Compact"/>
      </w:pPr>
      <w:r>
        <w:rPr>
          <w:b/>
        </w:rPr>
        <w:t xml:space="preserve">CFO:</w:t>
      </w:r>
      <w:r>
        <w:t xml:space="preserve"> </w:t>
      </w:r>
      <w:r>
        <w:t xml:space="preserve">Financial expert with experience in both banking and regulatory compliance</w:t>
      </w:r>
    </w:p>
    <w:p>
      <w:pPr>
        <w:numPr>
          <w:ilvl w:val="0"/>
          <w:numId w:val="1009"/>
        </w:numPr>
        <w:pStyle w:val="Compact"/>
      </w:pPr>
      <w:r>
        <w:rPr>
          <w:b/>
        </w:rPr>
        <w:t xml:space="preserve">CTO:</w:t>
      </w:r>
      <w:r>
        <w:t xml:space="preserve"> </w:t>
      </w:r>
      <w:r>
        <w:t xml:space="preserve">Technology leader with background in successful fintech ventures and digital transformation</w:t>
      </w:r>
    </w:p>
    <w:p>
      <w:pPr>
        <w:numPr>
          <w:ilvl w:val="0"/>
          <w:numId w:val="1009"/>
        </w:numPr>
        <w:pStyle w:val="Compact"/>
      </w:pPr>
      <w:r>
        <w:rPr>
          <w:b/>
        </w:rPr>
        <w:t xml:space="preserve">CRO:</w:t>
      </w:r>
      <w:r>
        <w:t xml:space="preserve"> </w:t>
      </w:r>
      <w:r>
        <w:t xml:space="preserve">Risk management specialist with experience in both traditional and digital banking environments</w:t>
      </w:r>
    </w:p>
    <w:p>
      <w:pPr>
        <w:numPr>
          <w:ilvl w:val="0"/>
          <w:numId w:val="1009"/>
        </w:numPr>
        <w:pStyle w:val="Compact"/>
      </w:pPr>
      <w:r>
        <w:rPr>
          <w:b/>
        </w:rPr>
        <w:t xml:space="preserve">COO:</w:t>
      </w:r>
      <w:r>
        <w:t xml:space="preserve"> </w:t>
      </w:r>
      <w:r>
        <w:t xml:space="preserve">Operations expert with focus on digital process optimization and customer service excellence</w:t>
      </w:r>
    </w:p>
    <w:p>
      <w:pPr>
        <w:numPr>
          <w:ilvl w:val="0"/>
          <w:numId w:val="1009"/>
        </w:numPr>
        <w:pStyle w:val="Compact"/>
      </w:pPr>
      <w:r>
        <w:rPr>
          <w:b/>
        </w:rPr>
        <w:t xml:space="preserve">CMO:</w:t>
      </w:r>
      <w:r>
        <w:t xml:space="preserve"> </w:t>
      </w:r>
      <w:r>
        <w:t xml:space="preserve">Marketing professional with expertise in digital customer acquisition and brand building</w:t>
      </w:r>
    </w:p>
    <w:p>
      <w:pPr>
        <w:numPr>
          <w:ilvl w:val="0"/>
          <w:numId w:val="1009"/>
        </w:numPr>
        <w:pStyle w:val="Compact"/>
      </w:pPr>
      <w:r>
        <w:rPr>
          <w:b/>
        </w:rPr>
        <w:t xml:space="preserve">CCO:</w:t>
      </w:r>
      <w:r>
        <w:t xml:space="preserve"> </w:t>
      </w:r>
      <w:r>
        <w:t xml:space="preserve">Compliance specialist with deep knowledge of German and EU banking regulations</w:t>
      </w:r>
    </w:p>
    <w:p>
      <w:pPr>
        <w:pStyle w:val="Heading3"/>
      </w:pPr>
      <w:bookmarkStart w:id="36" w:name="advisory-board"/>
      <w:r>
        <w:t xml:space="preserve">Advisory Board</w:t>
      </w:r>
      <w:bookmarkEnd w:id="36"/>
    </w:p>
    <w:p>
      <w:pPr>
        <w:pStyle w:val="FirstParagraph"/>
      </w:pPr>
      <w:r>
        <w:t xml:space="preserve">OpenMind Bank will establish an advisory board consisting of:</w:t>
      </w:r>
      <w:r>
        <w:t xml:space="preserve"> </w:t>
      </w:r>
      <w:r>
        <w:t xml:space="preserve">- Former banking executives</w:t>
      </w:r>
      <w:r>
        <w:t xml:space="preserve"> </w:t>
      </w:r>
      <w:r>
        <w:t xml:space="preserve">- Technology innovation experts</w:t>
      </w:r>
      <w:r>
        <w:t xml:space="preserve"> </w:t>
      </w:r>
      <w:r>
        <w:t xml:space="preserve">- Sustainability specialists</w:t>
      </w:r>
      <w:r>
        <w:t xml:space="preserve"> </w:t>
      </w:r>
      <w:r>
        <w:t xml:space="preserve">- Customer experience consultants</w:t>
      </w:r>
      <w:r>
        <w:t xml:space="preserve"> </w:t>
      </w:r>
      <w:r>
        <w:t xml:space="preserve">- Regulatory affairs experts</w:t>
      </w:r>
    </w:p>
    <w:p>
      <w:pPr>
        <w:pStyle w:val="Heading3"/>
      </w:pPr>
      <w:bookmarkStart w:id="37" w:name="staffing-plan"/>
      <w:r>
        <w:t xml:space="preserve">Staffing Plan</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Department</w:t>
            </w:r>
          </w:p>
        </w:tc>
        <w:tc>
          <w:tcPr>
            <w:tcBorders>
              <w:bottom w:val="single"/>
            </w:tcBorders>
            <w:vAlign w:val="bottom"/>
          </w:tcPr>
          <w:p>
            <w:pPr>
              <w:pStyle w:val="Compact"/>
              <w:jc w:val="left"/>
            </w:pPr>
            <w:r>
              <w:t xml:space="preserve">Year 1</w:t>
            </w:r>
          </w:p>
        </w:tc>
        <w:tc>
          <w:tcPr>
            <w:tcBorders>
              <w:bottom w:val="single"/>
            </w:tcBorders>
            <w:vAlign w:val="bottom"/>
          </w:tcPr>
          <w:p>
            <w:pPr>
              <w:pStyle w:val="Compact"/>
              <w:jc w:val="left"/>
            </w:pPr>
            <w:r>
              <w:t xml:space="preserve">Year 3</w:t>
            </w:r>
          </w:p>
        </w:tc>
        <w:tc>
          <w:tcPr>
            <w:tcBorders>
              <w:bottom w:val="single"/>
            </w:tcBorders>
            <w:vAlign w:val="bottom"/>
          </w:tcPr>
          <w:p>
            <w:pPr>
              <w:pStyle w:val="Compact"/>
              <w:jc w:val="left"/>
            </w:pPr>
            <w:r>
              <w:t xml:space="preserve">Year 5</w:t>
            </w:r>
          </w:p>
        </w:tc>
      </w:tr>
      <w:tr>
        <w:tc>
          <w:p>
            <w:pPr>
              <w:pStyle w:val="Compact"/>
              <w:jc w:val="left"/>
            </w:pPr>
            <w:r>
              <w:t xml:space="preserve">Executive Leadership</w:t>
            </w:r>
          </w:p>
        </w:tc>
        <w:tc>
          <w:p>
            <w:pPr>
              <w:pStyle w:val="Compact"/>
              <w:jc w:val="left"/>
            </w:pPr>
            <w:r>
              <w:t xml:space="preserve">7</w:t>
            </w:r>
          </w:p>
        </w:tc>
        <w:tc>
          <w:p>
            <w:pPr>
              <w:pStyle w:val="Compact"/>
              <w:jc w:val="left"/>
            </w:pPr>
            <w:r>
              <w:t xml:space="preserve">7</w:t>
            </w:r>
          </w:p>
        </w:tc>
        <w:tc>
          <w:p>
            <w:pPr>
              <w:pStyle w:val="Compact"/>
              <w:jc w:val="left"/>
            </w:pPr>
            <w:r>
              <w:t xml:space="preserve">7</w:t>
            </w:r>
          </w:p>
        </w:tc>
      </w:tr>
      <w:tr>
        <w:tc>
          <w:p>
            <w:pPr>
              <w:pStyle w:val="Compact"/>
              <w:jc w:val="left"/>
            </w:pPr>
            <w:r>
              <w:t xml:space="preserve">Retail Banking</w:t>
            </w:r>
          </w:p>
        </w:tc>
        <w:tc>
          <w:p>
            <w:pPr>
              <w:pStyle w:val="Compact"/>
              <w:jc w:val="left"/>
            </w:pPr>
            <w:r>
              <w:t xml:space="preserve">15</w:t>
            </w:r>
          </w:p>
        </w:tc>
        <w:tc>
          <w:p>
            <w:pPr>
              <w:pStyle w:val="Compact"/>
              <w:jc w:val="left"/>
            </w:pPr>
            <w:r>
              <w:t xml:space="preserve">25</w:t>
            </w:r>
          </w:p>
        </w:tc>
        <w:tc>
          <w:p>
            <w:pPr>
              <w:pStyle w:val="Compact"/>
              <w:jc w:val="left"/>
            </w:pPr>
            <w:r>
              <w:t xml:space="preserve">35</w:t>
            </w:r>
          </w:p>
        </w:tc>
      </w:tr>
      <w:tr>
        <w:tc>
          <w:p>
            <w:pPr>
              <w:pStyle w:val="Compact"/>
              <w:jc w:val="left"/>
            </w:pPr>
            <w:r>
              <w:t xml:space="preserve">Business Banking</w:t>
            </w:r>
          </w:p>
        </w:tc>
        <w:tc>
          <w:p>
            <w:pPr>
              <w:pStyle w:val="Compact"/>
              <w:jc w:val="left"/>
            </w:pPr>
            <w:r>
              <w:t xml:space="preserve">10</w:t>
            </w:r>
          </w:p>
        </w:tc>
        <w:tc>
          <w:p>
            <w:pPr>
              <w:pStyle w:val="Compact"/>
              <w:jc w:val="left"/>
            </w:pPr>
            <w:r>
              <w:t xml:space="preserve">20</w:t>
            </w:r>
          </w:p>
        </w:tc>
        <w:tc>
          <w:p>
            <w:pPr>
              <w:pStyle w:val="Compact"/>
              <w:jc w:val="left"/>
            </w:pPr>
            <w:r>
              <w:t xml:space="preserve">30</w:t>
            </w:r>
          </w:p>
        </w:tc>
      </w:tr>
      <w:tr>
        <w:tc>
          <w:p>
            <w:pPr>
              <w:pStyle w:val="Compact"/>
              <w:jc w:val="left"/>
            </w:pPr>
            <w:r>
              <w:t xml:space="preserve">Technology &amp; Innovation</w:t>
            </w:r>
          </w:p>
        </w:tc>
        <w:tc>
          <w:p>
            <w:pPr>
              <w:pStyle w:val="Compact"/>
              <w:jc w:val="left"/>
            </w:pPr>
            <w:r>
              <w:t xml:space="preserve">30</w:t>
            </w:r>
          </w:p>
        </w:tc>
        <w:tc>
          <w:p>
            <w:pPr>
              <w:pStyle w:val="Compact"/>
              <w:jc w:val="left"/>
            </w:pPr>
            <w:r>
              <w:t xml:space="preserve">50</w:t>
            </w:r>
          </w:p>
        </w:tc>
        <w:tc>
          <w:p>
            <w:pPr>
              <w:pStyle w:val="Compact"/>
              <w:jc w:val="left"/>
            </w:pPr>
            <w:r>
              <w:t xml:space="preserve">70</w:t>
            </w:r>
          </w:p>
        </w:tc>
      </w:tr>
      <w:tr>
        <w:tc>
          <w:p>
            <w:pPr>
              <w:pStyle w:val="Compact"/>
              <w:jc w:val="left"/>
            </w:pPr>
            <w:r>
              <w:t xml:space="preserve">Risk &amp; Compliance</w:t>
            </w:r>
          </w:p>
        </w:tc>
        <w:tc>
          <w:p>
            <w:pPr>
              <w:pStyle w:val="Compact"/>
              <w:jc w:val="left"/>
            </w:pPr>
            <w:r>
              <w:t xml:space="preserve">20</w:t>
            </w:r>
          </w:p>
        </w:tc>
        <w:tc>
          <w:p>
            <w:pPr>
              <w:pStyle w:val="Compact"/>
              <w:jc w:val="left"/>
            </w:pPr>
            <w:r>
              <w:t xml:space="preserve">30</w:t>
            </w:r>
          </w:p>
        </w:tc>
        <w:tc>
          <w:p>
            <w:pPr>
              <w:pStyle w:val="Compact"/>
              <w:jc w:val="left"/>
            </w:pPr>
            <w:r>
              <w:t xml:space="preserve">40</w:t>
            </w:r>
          </w:p>
        </w:tc>
      </w:tr>
      <w:tr>
        <w:tc>
          <w:p>
            <w:pPr>
              <w:pStyle w:val="Compact"/>
              <w:jc w:val="left"/>
            </w:pPr>
            <w:r>
              <w:t xml:space="preserve">Operations &amp; Customer Service</w:t>
            </w:r>
          </w:p>
        </w:tc>
        <w:tc>
          <w:p>
            <w:pPr>
              <w:pStyle w:val="Compact"/>
              <w:jc w:val="left"/>
            </w:pPr>
            <w:r>
              <w:t xml:space="preserve">25</w:t>
            </w:r>
          </w:p>
        </w:tc>
        <w:tc>
          <w:p>
            <w:pPr>
              <w:pStyle w:val="Compact"/>
              <w:jc w:val="left"/>
            </w:pPr>
            <w:r>
              <w:t xml:space="preserve">45</w:t>
            </w:r>
          </w:p>
        </w:tc>
        <w:tc>
          <w:p>
            <w:pPr>
              <w:pStyle w:val="Compact"/>
              <w:jc w:val="left"/>
            </w:pPr>
            <w:r>
              <w:t xml:space="preserve">65</w:t>
            </w:r>
          </w:p>
        </w:tc>
      </w:tr>
      <w:tr>
        <w:tc>
          <w:p>
            <w:pPr>
              <w:pStyle w:val="Compact"/>
              <w:jc w:val="left"/>
            </w:pPr>
            <w:r>
              <w:t xml:space="preserve">Finance &amp; Treasury</w:t>
            </w:r>
          </w:p>
        </w:tc>
        <w:tc>
          <w:p>
            <w:pPr>
              <w:pStyle w:val="Compact"/>
              <w:jc w:val="left"/>
            </w:pPr>
            <w:r>
              <w:t xml:space="preserve">10</w:t>
            </w:r>
          </w:p>
        </w:tc>
        <w:tc>
          <w:p>
            <w:pPr>
              <w:pStyle w:val="Compact"/>
              <w:jc w:val="left"/>
            </w:pPr>
            <w:r>
              <w:t xml:space="preserve">15</w:t>
            </w:r>
          </w:p>
        </w:tc>
        <w:tc>
          <w:p>
            <w:pPr>
              <w:pStyle w:val="Compact"/>
              <w:jc w:val="left"/>
            </w:pPr>
            <w:r>
              <w:t xml:space="preserve">20</w:t>
            </w:r>
          </w:p>
        </w:tc>
      </w:tr>
      <w:tr>
        <w:tc>
          <w:p>
            <w:pPr>
              <w:pStyle w:val="Compact"/>
              <w:jc w:val="left"/>
            </w:pPr>
            <w:r>
              <w:t xml:space="preserve">Marketing &amp; Communications</w:t>
            </w:r>
          </w:p>
        </w:tc>
        <w:tc>
          <w:p>
            <w:pPr>
              <w:pStyle w:val="Compact"/>
              <w:jc w:val="left"/>
            </w:pPr>
            <w:r>
              <w:t xml:space="preserve">12</w:t>
            </w:r>
          </w:p>
        </w:tc>
        <w:tc>
          <w:p>
            <w:pPr>
              <w:pStyle w:val="Compact"/>
              <w:jc w:val="left"/>
            </w:pPr>
            <w:r>
              <w:t xml:space="preserve">18</w:t>
            </w:r>
          </w:p>
        </w:tc>
        <w:tc>
          <w:p>
            <w:pPr>
              <w:pStyle w:val="Compact"/>
              <w:jc w:val="left"/>
            </w:pPr>
            <w:r>
              <w:t xml:space="preserve">25</w:t>
            </w:r>
          </w:p>
        </w:tc>
      </w:tr>
      <w:tr>
        <w:tc>
          <w:p>
            <w:pPr>
              <w:pStyle w:val="Compact"/>
              <w:jc w:val="left"/>
            </w:pPr>
            <w:r>
              <w:t xml:space="preserve">Human Resources</w:t>
            </w:r>
          </w:p>
        </w:tc>
        <w:tc>
          <w:p>
            <w:pPr>
              <w:pStyle w:val="Compact"/>
              <w:jc w:val="left"/>
            </w:pPr>
            <w:r>
              <w:t xml:space="preserve">8</w:t>
            </w:r>
          </w:p>
        </w:tc>
        <w:tc>
          <w:p>
            <w:pPr>
              <w:pStyle w:val="Compact"/>
              <w:jc w:val="left"/>
            </w:pPr>
            <w:r>
              <w:t xml:space="preserve">12</w:t>
            </w:r>
          </w:p>
        </w:tc>
        <w:tc>
          <w:p>
            <w:pPr>
              <w:pStyle w:val="Compact"/>
              <w:jc w:val="left"/>
            </w:pPr>
            <w:r>
              <w:t xml:space="preserve">15</w:t>
            </w:r>
          </w:p>
        </w:tc>
      </w:tr>
      <w:tr>
        <w:tc>
          <w:p>
            <w:pPr>
              <w:pStyle w:val="Compact"/>
              <w:jc w:val="left"/>
            </w:pPr>
            <w:r>
              <w:t xml:space="preserve">Legal Affairs</w:t>
            </w:r>
          </w:p>
        </w:tc>
        <w:tc>
          <w:p>
            <w:pPr>
              <w:pStyle w:val="Compact"/>
              <w:jc w:val="left"/>
            </w:pPr>
            <w:r>
              <w:t xml:space="preserve">5</w:t>
            </w:r>
          </w:p>
        </w:tc>
        <w:tc>
          <w:p>
            <w:pPr>
              <w:pStyle w:val="Compact"/>
              <w:jc w:val="left"/>
            </w:pPr>
            <w:r>
              <w:t xml:space="preserve">8</w:t>
            </w:r>
          </w:p>
        </w:tc>
        <w:tc>
          <w:p>
            <w:pPr>
              <w:pStyle w:val="Compact"/>
              <w:jc w:val="left"/>
            </w:pPr>
            <w:r>
              <w:t xml:space="preserve">10</w:t>
            </w:r>
          </w:p>
        </w:tc>
      </w:tr>
      <w:tr>
        <w:tc>
          <w:p>
            <w:pPr>
              <w:pStyle w:val="Compact"/>
              <w:jc w:val="left"/>
            </w:pPr>
            <w:r>
              <w:rPr>
                <w:b/>
              </w:rPr>
              <w:t xml:space="preserve">Total</w:t>
            </w:r>
          </w:p>
        </w:tc>
        <w:tc>
          <w:p>
            <w:pPr>
              <w:pStyle w:val="Compact"/>
              <w:jc w:val="left"/>
            </w:pPr>
            <w:r>
              <w:rPr>
                <w:b/>
              </w:rPr>
              <w:t xml:space="preserve">142</w:t>
            </w:r>
          </w:p>
        </w:tc>
        <w:tc>
          <w:p>
            <w:pPr>
              <w:pStyle w:val="Compact"/>
              <w:jc w:val="left"/>
            </w:pPr>
            <w:r>
              <w:rPr>
                <w:b/>
              </w:rPr>
              <w:t xml:space="preserve">230</w:t>
            </w:r>
          </w:p>
        </w:tc>
        <w:tc>
          <w:p>
            <w:pPr>
              <w:pStyle w:val="Compact"/>
              <w:jc w:val="left"/>
            </w:pPr>
            <w:r>
              <w:rPr>
                <w:b/>
              </w:rPr>
              <w:t xml:space="preserve">317</w:t>
            </w:r>
          </w:p>
        </w:tc>
      </w:tr>
    </w:tbl>
    <w:p>
      <w:pPr>
        <w:pStyle w:val="Heading2"/>
      </w:pPr>
      <w:bookmarkStart w:id="38" w:name="service-product-line"/>
      <w:r>
        <w:t xml:space="preserve">Service &amp; Product Line</w:t>
      </w:r>
      <w:bookmarkEnd w:id="38"/>
    </w:p>
    <w:p>
      <w:pPr>
        <w:pStyle w:val="Heading3"/>
      </w:pPr>
      <w:bookmarkStart w:id="39" w:name="core-banking-products"/>
      <w:r>
        <w:t xml:space="preserve">Core Banking Products</w:t>
      </w:r>
      <w:bookmarkEnd w:id="39"/>
    </w:p>
    <w:p>
      <w:pPr>
        <w:numPr>
          <w:ilvl w:val="0"/>
          <w:numId w:val="1010"/>
        </w:numPr>
        <w:pStyle w:val="Compact"/>
      </w:pPr>
      <w:r>
        <w:rPr>
          <w:b/>
        </w:rPr>
        <w:t xml:space="preserve">Current Accounts:</w:t>
      </w:r>
    </w:p>
    <w:p>
      <w:pPr>
        <w:numPr>
          <w:ilvl w:val="1"/>
          <w:numId w:val="1011"/>
        </w:numPr>
        <w:pStyle w:val="Compact"/>
      </w:pPr>
      <w:r>
        <w:t xml:space="preserve">OpenMind Basic: Fee-free digital account with debit card</w:t>
      </w:r>
    </w:p>
    <w:p>
      <w:pPr>
        <w:numPr>
          <w:ilvl w:val="1"/>
          <w:numId w:val="1011"/>
        </w:numPr>
        <w:pStyle w:val="Compact"/>
      </w:pPr>
      <w:r>
        <w:t xml:space="preserve">OpenMind Plus: Premium account with additional benefits (€9.99/month)</w:t>
      </w:r>
    </w:p>
    <w:p>
      <w:pPr>
        <w:numPr>
          <w:ilvl w:val="1"/>
          <w:numId w:val="1011"/>
        </w:numPr>
        <w:pStyle w:val="Compact"/>
      </w:pPr>
      <w:r>
        <w:t xml:space="preserve">OpenMind Business: Tailored accounts for SMEs with integrated accounting tools</w:t>
      </w:r>
    </w:p>
    <w:p>
      <w:pPr>
        <w:numPr>
          <w:ilvl w:val="0"/>
          <w:numId w:val="1010"/>
        </w:numPr>
        <w:pStyle w:val="Compact"/>
      </w:pPr>
      <w:r>
        <w:rPr>
          <w:b/>
        </w:rPr>
        <w:t xml:space="preserve">Savings Products:</w:t>
      </w:r>
    </w:p>
    <w:p>
      <w:pPr>
        <w:numPr>
          <w:ilvl w:val="1"/>
          <w:numId w:val="1012"/>
        </w:numPr>
        <w:pStyle w:val="Compact"/>
      </w:pPr>
      <w:r>
        <w:t xml:space="preserve">Flexible Savings Account: Variable interest rate with instant access</w:t>
      </w:r>
    </w:p>
    <w:p>
      <w:pPr>
        <w:numPr>
          <w:ilvl w:val="1"/>
          <w:numId w:val="1012"/>
        </w:numPr>
        <w:pStyle w:val="Compact"/>
      </w:pPr>
      <w:r>
        <w:t xml:space="preserve">Fixed-Term Deposits: Competitive rates for 1-5 year terms</w:t>
      </w:r>
    </w:p>
    <w:p>
      <w:pPr>
        <w:numPr>
          <w:ilvl w:val="1"/>
          <w:numId w:val="1012"/>
        </w:numPr>
        <w:pStyle w:val="Compact"/>
      </w:pPr>
      <w:r>
        <w:t xml:space="preserve">Goal-Based Savings: AI-powered savings tools for specific financial goals</w:t>
      </w:r>
    </w:p>
    <w:p>
      <w:pPr>
        <w:numPr>
          <w:ilvl w:val="0"/>
          <w:numId w:val="1010"/>
        </w:numPr>
        <w:pStyle w:val="Compact"/>
      </w:pPr>
      <w:r>
        <w:rPr>
          <w:b/>
        </w:rPr>
        <w:t xml:space="preserve">Lending Solutions:</w:t>
      </w:r>
    </w:p>
    <w:p>
      <w:pPr>
        <w:numPr>
          <w:ilvl w:val="1"/>
          <w:numId w:val="1013"/>
        </w:numPr>
        <w:pStyle w:val="Compact"/>
      </w:pPr>
      <w:r>
        <w:t xml:space="preserve">Personal Loans: Competitive rates with streamlined digital application</w:t>
      </w:r>
    </w:p>
    <w:p>
      <w:pPr>
        <w:numPr>
          <w:ilvl w:val="1"/>
          <w:numId w:val="1013"/>
        </w:numPr>
        <w:pStyle w:val="Compact"/>
      </w:pPr>
      <w:r>
        <w:t xml:space="preserve">Mortgages: Residential property financing with flexible terms</w:t>
      </w:r>
    </w:p>
    <w:p>
      <w:pPr>
        <w:numPr>
          <w:ilvl w:val="1"/>
          <w:numId w:val="1013"/>
        </w:numPr>
        <w:pStyle w:val="Compact"/>
      </w:pPr>
      <w:r>
        <w:t xml:space="preserve">Business Loans: Working capital and investment financing for SMEs</w:t>
      </w:r>
    </w:p>
    <w:p>
      <w:pPr>
        <w:numPr>
          <w:ilvl w:val="1"/>
          <w:numId w:val="1013"/>
        </w:numPr>
        <w:pStyle w:val="Compact"/>
      </w:pPr>
      <w:r>
        <w:t xml:space="preserve">Microloans: Small, short-term loans with simplified approval process</w:t>
      </w:r>
    </w:p>
    <w:p>
      <w:pPr>
        <w:numPr>
          <w:ilvl w:val="0"/>
          <w:numId w:val="1010"/>
        </w:numPr>
        <w:pStyle w:val="Compact"/>
      </w:pPr>
      <w:r>
        <w:rPr>
          <w:b/>
        </w:rPr>
        <w:t xml:space="preserve">Investment Services:</w:t>
      </w:r>
    </w:p>
    <w:p>
      <w:pPr>
        <w:numPr>
          <w:ilvl w:val="1"/>
          <w:numId w:val="1014"/>
        </w:numPr>
        <w:pStyle w:val="Compact"/>
      </w:pPr>
      <w:r>
        <w:t xml:space="preserve">Digital Investment Platform: Automated portfolio management</w:t>
      </w:r>
    </w:p>
    <w:p>
      <w:pPr>
        <w:numPr>
          <w:ilvl w:val="1"/>
          <w:numId w:val="1014"/>
        </w:numPr>
        <w:pStyle w:val="Compact"/>
      </w:pPr>
      <w:r>
        <w:t xml:space="preserve">Sustainable Investment Options: ESG-focused funds and portfolios</w:t>
      </w:r>
    </w:p>
    <w:p>
      <w:pPr>
        <w:numPr>
          <w:ilvl w:val="1"/>
          <w:numId w:val="1014"/>
        </w:numPr>
        <w:pStyle w:val="Compact"/>
      </w:pPr>
      <w:r>
        <w:t xml:space="preserve">Retirement Planning: Tax-optimized pension products</w:t>
      </w:r>
    </w:p>
    <w:p>
      <w:pPr>
        <w:numPr>
          <w:ilvl w:val="1"/>
          <w:numId w:val="1014"/>
        </w:numPr>
        <w:pStyle w:val="Compact"/>
      </w:pPr>
      <w:r>
        <w:t xml:space="preserve">Advisory Services: Personalized investment guidance for premium customers</w:t>
      </w:r>
    </w:p>
    <w:p>
      <w:pPr>
        <w:numPr>
          <w:ilvl w:val="0"/>
          <w:numId w:val="1010"/>
        </w:numPr>
        <w:pStyle w:val="Compact"/>
      </w:pPr>
      <w:r>
        <w:rPr>
          <w:b/>
        </w:rPr>
        <w:t xml:space="preserve">Payment Services:</w:t>
      </w:r>
    </w:p>
    <w:p>
      <w:pPr>
        <w:numPr>
          <w:ilvl w:val="1"/>
          <w:numId w:val="1015"/>
        </w:numPr>
        <w:pStyle w:val="Compact"/>
      </w:pPr>
      <w:r>
        <w:t xml:space="preserve">Mobile Payment Integration: Apple Pay, Google Pay, Samsung Pay</w:t>
      </w:r>
    </w:p>
    <w:p>
      <w:pPr>
        <w:numPr>
          <w:ilvl w:val="1"/>
          <w:numId w:val="1015"/>
        </w:numPr>
        <w:pStyle w:val="Compact"/>
      </w:pPr>
      <w:r>
        <w:t xml:space="preserve">Instant Transfers: Real-time payments within the SEPA zone</w:t>
      </w:r>
    </w:p>
    <w:p>
      <w:pPr>
        <w:numPr>
          <w:ilvl w:val="1"/>
          <w:numId w:val="1015"/>
        </w:numPr>
        <w:pStyle w:val="Compact"/>
      </w:pPr>
      <w:r>
        <w:t xml:space="preserve">International Transfers: Competitive FX rates and low fees</w:t>
      </w:r>
    </w:p>
    <w:p>
      <w:pPr>
        <w:numPr>
          <w:ilvl w:val="1"/>
          <w:numId w:val="1015"/>
        </w:numPr>
        <w:pStyle w:val="Compact"/>
      </w:pPr>
      <w:r>
        <w:t xml:space="preserve">Recurring Payments: Automated bill payments and subscriptions</w:t>
      </w:r>
    </w:p>
    <w:p>
      <w:pPr>
        <w:pStyle w:val="Heading3"/>
      </w:pPr>
      <w:bookmarkStart w:id="40" w:name="innovative-features"/>
      <w:r>
        <w:t xml:space="preserve">Innovative Features</w:t>
      </w:r>
      <w:bookmarkEnd w:id="40"/>
    </w:p>
    <w:p>
      <w:pPr>
        <w:numPr>
          <w:ilvl w:val="0"/>
          <w:numId w:val="1016"/>
        </w:numPr>
        <w:pStyle w:val="Compact"/>
      </w:pPr>
      <w:r>
        <w:rPr>
          <w:b/>
        </w:rPr>
        <w:t xml:space="preserve">AI Financial Assistant:</w:t>
      </w:r>
    </w:p>
    <w:p>
      <w:pPr>
        <w:numPr>
          <w:ilvl w:val="1"/>
          <w:numId w:val="1017"/>
        </w:numPr>
        <w:pStyle w:val="Compact"/>
      </w:pPr>
      <w:r>
        <w:t xml:space="preserve">Personalized financial insights and recommendations</w:t>
      </w:r>
    </w:p>
    <w:p>
      <w:pPr>
        <w:numPr>
          <w:ilvl w:val="1"/>
          <w:numId w:val="1017"/>
        </w:numPr>
        <w:pStyle w:val="Compact"/>
      </w:pPr>
      <w:r>
        <w:t xml:space="preserve">Spending analysis and budgeting tools</w:t>
      </w:r>
    </w:p>
    <w:p>
      <w:pPr>
        <w:numPr>
          <w:ilvl w:val="1"/>
          <w:numId w:val="1017"/>
        </w:numPr>
        <w:pStyle w:val="Compact"/>
      </w:pPr>
      <w:r>
        <w:t xml:space="preserve">Proactive alerts for unusual activity or opportunities</w:t>
      </w:r>
    </w:p>
    <w:p>
      <w:pPr>
        <w:numPr>
          <w:ilvl w:val="1"/>
          <w:numId w:val="1017"/>
        </w:numPr>
        <w:pStyle w:val="Compact"/>
      </w:pPr>
      <w:r>
        <w:t xml:space="preserve">Natural language processing for conversational banking</w:t>
      </w:r>
    </w:p>
    <w:p>
      <w:pPr>
        <w:numPr>
          <w:ilvl w:val="0"/>
          <w:numId w:val="1016"/>
        </w:numPr>
        <w:pStyle w:val="Compact"/>
      </w:pPr>
      <w:r>
        <w:rPr>
          <w:b/>
        </w:rPr>
        <w:t xml:space="preserve">Enhanced Security Framework:</w:t>
      </w:r>
    </w:p>
    <w:p>
      <w:pPr>
        <w:numPr>
          <w:ilvl w:val="1"/>
          <w:numId w:val="1018"/>
        </w:numPr>
        <w:pStyle w:val="Compact"/>
      </w:pPr>
      <w:r>
        <w:t xml:space="preserve">Multi-factor authentication</w:t>
      </w:r>
    </w:p>
    <w:p>
      <w:pPr>
        <w:numPr>
          <w:ilvl w:val="1"/>
          <w:numId w:val="1018"/>
        </w:numPr>
        <w:pStyle w:val="Compact"/>
      </w:pPr>
      <w:r>
        <w:t xml:space="preserve">Biometric verification</w:t>
      </w:r>
    </w:p>
    <w:p>
      <w:pPr>
        <w:numPr>
          <w:ilvl w:val="1"/>
          <w:numId w:val="1018"/>
        </w:numPr>
        <w:pStyle w:val="Compact"/>
      </w:pPr>
      <w:r>
        <w:t xml:space="preserve">Real-time fraud detection</w:t>
      </w:r>
    </w:p>
    <w:p>
      <w:pPr>
        <w:numPr>
          <w:ilvl w:val="1"/>
          <w:numId w:val="1018"/>
        </w:numPr>
        <w:pStyle w:val="Compact"/>
      </w:pPr>
      <w:r>
        <w:t xml:space="preserve">Secure customer communication channels</w:t>
      </w:r>
    </w:p>
    <w:p>
      <w:pPr>
        <w:numPr>
          <w:ilvl w:val="0"/>
          <w:numId w:val="1016"/>
        </w:numPr>
        <w:pStyle w:val="Compact"/>
      </w:pPr>
      <w:r>
        <w:rPr>
          <w:b/>
        </w:rPr>
        <w:t xml:space="preserve">Open Banking Platform:</w:t>
      </w:r>
    </w:p>
    <w:p>
      <w:pPr>
        <w:numPr>
          <w:ilvl w:val="1"/>
          <w:numId w:val="1019"/>
        </w:numPr>
        <w:pStyle w:val="Compact"/>
      </w:pPr>
      <w:r>
        <w:t xml:space="preserve">API integration with third-party financial services</w:t>
      </w:r>
    </w:p>
    <w:p>
      <w:pPr>
        <w:numPr>
          <w:ilvl w:val="1"/>
          <w:numId w:val="1019"/>
        </w:numPr>
        <w:pStyle w:val="Compact"/>
      </w:pPr>
      <w:r>
        <w:t xml:space="preserve">Account aggregation across multiple financial institutions</w:t>
      </w:r>
    </w:p>
    <w:p>
      <w:pPr>
        <w:numPr>
          <w:ilvl w:val="1"/>
          <w:numId w:val="1019"/>
        </w:numPr>
        <w:pStyle w:val="Compact"/>
      </w:pPr>
      <w:r>
        <w:t xml:space="preserve">Seamless connection with accounting software</w:t>
      </w:r>
    </w:p>
    <w:p>
      <w:pPr>
        <w:numPr>
          <w:ilvl w:val="1"/>
          <w:numId w:val="1019"/>
        </w:numPr>
        <w:pStyle w:val="Compact"/>
      </w:pPr>
      <w:r>
        <w:t xml:space="preserve">Developer portal for fintech partnerships</w:t>
      </w:r>
    </w:p>
    <w:p>
      <w:pPr>
        <w:numPr>
          <w:ilvl w:val="0"/>
          <w:numId w:val="1016"/>
        </w:numPr>
        <w:pStyle w:val="Compact"/>
      </w:pPr>
      <w:r>
        <w:rPr>
          <w:b/>
        </w:rPr>
        <w:t xml:space="preserve">Sustainability Tools:</w:t>
      </w:r>
    </w:p>
    <w:p>
      <w:pPr>
        <w:numPr>
          <w:ilvl w:val="1"/>
          <w:numId w:val="1020"/>
        </w:numPr>
        <w:pStyle w:val="Compact"/>
      </w:pPr>
      <w:r>
        <w:t xml:space="preserve">Carbon footprint tracking for transactions</w:t>
      </w:r>
    </w:p>
    <w:p>
      <w:pPr>
        <w:numPr>
          <w:ilvl w:val="1"/>
          <w:numId w:val="1020"/>
        </w:numPr>
        <w:pStyle w:val="Compact"/>
      </w:pPr>
      <w:r>
        <w:t xml:space="preserve">Sustainable investment screening</w:t>
      </w:r>
    </w:p>
    <w:p>
      <w:pPr>
        <w:numPr>
          <w:ilvl w:val="1"/>
          <w:numId w:val="1020"/>
        </w:numPr>
        <w:pStyle w:val="Compact"/>
      </w:pPr>
      <w:r>
        <w:t xml:space="preserve">Green loan options for eco-friendly projects</w:t>
      </w:r>
    </w:p>
    <w:p>
      <w:pPr>
        <w:numPr>
          <w:ilvl w:val="1"/>
          <w:numId w:val="1020"/>
        </w:numPr>
        <w:pStyle w:val="Compact"/>
      </w:pPr>
      <w:r>
        <w:t xml:space="preserve">Donation integration for environmental and social causes</w:t>
      </w:r>
    </w:p>
    <w:p>
      <w:pPr>
        <w:pStyle w:val="Heading3"/>
      </w:pPr>
      <w:bookmarkStart w:id="41" w:name="product-development-roadmap"/>
      <w:r>
        <w:t xml:space="preserve">Product Development Roadmap</w:t>
      </w:r>
      <w:bookmarkEnd w:id="41"/>
    </w:p>
    <w:tbl>
      <w:tblPr>
        <w:tblStyle w:val="Table"/>
        <w:tblW w:type="pct" w:w="5000.0"/>
        <w:tblLook w:firstRow="1"/>
      </w:tblPr>
      <w:tblGrid>
        <w:gridCol w:w="2554"/>
        <w:gridCol w:w="5365"/>
      </w:tblGrid>
      <w:tr>
        <w:trPr>
          <w:cnfStyle w:firstRow="1"/>
        </w:trPr>
        <w:tc>
          <w:tcPr>
            <w:tcBorders>
              <w:bottom w:val="single"/>
            </w:tcBorders>
            <w:vAlign w:val="bottom"/>
          </w:tcPr>
          <w:p>
            <w:pPr>
              <w:pStyle w:val="Compact"/>
              <w:jc w:val="left"/>
            </w:pPr>
            <w:r>
              <w:t xml:space="preserve">Timeline</w:t>
            </w:r>
          </w:p>
        </w:tc>
        <w:tc>
          <w:tcPr>
            <w:tcBorders>
              <w:bottom w:val="single"/>
            </w:tcBorders>
            <w:vAlign w:val="bottom"/>
          </w:tcPr>
          <w:p>
            <w:pPr>
              <w:pStyle w:val="Compact"/>
              <w:jc w:val="left"/>
            </w:pPr>
            <w:r>
              <w:t xml:space="preserve">Product Initiatives</w:t>
            </w:r>
          </w:p>
        </w:tc>
      </w:tr>
      <w:tr>
        <w:tc>
          <w:p>
            <w:pPr>
              <w:pStyle w:val="Compact"/>
              <w:jc w:val="left"/>
            </w:pPr>
            <w:r>
              <w:t xml:space="preserve">Launch</w:t>
            </w:r>
          </w:p>
        </w:tc>
        <w:tc>
          <w:p>
            <w:pPr>
              <w:pStyle w:val="Compact"/>
              <w:jc w:val="left"/>
            </w:pPr>
            <w:r>
              <w:t xml:space="preserve">Core banking products, mobile app, basic AI assistant</w:t>
            </w:r>
          </w:p>
        </w:tc>
      </w:tr>
      <w:tr>
        <w:tc>
          <w:p>
            <w:pPr>
              <w:pStyle w:val="Compact"/>
              <w:jc w:val="left"/>
            </w:pPr>
            <w:r>
              <w:t xml:space="preserve">Year 1</w:t>
            </w:r>
          </w:p>
        </w:tc>
        <w:tc>
          <w:p>
            <w:pPr>
              <w:pStyle w:val="Compact"/>
              <w:jc w:val="left"/>
            </w:pPr>
            <w:r>
              <w:t xml:space="preserve">Enhanced business banking, expanded investment options, improved AI capabilities</w:t>
            </w:r>
          </w:p>
        </w:tc>
      </w:tr>
      <w:tr>
        <w:tc>
          <w:p>
            <w:pPr>
              <w:pStyle w:val="Compact"/>
              <w:jc w:val="left"/>
            </w:pPr>
            <w:r>
              <w:t xml:space="preserve">Year 2</w:t>
            </w:r>
          </w:p>
        </w:tc>
        <w:tc>
          <w:p>
            <w:pPr>
              <w:pStyle w:val="Compact"/>
              <w:jc w:val="left"/>
            </w:pPr>
            <w:r>
              <w:t xml:space="preserve">Comprehensive lending platform, advanced open banking features, expanded sustainability tools</w:t>
            </w:r>
          </w:p>
        </w:tc>
      </w:tr>
      <w:tr>
        <w:tc>
          <w:p>
            <w:pPr>
              <w:pStyle w:val="Compact"/>
              <w:jc w:val="left"/>
            </w:pPr>
            <w:r>
              <w:t xml:space="preserve">Year 3</w:t>
            </w:r>
          </w:p>
        </w:tc>
        <w:tc>
          <w:p>
            <w:pPr>
              <w:pStyle w:val="Compact"/>
              <w:jc w:val="left"/>
            </w:pPr>
            <w:r>
              <w:t xml:space="preserve">Wealth management services, international expansion preparation, blockchain integration</w:t>
            </w:r>
          </w:p>
        </w:tc>
      </w:tr>
      <w:tr>
        <w:tc>
          <w:p>
            <w:pPr>
              <w:pStyle w:val="Compact"/>
              <w:jc w:val="left"/>
            </w:pPr>
            <w:r>
              <w:t xml:space="preserve">Year 4-5</w:t>
            </w:r>
          </w:p>
        </w:tc>
        <w:tc>
          <w:p>
            <w:pPr>
              <w:pStyle w:val="Compact"/>
              <w:jc w:val="left"/>
            </w:pPr>
            <w:r>
              <w:t xml:space="preserve">Advanced advisory services, expanded product ecosystem, next-generation banking platform</w:t>
            </w:r>
          </w:p>
        </w:tc>
      </w:tr>
    </w:tbl>
    <w:p>
      <w:pPr>
        <w:pStyle w:val="Heading2"/>
      </w:pPr>
      <w:bookmarkStart w:id="42" w:name="marketing-sales-strategy"/>
      <w:r>
        <w:t xml:space="preserve">Marketing &amp; Sales Strategy</w:t>
      </w:r>
      <w:bookmarkEnd w:id="42"/>
    </w:p>
    <w:p>
      <w:pPr>
        <w:pStyle w:val="Heading3"/>
      </w:pPr>
      <w:bookmarkStart w:id="43" w:name="brand-positioning"/>
      <w:r>
        <w:t xml:space="preserve">Brand Positioning</w:t>
      </w:r>
      <w:bookmarkEnd w:id="43"/>
    </w:p>
    <w:p>
      <w:pPr>
        <w:pStyle w:val="FirstParagraph"/>
      </w:pPr>
      <w:r>
        <w:t xml:space="preserve">OpenMind Bank will position itself as:</w:t>
      </w:r>
      <w:r>
        <w:t xml:space="preserve"> </w:t>
      </w:r>
      <w:r>
        <w:t xml:space="preserve">- A forward-thinking financial institution combining German banking reliability with technological innovation</w:t>
      </w:r>
      <w:r>
        <w:t xml:space="preserve"> </w:t>
      </w:r>
      <w:r>
        <w:t xml:space="preserve">- An ethical bank committed to transparency and sustainability</w:t>
      </w:r>
      <w:r>
        <w:t xml:space="preserve"> </w:t>
      </w:r>
      <w:r>
        <w:t xml:space="preserve">- A customer-centric organization focused on financial empowerment and education</w:t>
      </w:r>
    </w:p>
    <w:p>
      <w:pPr>
        <w:pStyle w:val="Heading3"/>
      </w:pPr>
      <w:bookmarkStart w:id="44" w:name="marketing-channels"/>
      <w:r>
        <w:t xml:space="preserve">Marketing Channels</w:t>
      </w:r>
      <w:bookmarkEnd w:id="44"/>
    </w:p>
    <w:p>
      <w:pPr>
        <w:numPr>
          <w:ilvl w:val="0"/>
          <w:numId w:val="1021"/>
        </w:numPr>
        <w:pStyle w:val="Compact"/>
      </w:pPr>
      <w:r>
        <w:rPr>
          <w:b/>
        </w:rPr>
        <w:t xml:space="preserve">Digital Marketing:</w:t>
      </w:r>
    </w:p>
    <w:p>
      <w:pPr>
        <w:numPr>
          <w:ilvl w:val="1"/>
          <w:numId w:val="1022"/>
        </w:numPr>
        <w:pStyle w:val="Compact"/>
      </w:pPr>
      <w:r>
        <w:t xml:space="preserve">Search engine optimization and marketing</w:t>
      </w:r>
    </w:p>
    <w:p>
      <w:pPr>
        <w:numPr>
          <w:ilvl w:val="1"/>
          <w:numId w:val="1022"/>
        </w:numPr>
        <w:pStyle w:val="Compact"/>
      </w:pPr>
      <w:r>
        <w:t xml:space="preserve">Content marketing through financial education blog</w:t>
      </w:r>
    </w:p>
    <w:p>
      <w:pPr>
        <w:numPr>
          <w:ilvl w:val="1"/>
          <w:numId w:val="1022"/>
        </w:numPr>
        <w:pStyle w:val="Compact"/>
      </w:pPr>
      <w:r>
        <w:t xml:space="preserve">Social media presence across platforms (LinkedIn, Instagram, Twitter, YouTube)</w:t>
      </w:r>
    </w:p>
    <w:p>
      <w:pPr>
        <w:numPr>
          <w:ilvl w:val="1"/>
          <w:numId w:val="1022"/>
        </w:numPr>
        <w:pStyle w:val="Compact"/>
      </w:pPr>
      <w:r>
        <w:t xml:space="preserve">Email marketing campaigns</w:t>
      </w:r>
    </w:p>
    <w:p>
      <w:pPr>
        <w:numPr>
          <w:ilvl w:val="1"/>
          <w:numId w:val="1022"/>
        </w:numPr>
        <w:pStyle w:val="Compact"/>
      </w:pPr>
      <w:r>
        <w:t xml:space="preserve">Targeted online advertising</w:t>
      </w:r>
    </w:p>
    <w:p>
      <w:pPr>
        <w:numPr>
          <w:ilvl w:val="0"/>
          <w:numId w:val="1021"/>
        </w:numPr>
        <w:pStyle w:val="Compact"/>
      </w:pPr>
      <w:r>
        <w:rPr>
          <w:b/>
        </w:rPr>
        <w:t xml:space="preserve">Traditional Marketing:</w:t>
      </w:r>
    </w:p>
    <w:p>
      <w:pPr>
        <w:numPr>
          <w:ilvl w:val="1"/>
          <w:numId w:val="1023"/>
        </w:numPr>
        <w:pStyle w:val="Compact"/>
      </w:pPr>
      <w:r>
        <w:t xml:space="preserve">Limited print advertising in financial publications</w:t>
      </w:r>
    </w:p>
    <w:p>
      <w:pPr>
        <w:numPr>
          <w:ilvl w:val="1"/>
          <w:numId w:val="1023"/>
        </w:numPr>
        <w:pStyle w:val="Compact"/>
      </w:pPr>
      <w:r>
        <w:t xml:space="preserve">Out-of-home advertising in key urban centers</w:t>
      </w:r>
    </w:p>
    <w:p>
      <w:pPr>
        <w:numPr>
          <w:ilvl w:val="1"/>
          <w:numId w:val="1023"/>
        </w:numPr>
        <w:pStyle w:val="Compact"/>
      </w:pPr>
      <w:r>
        <w:t xml:space="preserve">Public relations and media coverage</w:t>
      </w:r>
    </w:p>
    <w:p>
      <w:pPr>
        <w:numPr>
          <w:ilvl w:val="1"/>
          <w:numId w:val="1023"/>
        </w:numPr>
        <w:pStyle w:val="Compact"/>
      </w:pPr>
      <w:r>
        <w:t xml:space="preserve">Industry events and conferences</w:t>
      </w:r>
    </w:p>
    <w:p>
      <w:pPr>
        <w:numPr>
          <w:ilvl w:val="0"/>
          <w:numId w:val="1021"/>
        </w:numPr>
        <w:pStyle w:val="Compact"/>
      </w:pPr>
      <w:r>
        <w:rPr>
          <w:b/>
        </w:rPr>
        <w:t xml:space="preserve">Partnership Marketing:</w:t>
      </w:r>
    </w:p>
    <w:p>
      <w:pPr>
        <w:numPr>
          <w:ilvl w:val="1"/>
          <w:numId w:val="1024"/>
        </w:numPr>
        <w:pStyle w:val="Compact"/>
      </w:pPr>
      <w:r>
        <w:t xml:space="preserve">Collaborations with fintech companies</w:t>
      </w:r>
    </w:p>
    <w:p>
      <w:pPr>
        <w:numPr>
          <w:ilvl w:val="1"/>
          <w:numId w:val="1024"/>
        </w:numPr>
        <w:pStyle w:val="Compact"/>
      </w:pPr>
      <w:r>
        <w:t xml:space="preserve">Co-marketing with sustainability-focused organizations</w:t>
      </w:r>
    </w:p>
    <w:p>
      <w:pPr>
        <w:numPr>
          <w:ilvl w:val="1"/>
          <w:numId w:val="1024"/>
        </w:numPr>
        <w:pStyle w:val="Compact"/>
      </w:pPr>
      <w:r>
        <w:t xml:space="preserve">University and professional association partnerships</w:t>
      </w:r>
    </w:p>
    <w:p>
      <w:pPr>
        <w:numPr>
          <w:ilvl w:val="1"/>
          <w:numId w:val="1024"/>
        </w:numPr>
        <w:pStyle w:val="Compact"/>
      </w:pPr>
      <w:r>
        <w:t xml:space="preserve">Corporate employee benefit programs</w:t>
      </w:r>
    </w:p>
    <w:p>
      <w:pPr>
        <w:pStyle w:val="Heading3"/>
      </w:pPr>
      <w:bookmarkStart w:id="45" w:name="customer-acquisition-strategy"/>
      <w:r>
        <w:t xml:space="preserve">Customer Acquisition Strategy</w:t>
      </w:r>
      <w:bookmarkEnd w:id="45"/>
    </w:p>
    <w:p>
      <w:pPr>
        <w:numPr>
          <w:ilvl w:val="0"/>
          <w:numId w:val="1025"/>
        </w:numPr>
        <w:pStyle w:val="Compact"/>
      </w:pPr>
      <w:r>
        <w:rPr>
          <w:b/>
        </w:rPr>
        <w:t xml:space="preserve">Digital Onboarding:</w:t>
      </w:r>
    </w:p>
    <w:p>
      <w:pPr>
        <w:numPr>
          <w:ilvl w:val="1"/>
          <w:numId w:val="1026"/>
        </w:numPr>
        <w:pStyle w:val="Compact"/>
      </w:pPr>
      <w:r>
        <w:t xml:space="preserve">Streamlined account opening process (under 10 minutes)</w:t>
      </w:r>
    </w:p>
    <w:p>
      <w:pPr>
        <w:numPr>
          <w:ilvl w:val="1"/>
          <w:numId w:val="1026"/>
        </w:numPr>
        <w:pStyle w:val="Compact"/>
      </w:pPr>
      <w:r>
        <w:t xml:space="preserve">Video identification for KYC compliance</w:t>
      </w:r>
    </w:p>
    <w:p>
      <w:pPr>
        <w:numPr>
          <w:ilvl w:val="1"/>
          <w:numId w:val="1026"/>
        </w:numPr>
        <w:pStyle w:val="Compact"/>
      </w:pPr>
      <w:r>
        <w:t xml:space="preserve">Immediate account activation</w:t>
      </w:r>
    </w:p>
    <w:p>
      <w:pPr>
        <w:numPr>
          <w:ilvl w:val="1"/>
          <w:numId w:val="1026"/>
        </w:numPr>
        <w:pStyle w:val="Compact"/>
      </w:pPr>
      <w:r>
        <w:t xml:space="preserve">Welcome package with incentives for initial engagement</w:t>
      </w:r>
    </w:p>
    <w:p>
      <w:pPr>
        <w:numPr>
          <w:ilvl w:val="0"/>
          <w:numId w:val="1025"/>
        </w:numPr>
        <w:pStyle w:val="Compact"/>
      </w:pPr>
      <w:r>
        <w:rPr>
          <w:b/>
        </w:rPr>
        <w:t xml:space="preserve">Referral Program:</w:t>
      </w:r>
    </w:p>
    <w:p>
      <w:pPr>
        <w:numPr>
          <w:ilvl w:val="1"/>
          <w:numId w:val="1027"/>
        </w:numPr>
        <w:pStyle w:val="Compact"/>
      </w:pPr>
      <w:r>
        <w:t xml:space="preserve">Rewards for both referrer and new customer</w:t>
      </w:r>
    </w:p>
    <w:p>
      <w:pPr>
        <w:numPr>
          <w:ilvl w:val="1"/>
          <w:numId w:val="1027"/>
        </w:numPr>
        <w:pStyle w:val="Compact"/>
      </w:pPr>
      <w:r>
        <w:t xml:space="preserve">Enhanced benefits for high-value referrals</w:t>
      </w:r>
    </w:p>
    <w:p>
      <w:pPr>
        <w:numPr>
          <w:ilvl w:val="1"/>
          <w:numId w:val="1027"/>
        </w:numPr>
        <w:pStyle w:val="Compact"/>
      </w:pPr>
      <w:r>
        <w:t xml:space="preserve">Business referral program with specialized incentives</w:t>
      </w:r>
    </w:p>
    <w:p>
      <w:pPr>
        <w:numPr>
          <w:ilvl w:val="0"/>
          <w:numId w:val="1025"/>
        </w:numPr>
        <w:pStyle w:val="Compact"/>
      </w:pPr>
      <w:r>
        <w:rPr>
          <w:b/>
        </w:rPr>
        <w:t xml:space="preserve">Targeted Campaigns:</w:t>
      </w:r>
    </w:p>
    <w:p>
      <w:pPr>
        <w:numPr>
          <w:ilvl w:val="1"/>
          <w:numId w:val="1028"/>
        </w:numPr>
        <w:pStyle w:val="Compact"/>
      </w:pPr>
      <w:r>
        <w:t xml:space="preserve">Segment-specific acquisition strategies</w:t>
      </w:r>
    </w:p>
    <w:p>
      <w:pPr>
        <w:numPr>
          <w:ilvl w:val="1"/>
          <w:numId w:val="1028"/>
        </w:numPr>
        <w:pStyle w:val="Compact"/>
      </w:pPr>
      <w:r>
        <w:t xml:space="preserve">Seasonal promotions aligned with financial planning cycles</w:t>
      </w:r>
    </w:p>
    <w:p>
      <w:pPr>
        <w:numPr>
          <w:ilvl w:val="1"/>
          <w:numId w:val="1028"/>
        </w:numPr>
        <w:pStyle w:val="Compact"/>
      </w:pPr>
      <w:r>
        <w:t xml:space="preserve">Competitive switching incentives from other banks</w:t>
      </w:r>
    </w:p>
    <w:p>
      <w:pPr>
        <w:pStyle w:val="Heading3"/>
      </w:pPr>
      <w:bookmarkStart w:id="46" w:name="customer-retention-strategy"/>
      <w:r>
        <w:t xml:space="preserve">Customer Retention Strategy</w:t>
      </w:r>
      <w:bookmarkEnd w:id="46"/>
    </w:p>
    <w:p>
      <w:pPr>
        <w:numPr>
          <w:ilvl w:val="0"/>
          <w:numId w:val="1029"/>
        </w:numPr>
        <w:pStyle w:val="Compact"/>
      </w:pPr>
      <w:r>
        <w:rPr>
          <w:b/>
        </w:rPr>
        <w:t xml:space="preserve">Relationship Banking:</w:t>
      </w:r>
    </w:p>
    <w:p>
      <w:pPr>
        <w:numPr>
          <w:ilvl w:val="1"/>
          <w:numId w:val="1030"/>
        </w:numPr>
        <w:pStyle w:val="Compact"/>
      </w:pPr>
      <w:r>
        <w:t xml:space="preserve">Dedicated relationship managers for premium customers</w:t>
      </w:r>
    </w:p>
    <w:p>
      <w:pPr>
        <w:numPr>
          <w:ilvl w:val="1"/>
          <w:numId w:val="1030"/>
        </w:numPr>
        <w:pStyle w:val="Compact"/>
      </w:pPr>
      <w:r>
        <w:t xml:space="preserve">Regular financial health check-ups</w:t>
      </w:r>
    </w:p>
    <w:p>
      <w:pPr>
        <w:numPr>
          <w:ilvl w:val="1"/>
          <w:numId w:val="1030"/>
        </w:numPr>
        <w:pStyle w:val="Compact"/>
      </w:pPr>
      <w:r>
        <w:t xml:space="preserve">Personalized product recommendations</w:t>
      </w:r>
    </w:p>
    <w:p>
      <w:pPr>
        <w:numPr>
          <w:ilvl w:val="1"/>
          <w:numId w:val="1030"/>
        </w:numPr>
        <w:pStyle w:val="Compact"/>
      </w:pPr>
      <w:r>
        <w:t xml:space="preserve">Loyalty rewards program</w:t>
      </w:r>
    </w:p>
    <w:p>
      <w:pPr>
        <w:numPr>
          <w:ilvl w:val="0"/>
          <w:numId w:val="1029"/>
        </w:numPr>
        <w:pStyle w:val="Compact"/>
      </w:pPr>
      <w:r>
        <w:rPr>
          <w:b/>
        </w:rPr>
        <w:t xml:space="preserve">Continuous Engagement:</w:t>
      </w:r>
    </w:p>
    <w:p>
      <w:pPr>
        <w:numPr>
          <w:ilvl w:val="1"/>
          <w:numId w:val="1031"/>
        </w:numPr>
        <w:pStyle w:val="Compact"/>
      </w:pPr>
      <w:r>
        <w:t xml:space="preserve">Financial education webinars and resources</w:t>
      </w:r>
    </w:p>
    <w:p>
      <w:pPr>
        <w:numPr>
          <w:ilvl w:val="1"/>
          <w:numId w:val="1031"/>
        </w:numPr>
        <w:pStyle w:val="Compact"/>
      </w:pPr>
      <w:r>
        <w:t xml:space="preserve">Community building through forums and events</w:t>
      </w:r>
    </w:p>
    <w:p>
      <w:pPr>
        <w:numPr>
          <w:ilvl w:val="1"/>
          <w:numId w:val="1031"/>
        </w:numPr>
        <w:pStyle w:val="Compact"/>
      </w:pPr>
      <w:r>
        <w:t xml:space="preserve">Regular product updates and new feature announcements</w:t>
      </w:r>
    </w:p>
    <w:p>
      <w:pPr>
        <w:numPr>
          <w:ilvl w:val="1"/>
          <w:numId w:val="1031"/>
        </w:numPr>
        <w:pStyle w:val="Compact"/>
      </w:pPr>
      <w:r>
        <w:t xml:space="preserve">Customer feedback integration into product development</w:t>
      </w:r>
    </w:p>
    <w:p>
      <w:pPr>
        <w:numPr>
          <w:ilvl w:val="0"/>
          <w:numId w:val="1029"/>
        </w:numPr>
        <w:pStyle w:val="Compact"/>
      </w:pPr>
      <w:r>
        <w:rPr>
          <w:b/>
        </w:rPr>
        <w:t xml:space="preserve">Service Excellence:</w:t>
      </w:r>
    </w:p>
    <w:p>
      <w:pPr>
        <w:numPr>
          <w:ilvl w:val="1"/>
          <w:numId w:val="1032"/>
        </w:numPr>
        <w:pStyle w:val="Compact"/>
      </w:pPr>
      <w:r>
        <w:t xml:space="preserve">24/7 customer support through multiple channels</w:t>
      </w:r>
    </w:p>
    <w:p>
      <w:pPr>
        <w:numPr>
          <w:ilvl w:val="1"/>
          <w:numId w:val="1032"/>
        </w:numPr>
        <w:pStyle w:val="Compact"/>
      </w:pPr>
      <w:r>
        <w:t xml:space="preserve">Proactive issue resolution</w:t>
      </w:r>
    </w:p>
    <w:p>
      <w:pPr>
        <w:numPr>
          <w:ilvl w:val="1"/>
          <w:numId w:val="1032"/>
        </w:numPr>
        <w:pStyle w:val="Compact"/>
      </w:pPr>
      <w:r>
        <w:t xml:space="preserve">Transparent communication during service disruptions</w:t>
      </w:r>
    </w:p>
    <w:p>
      <w:pPr>
        <w:numPr>
          <w:ilvl w:val="1"/>
          <w:numId w:val="1032"/>
        </w:numPr>
        <w:pStyle w:val="Compact"/>
      </w:pPr>
      <w:r>
        <w:t xml:space="preserve">Regular satisfaction surveys with actionable follow-up</w:t>
      </w:r>
    </w:p>
    <w:p>
      <w:pPr>
        <w:pStyle w:val="Heading3"/>
      </w:pPr>
      <w:bookmarkStart w:id="47" w:name="sales-approach"/>
      <w:r>
        <w:t xml:space="preserve">Sales Approach</w:t>
      </w:r>
      <w:bookmarkEnd w:id="47"/>
    </w:p>
    <w:p>
      <w:pPr>
        <w:numPr>
          <w:ilvl w:val="0"/>
          <w:numId w:val="1033"/>
        </w:numPr>
        <w:pStyle w:val="Compact"/>
      </w:pPr>
      <w:r>
        <w:rPr>
          <w:b/>
        </w:rPr>
        <w:t xml:space="preserve">Digital Self-Service:</w:t>
      </w:r>
    </w:p>
    <w:p>
      <w:pPr>
        <w:numPr>
          <w:ilvl w:val="1"/>
          <w:numId w:val="1034"/>
        </w:numPr>
        <w:pStyle w:val="Compact"/>
      </w:pPr>
      <w:r>
        <w:t xml:space="preserve">Intuitive online product discovery and application</w:t>
      </w:r>
    </w:p>
    <w:p>
      <w:pPr>
        <w:numPr>
          <w:ilvl w:val="1"/>
          <w:numId w:val="1034"/>
        </w:numPr>
        <w:pStyle w:val="Compact"/>
      </w:pPr>
      <w:r>
        <w:t xml:space="preserve">In-app product recommendations</w:t>
      </w:r>
    </w:p>
    <w:p>
      <w:pPr>
        <w:numPr>
          <w:ilvl w:val="1"/>
          <w:numId w:val="1034"/>
        </w:numPr>
        <w:pStyle w:val="Compact"/>
      </w:pPr>
      <w:r>
        <w:t xml:space="preserve">Guided digital journeys for complex products</w:t>
      </w:r>
    </w:p>
    <w:p>
      <w:pPr>
        <w:numPr>
          <w:ilvl w:val="0"/>
          <w:numId w:val="1033"/>
        </w:numPr>
        <w:pStyle w:val="Compact"/>
      </w:pPr>
      <w:r>
        <w:rPr>
          <w:b/>
        </w:rPr>
        <w:t xml:space="preserve">Advisory Services:</w:t>
      </w:r>
    </w:p>
    <w:p>
      <w:pPr>
        <w:numPr>
          <w:ilvl w:val="1"/>
          <w:numId w:val="1035"/>
        </w:numPr>
        <w:pStyle w:val="Compact"/>
      </w:pPr>
      <w:r>
        <w:t xml:space="preserve">Video consultation for complex financial needs</w:t>
      </w:r>
    </w:p>
    <w:p>
      <w:pPr>
        <w:numPr>
          <w:ilvl w:val="1"/>
          <w:numId w:val="1035"/>
        </w:numPr>
        <w:pStyle w:val="Compact"/>
      </w:pPr>
      <w:r>
        <w:t xml:space="preserve">In-person meetings at flagship locations for premium services</w:t>
      </w:r>
    </w:p>
    <w:p>
      <w:pPr>
        <w:numPr>
          <w:ilvl w:val="1"/>
          <w:numId w:val="1035"/>
        </w:numPr>
        <w:pStyle w:val="Compact"/>
      </w:pPr>
      <w:r>
        <w:t xml:space="preserve">Scheduled financial planning sessions</w:t>
      </w:r>
    </w:p>
    <w:p>
      <w:pPr>
        <w:numPr>
          <w:ilvl w:val="0"/>
          <w:numId w:val="1033"/>
        </w:numPr>
        <w:pStyle w:val="Compact"/>
      </w:pPr>
      <w:r>
        <w:rPr>
          <w:b/>
        </w:rPr>
        <w:t xml:space="preserve">Business Development:</w:t>
      </w:r>
    </w:p>
    <w:p>
      <w:pPr>
        <w:numPr>
          <w:ilvl w:val="1"/>
          <w:numId w:val="1036"/>
        </w:numPr>
        <w:pStyle w:val="Compact"/>
      </w:pPr>
      <w:r>
        <w:t xml:space="preserve">Dedicated team for SME acquisition</w:t>
      </w:r>
    </w:p>
    <w:p>
      <w:pPr>
        <w:numPr>
          <w:ilvl w:val="1"/>
          <w:numId w:val="1036"/>
        </w:numPr>
        <w:pStyle w:val="Compact"/>
      </w:pPr>
      <w:r>
        <w:t xml:space="preserve">Industry-specific banking solutions</w:t>
      </w:r>
    </w:p>
    <w:p>
      <w:pPr>
        <w:numPr>
          <w:ilvl w:val="1"/>
          <w:numId w:val="1036"/>
        </w:numPr>
        <w:pStyle w:val="Compact"/>
      </w:pPr>
      <w:r>
        <w:t xml:space="preserve">Partnership with business associations and chambers of commerce</w:t>
      </w:r>
    </w:p>
    <w:p>
      <w:pPr>
        <w:pStyle w:val="Heading3"/>
      </w:pPr>
      <w:bookmarkStart w:id="48" w:name="marketing-budget-allocation"/>
      <w:r>
        <w:t xml:space="preserve">Marketing Budget Allocation</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Year 1</w:t>
            </w:r>
          </w:p>
        </w:tc>
        <w:tc>
          <w:tcPr>
            <w:tcBorders>
              <w:bottom w:val="single"/>
            </w:tcBorders>
            <w:vAlign w:val="bottom"/>
          </w:tcPr>
          <w:p>
            <w:pPr>
              <w:pStyle w:val="Compact"/>
              <w:jc w:val="left"/>
            </w:pPr>
            <w:r>
              <w:t xml:space="preserve">Year 2</w:t>
            </w:r>
          </w:p>
        </w:tc>
        <w:tc>
          <w:tcPr>
            <w:tcBorders>
              <w:bottom w:val="single"/>
            </w:tcBorders>
            <w:vAlign w:val="bottom"/>
          </w:tcPr>
          <w:p>
            <w:pPr>
              <w:pStyle w:val="Compact"/>
              <w:jc w:val="left"/>
            </w:pPr>
            <w:r>
              <w:t xml:space="preserve">Year 3</w:t>
            </w:r>
          </w:p>
        </w:tc>
      </w:tr>
      <w:tr>
        <w:tc>
          <w:p>
            <w:pPr>
              <w:pStyle w:val="Compact"/>
              <w:jc w:val="left"/>
            </w:pPr>
            <w:r>
              <w:t xml:space="preserve">Digital Marketing</w:t>
            </w:r>
          </w:p>
        </w:tc>
        <w:tc>
          <w:p>
            <w:pPr>
              <w:pStyle w:val="Compact"/>
              <w:jc w:val="left"/>
            </w:pPr>
            <w:r>
              <w:t xml:space="preserve">45%</w:t>
            </w:r>
          </w:p>
        </w:tc>
        <w:tc>
          <w:p>
            <w:pPr>
              <w:pStyle w:val="Compact"/>
              <w:jc w:val="left"/>
            </w:pPr>
            <w:r>
              <w:t xml:space="preserve">40%</w:t>
            </w:r>
          </w:p>
        </w:tc>
        <w:tc>
          <w:p>
            <w:pPr>
              <w:pStyle w:val="Compact"/>
              <w:jc w:val="left"/>
            </w:pPr>
            <w:r>
              <w:t xml:space="preserve">35%</w:t>
            </w:r>
          </w:p>
        </w:tc>
      </w:tr>
      <w:tr>
        <w:tc>
          <w:p>
            <w:pPr>
              <w:pStyle w:val="Compact"/>
              <w:jc w:val="left"/>
            </w:pPr>
            <w:r>
              <w:t xml:space="preserve">Traditional Marketing</w:t>
            </w:r>
          </w:p>
        </w:tc>
        <w:tc>
          <w:p>
            <w:pPr>
              <w:pStyle w:val="Compact"/>
              <w:jc w:val="left"/>
            </w:pPr>
            <w:r>
              <w:t xml:space="preserve">20%</w:t>
            </w:r>
          </w:p>
        </w:tc>
        <w:tc>
          <w:p>
            <w:pPr>
              <w:pStyle w:val="Compact"/>
              <w:jc w:val="left"/>
            </w:pPr>
            <w:r>
              <w:t xml:space="preserve">15%</w:t>
            </w:r>
          </w:p>
        </w:tc>
        <w:tc>
          <w:p>
            <w:pPr>
              <w:pStyle w:val="Compact"/>
              <w:jc w:val="left"/>
            </w:pPr>
            <w:r>
              <w:t xml:space="preserve">10%</w:t>
            </w:r>
          </w:p>
        </w:tc>
      </w:tr>
      <w:tr>
        <w:tc>
          <w:p>
            <w:pPr>
              <w:pStyle w:val="Compact"/>
              <w:jc w:val="left"/>
            </w:pPr>
            <w:r>
              <w:t xml:space="preserve">Partnership Marketing</w:t>
            </w:r>
          </w:p>
        </w:tc>
        <w:tc>
          <w:p>
            <w:pPr>
              <w:pStyle w:val="Compact"/>
              <w:jc w:val="left"/>
            </w:pPr>
            <w:r>
              <w:t xml:space="preserve">15%</w:t>
            </w:r>
          </w:p>
        </w:tc>
        <w:tc>
          <w:p>
            <w:pPr>
              <w:pStyle w:val="Compact"/>
              <w:jc w:val="left"/>
            </w:pPr>
            <w:r>
              <w:t xml:space="preserve">20%</w:t>
            </w:r>
          </w:p>
        </w:tc>
        <w:tc>
          <w:p>
            <w:pPr>
              <w:pStyle w:val="Compact"/>
              <w:jc w:val="left"/>
            </w:pPr>
            <w:r>
              <w:t xml:space="preserve">25%</w:t>
            </w:r>
          </w:p>
        </w:tc>
      </w:tr>
      <w:tr>
        <w:tc>
          <w:p>
            <w:pPr>
              <w:pStyle w:val="Compact"/>
              <w:jc w:val="left"/>
            </w:pPr>
            <w:r>
              <w:t xml:space="preserve">Customer Retention</w:t>
            </w:r>
          </w:p>
        </w:tc>
        <w:tc>
          <w:p>
            <w:pPr>
              <w:pStyle w:val="Compact"/>
              <w:jc w:val="left"/>
            </w:pPr>
            <w:r>
              <w:t xml:space="preserve">10%</w:t>
            </w:r>
          </w:p>
        </w:tc>
        <w:tc>
          <w:p>
            <w:pPr>
              <w:pStyle w:val="Compact"/>
              <w:jc w:val="left"/>
            </w:pPr>
            <w:r>
              <w:t xml:space="preserve">15%</w:t>
            </w:r>
          </w:p>
        </w:tc>
        <w:tc>
          <w:p>
            <w:pPr>
              <w:pStyle w:val="Compact"/>
              <w:jc w:val="left"/>
            </w:pPr>
            <w:r>
              <w:t xml:space="preserve">20%</w:t>
            </w:r>
          </w:p>
        </w:tc>
      </w:tr>
      <w:tr>
        <w:tc>
          <w:p>
            <w:pPr>
              <w:pStyle w:val="Compact"/>
              <w:jc w:val="left"/>
            </w:pPr>
            <w:r>
              <w:t xml:space="preserve">Brand Development</w:t>
            </w:r>
          </w:p>
        </w:tc>
        <w:tc>
          <w:p>
            <w:pPr>
              <w:pStyle w:val="Compact"/>
              <w:jc w:val="left"/>
            </w:pPr>
            <w:r>
              <w:t xml:space="preserve">10%</w:t>
            </w:r>
          </w:p>
        </w:tc>
        <w:tc>
          <w:p>
            <w:pPr>
              <w:pStyle w:val="Compact"/>
              <w:jc w:val="left"/>
            </w:pPr>
            <w:r>
              <w:t xml:space="preserve">10%</w:t>
            </w:r>
          </w:p>
        </w:tc>
        <w:tc>
          <w:p>
            <w:pPr>
              <w:pStyle w:val="Compact"/>
              <w:jc w:val="left"/>
            </w:pPr>
            <w:r>
              <w:t xml:space="preserve">10%</w:t>
            </w:r>
          </w:p>
        </w:tc>
      </w:tr>
      <w:tr>
        <w:tc>
          <w:p>
            <w:pPr>
              <w:pStyle w:val="Compact"/>
              <w:jc w:val="left"/>
            </w:pPr>
            <w:r>
              <w:rPr>
                <w:b/>
              </w:rPr>
              <w:t xml:space="preserve">Total Budget (€)</w:t>
            </w:r>
          </w:p>
        </w:tc>
        <w:tc>
          <w:p>
            <w:pPr>
              <w:pStyle w:val="Compact"/>
              <w:jc w:val="left"/>
            </w:pPr>
            <w:r>
              <w:rPr>
                <w:b/>
              </w:rPr>
              <w:t xml:space="preserve">8.5M</w:t>
            </w:r>
          </w:p>
        </w:tc>
        <w:tc>
          <w:p>
            <w:pPr>
              <w:pStyle w:val="Compact"/>
              <w:jc w:val="left"/>
            </w:pPr>
            <w:r>
              <w:rPr>
                <w:b/>
              </w:rPr>
              <w:t xml:space="preserve">7.5M</w:t>
            </w:r>
          </w:p>
        </w:tc>
        <w:tc>
          <w:p>
            <w:pPr>
              <w:pStyle w:val="Compact"/>
              <w:jc w:val="left"/>
            </w:pPr>
            <w:r>
              <w:rPr>
                <w:b/>
              </w:rPr>
              <w:t xml:space="preserve">6.5M</w:t>
            </w:r>
          </w:p>
        </w:tc>
      </w:tr>
    </w:tbl>
    <w:p>
      <w:pPr>
        <w:pStyle w:val="Heading2"/>
      </w:pPr>
      <w:bookmarkStart w:id="49" w:name="financial-projections"/>
      <w:r>
        <w:t xml:space="preserve">Financial Projections</w:t>
      </w:r>
      <w:bookmarkEnd w:id="49"/>
    </w:p>
    <w:p>
      <w:pPr>
        <w:pStyle w:val="Heading3"/>
      </w:pPr>
      <w:bookmarkStart w:id="50" w:name="startup-costs"/>
      <w:r>
        <w:t xml:space="preserve">Startup Costs</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Amount (€)</w:t>
            </w:r>
          </w:p>
        </w:tc>
      </w:tr>
      <w:tr>
        <w:tc>
          <w:p>
            <w:pPr>
              <w:pStyle w:val="Compact"/>
              <w:jc w:val="left"/>
            </w:pPr>
            <w:r>
              <w:t xml:space="preserve">Banking License and Regulatory Compliance</w:t>
            </w:r>
          </w:p>
        </w:tc>
        <w:tc>
          <w:p>
            <w:pPr>
              <w:pStyle w:val="Compact"/>
              <w:jc w:val="left"/>
            </w:pPr>
            <w:r>
              <w:t xml:space="preserve">15,000,000</w:t>
            </w:r>
          </w:p>
        </w:tc>
      </w:tr>
      <w:tr>
        <w:tc>
          <w:p>
            <w:pPr>
              <w:pStyle w:val="Compact"/>
              <w:jc w:val="left"/>
            </w:pPr>
            <w:r>
              <w:t xml:space="preserve">Technology Infrastructure</w:t>
            </w:r>
          </w:p>
        </w:tc>
        <w:tc>
          <w:p>
            <w:pPr>
              <w:pStyle w:val="Compact"/>
              <w:jc w:val="left"/>
            </w:pPr>
            <w:r>
              <w:t xml:space="preserve">18,000,000</w:t>
            </w:r>
          </w:p>
        </w:tc>
      </w:tr>
      <w:tr>
        <w:tc>
          <w:p>
            <w:pPr>
              <w:pStyle w:val="Compact"/>
              <w:jc w:val="left"/>
            </w:pPr>
            <w:r>
              <w:t xml:space="preserve">Initial Staffing and Training</w:t>
            </w:r>
          </w:p>
        </w:tc>
        <w:tc>
          <w:p>
            <w:pPr>
              <w:pStyle w:val="Compact"/>
              <w:jc w:val="left"/>
            </w:pPr>
            <w:r>
              <w:t xml:space="preserve">12,000,000</w:t>
            </w:r>
          </w:p>
        </w:tc>
      </w:tr>
      <w:tr>
        <w:tc>
          <w:p>
            <w:pPr>
              <w:pStyle w:val="Compact"/>
              <w:jc w:val="left"/>
            </w:pPr>
            <w:r>
              <w:t xml:space="preserve">Marketing and Brand Launch</w:t>
            </w:r>
          </w:p>
        </w:tc>
        <w:tc>
          <w:p>
            <w:pPr>
              <w:pStyle w:val="Compact"/>
              <w:jc w:val="left"/>
            </w:pPr>
            <w:r>
              <w:t xml:space="preserve">8,500,000</w:t>
            </w:r>
          </w:p>
        </w:tc>
      </w:tr>
      <w:tr>
        <w:tc>
          <w:p>
            <w:pPr>
              <w:pStyle w:val="Compact"/>
              <w:jc w:val="left"/>
            </w:pPr>
            <w:r>
              <w:t xml:space="preserve">Physical Locations (Flagship and Service Centers)</w:t>
            </w:r>
          </w:p>
        </w:tc>
        <w:tc>
          <w:p>
            <w:pPr>
              <w:pStyle w:val="Compact"/>
              <w:jc w:val="left"/>
            </w:pPr>
            <w:r>
              <w:t xml:space="preserve">5,000,000</w:t>
            </w:r>
          </w:p>
        </w:tc>
      </w:tr>
      <w:tr>
        <w:tc>
          <w:p>
            <w:pPr>
              <w:pStyle w:val="Compact"/>
              <w:jc w:val="left"/>
            </w:pPr>
            <w:r>
              <w:t xml:space="preserve">Legal and Professional Services</w:t>
            </w:r>
          </w:p>
        </w:tc>
        <w:tc>
          <w:p>
            <w:pPr>
              <w:pStyle w:val="Compact"/>
              <w:jc w:val="left"/>
            </w:pPr>
            <w:r>
              <w:t xml:space="preserve">3,500,000</w:t>
            </w:r>
          </w:p>
        </w:tc>
      </w:tr>
      <w:tr>
        <w:tc>
          <w:p>
            <w:pPr>
              <w:pStyle w:val="Compact"/>
              <w:jc w:val="left"/>
            </w:pPr>
            <w:r>
              <w:t xml:space="preserve">Working Capital</w:t>
            </w:r>
          </w:p>
        </w:tc>
        <w:tc>
          <w:p>
            <w:pPr>
              <w:pStyle w:val="Compact"/>
              <w:jc w:val="left"/>
            </w:pPr>
            <w:r>
              <w:t xml:space="preserve">13,000,000</w:t>
            </w:r>
          </w:p>
        </w:tc>
      </w:tr>
      <w:tr>
        <w:tc>
          <w:p>
            <w:pPr>
              <w:pStyle w:val="Compact"/>
              <w:jc w:val="left"/>
            </w:pPr>
            <w:r>
              <w:rPr>
                <w:b/>
              </w:rPr>
              <w:t xml:space="preserve">Total Initial Investment</w:t>
            </w:r>
          </w:p>
        </w:tc>
        <w:tc>
          <w:p>
            <w:pPr>
              <w:pStyle w:val="Compact"/>
              <w:jc w:val="left"/>
            </w:pPr>
            <w:r>
              <w:rPr>
                <w:b/>
              </w:rPr>
              <w:t xml:space="preserve">75,000,000</w:t>
            </w:r>
          </w:p>
        </w:tc>
      </w:tr>
    </w:tbl>
    <w:p>
      <w:pPr>
        <w:pStyle w:val="Heading3"/>
      </w:pPr>
      <w:bookmarkStart w:id="51" w:name="revenue-projections"/>
      <w:r>
        <w:t xml:space="preserve">Revenue Projections</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Revenue Stream</w:t>
            </w:r>
          </w:p>
        </w:tc>
        <w:tc>
          <w:tcPr>
            <w:tcBorders>
              <w:bottom w:val="single"/>
            </w:tcBorders>
            <w:vAlign w:val="bottom"/>
          </w:tcPr>
          <w:p>
            <w:pPr>
              <w:pStyle w:val="Compact"/>
              <w:jc w:val="left"/>
            </w:pPr>
            <w:r>
              <w:t xml:space="preserve">Year 1</w:t>
            </w:r>
          </w:p>
        </w:tc>
        <w:tc>
          <w:tcPr>
            <w:tcBorders>
              <w:bottom w:val="single"/>
            </w:tcBorders>
            <w:vAlign w:val="bottom"/>
          </w:tcPr>
          <w:p>
            <w:pPr>
              <w:pStyle w:val="Compact"/>
              <w:jc w:val="left"/>
            </w:pPr>
            <w:r>
              <w:t xml:space="preserve">Year 2</w:t>
            </w:r>
          </w:p>
        </w:tc>
        <w:tc>
          <w:tcPr>
            <w:tcBorders>
              <w:bottom w:val="single"/>
            </w:tcBorders>
            <w:vAlign w:val="bottom"/>
          </w:tcPr>
          <w:p>
            <w:pPr>
              <w:pStyle w:val="Compact"/>
              <w:jc w:val="left"/>
            </w:pPr>
            <w:r>
              <w:t xml:space="preserve">Year 3</w:t>
            </w:r>
          </w:p>
        </w:tc>
        <w:tc>
          <w:tcPr>
            <w:tcBorders>
              <w:bottom w:val="single"/>
            </w:tcBorders>
            <w:vAlign w:val="bottom"/>
          </w:tcPr>
          <w:p>
            <w:pPr>
              <w:pStyle w:val="Compact"/>
              <w:jc w:val="left"/>
            </w:pPr>
            <w:r>
              <w:t xml:space="preserve">Year 4</w:t>
            </w:r>
          </w:p>
        </w:tc>
        <w:tc>
          <w:tcPr>
            <w:tcBorders>
              <w:bottom w:val="single"/>
            </w:tcBorders>
            <w:vAlign w:val="bottom"/>
          </w:tcPr>
          <w:p>
            <w:pPr>
              <w:pStyle w:val="Compact"/>
              <w:jc w:val="left"/>
            </w:pPr>
            <w:r>
              <w:t xml:space="preserve">Year 5</w:t>
            </w:r>
          </w:p>
        </w:tc>
      </w:tr>
      <w:tr>
        <w:tc>
          <w:p>
            <w:pPr>
              <w:pStyle w:val="Compact"/>
              <w:jc w:val="left"/>
            </w:pPr>
            <w:r>
              <w:t xml:space="preserve">Net Interest Income</w:t>
            </w:r>
          </w:p>
        </w:tc>
        <w:tc>
          <w:p>
            <w:pPr>
              <w:pStyle w:val="Compact"/>
              <w:jc w:val="left"/>
            </w:pPr>
            <w:r>
              <w:t xml:space="preserve">4.2M</w:t>
            </w:r>
          </w:p>
        </w:tc>
        <w:tc>
          <w:p>
            <w:pPr>
              <w:pStyle w:val="Compact"/>
              <w:jc w:val="left"/>
            </w:pPr>
            <w:r>
              <w:t xml:space="preserve">12.5M</w:t>
            </w:r>
          </w:p>
        </w:tc>
        <w:tc>
          <w:p>
            <w:pPr>
              <w:pStyle w:val="Compact"/>
              <w:jc w:val="left"/>
            </w:pPr>
            <w:r>
              <w:t xml:space="preserve">25.8M</w:t>
            </w:r>
          </w:p>
        </w:tc>
        <w:tc>
          <w:p>
            <w:pPr>
              <w:pStyle w:val="Compact"/>
              <w:jc w:val="left"/>
            </w:pPr>
            <w:r>
              <w:t xml:space="preserve">42.3M</w:t>
            </w:r>
          </w:p>
        </w:tc>
        <w:tc>
          <w:p>
            <w:pPr>
              <w:pStyle w:val="Compact"/>
              <w:jc w:val="left"/>
            </w:pPr>
            <w:r>
              <w:t xml:space="preserve">65.7M</w:t>
            </w:r>
          </w:p>
        </w:tc>
      </w:tr>
      <w:tr>
        <w:tc>
          <w:p>
            <w:pPr>
              <w:pStyle w:val="Compact"/>
              <w:jc w:val="left"/>
            </w:pPr>
            <w:r>
              <w:t xml:space="preserve">Fee Income</w:t>
            </w:r>
          </w:p>
        </w:tc>
        <w:tc>
          <w:p>
            <w:pPr>
              <w:pStyle w:val="Compact"/>
              <w:jc w:val="left"/>
            </w:pPr>
            <w:r>
              <w:t xml:space="preserve">3.8M</w:t>
            </w:r>
          </w:p>
        </w:tc>
        <w:tc>
          <w:p>
            <w:pPr>
              <w:pStyle w:val="Compact"/>
              <w:jc w:val="left"/>
            </w:pPr>
            <w:r>
              <w:t xml:space="preserve">9.6M</w:t>
            </w:r>
          </w:p>
        </w:tc>
        <w:tc>
          <w:p>
            <w:pPr>
              <w:pStyle w:val="Compact"/>
              <w:jc w:val="left"/>
            </w:pPr>
            <w:r>
              <w:t xml:space="preserve">18.4M</w:t>
            </w:r>
          </w:p>
        </w:tc>
        <w:tc>
          <w:p>
            <w:pPr>
              <w:pStyle w:val="Compact"/>
              <w:jc w:val="left"/>
            </w:pPr>
            <w:r>
              <w:t xml:space="preserve">29.5M</w:t>
            </w:r>
          </w:p>
        </w:tc>
        <w:tc>
          <w:p>
            <w:pPr>
              <w:pStyle w:val="Compact"/>
              <w:jc w:val="left"/>
            </w:pPr>
            <w:r>
              <w:t xml:space="preserve">42.8M</w:t>
            </w:r>
          </w:p>
        </w:tc>
      </w:tr>
      <w:tr>
        <w:tc>
          <w:p>
            <w:pPr>
              <w:pStyle w:val="Compact"/>
              <w:jc w:val="left"/>
            </w:pPr>
            <w:r>
              <w:t xml:space="preserve">Transaction Fees</w:t>
            </w:r>
          </w:p>
        </w:tc>
        <w:tc>
          <w:p>
            <w:pPr>
              <w:pStyle w:val="Compact"/>
              <w:jc w:val="left"/>
            </w:pPr>
            <w:r>
              <w:t xml:space="preserve">2.5M</w:t>
            </w:r>
          </w:p>
        </w:tc>
        <w:tc>
          <w:p>
            <w:pPr>
              <w:pStyle w:val="Compact"/>
              <w:jc w:val="left"/>
            </w:pPr>
            <w:r>
              <w:t xml:space="preserve">6.8M</w:t>
            </w:r>
          </w:p>
        </w:tc>
        <w:tc>
          <w:p>
            <w:pPr>
              <w:pStyle w:val="Compact"/>
              <w:jc w:val="left"/>
            </w:pPr>
            <w:r>
              <w:t xml:space="preserve">13.2M</w:t>
            </w:r>
          </w:p>
        </w:tc>
        <w:tc>
          <w:p>
            <w:pPr>
              <w:pStyle w:val="Compact"/>
              <w:jc w:val="left"/>
            </w:pPr>
            <w:r>
              <w:t xml:space="preserve">21.6M</w:t>
            </w:r>
          </w:p>
        </w:tc>
        <w:tc>
          <w:p>
            <w:pPr>
              <w:pStyle w:val="Compact"/>
              <w:jc w:val="left"/>
            </w:pPr>
            <w:r>
              <w:t xml:space="preserve">31.5M</w:t>
            </w:r>
          </w:p>
        </w:tc>
      </w:tr>
      <w:tr>
        <w:tc>
          <w:p>
            <w:pPr>
              <w:pStyle w:val="Compact"/>
              <w:jc w:val="left"/>
            </w:pPr>
            <w:r>
              <w:t xml:space="preserve">Premium Account Subscriptions</w:t>
            </w:r>
          </w:p>
        </w:tc>
        <w:tc>
          <w:p>
            <w:pPr>
              <w:pStyle w:val="Compact"/>
              <w:jc w:val="left"/>
            </w:pPr>
            <w:r>
              <w:t xml:space="preserve">1.2M</w:t>
            </w:r>
          </w:p>
        </w:tc>
        <w:tc>
          <w:p>
            <w:pPr>
              <w:pStyle w:val="Compact"/>
              <w:jc w:val="left"/>
            </w:pPr>
            <w:r>
              <w:t xml:space="preserve">3.5M</w:t>
            </w:r>
          </w:p>
        </w:tc>
        <w:tc>
          <w:p>
            <w:pPr>
              <w:pStyle w:val="Compact"/>
              <w:jc w:val="left"/>
            </w:pPr>
            <w:r>
              <w:t xml:space="preserve">7.8M</w:t>
            </w:r>
          </w:p>
        </w:tc>
        <w:tc>
          <w:p>
            <w:pPr>
              <w:pStyle w:val="Compact"/>
              <w:jc w:val="left"/>
            </w:pPr>
            <w:r>
              <w:t xml:space="preserve">13.4M</w:t>
            </w:r>
          </w:p>
        </w:tc>
        <w:tc>
          <w:p>
            <w:pPr>
              <w:pStyle w:val="Compact"/>
              <w:jc w:val="left"/>
            </w:pPr>
            <w:r>
              <w:t xml:space="preserve">20.6M</w:t>
            </w:r>
          </w:p>
        </w:tc>
      </w:tr>
      <w:tr>
        <w:tc>
          <w:p>
            <w:pPr>
              <w:pStyle w:val="Compact"/>
              <w:jc w:val="left"/>
            </w:pPr>
            <w:r>
              <w:t xml:space="preserve">Advisory Services</w:t>
            </w:r>
          </w:p>
        </w:tc>
        <w:tc>
          <w:p>
            <w:pPr>
              <w:pStyle w:val="Compact"/>
              <w:jc w:val="left"/>
            </w:pPr>
            <w:r>
              <w:t xml:space="preserve">0.5M</w:t>
            </w:r>
          </w:p>
        </w:tc>
        <w:tc>
          <w:p>
            <w:pPr>
              <w:pStyle w:val="Compact"/>
              <w:jc w:val="left"/>
            </w:pPr>
            <w:r>
              <w:t xml:space="preserve">2.2M</w:t>
            </w:r>
          </w:p>
        </w:tc>
        <w:tc>
          <w:p>
            <w:pPr>
              <w:pStyle w:val="Compact"/>
              <w:jc w:val="left"/>
            </w:pPr>
            <w:r>
              <w:t xml:space="preserve">5.6M</w:t>
            </w:r>
          </w:p>
        </w:tc>
        <w:tc>
          <w:p>
            <w:pPr>
              <w:pStyle w:val="Compact"/>
              <w:jc w:val="left"/>
            </w:pPr>
            <w:r>
              <w:t xml:space="preserve">10.2M</w:t>
            </w:r>
          </w:p>
        </w:tc>
        <w:tc>
          <w:p>
            <w:pPr>
              <w:pStyle w:val="Compact"/>
              <w:jc w:val="left"/>
            </w:pPr>
            <w:r>
              <w:t xml:space="preserve">16.8M</w:t>
            </w:r>
          </w:p>
        </w:tc>
      </w:tr>
      <w:tr>
        <w:tc>
          <w:p>
            <w:pPr>
              <w:pStyle w:val="Compact"/>
              <w:jc w:val="left"/>
            </w:pPr>
            <w:r>
              <w:t xml:space="preserve">Other Income</w:t>
            </w:r>
          </w:p>
        </w:tc>
        <w:tc>
          <w:p>
            <w:pPr>
              <w:pStyle w:val="Compact"/>
              <w:jc w:val="left"/>
            </w:pPr>
            <w:r>
              <w:t xml:space="preserve">0.3M</w:t>
            </w:r>
          </w:p>
        </w:tc>
        <w:tc>
          <w:p>
            <w:pPr>
              <w:pStyle w:val="Compact"/>
              <w:jc w:val="left"/>
            </w:pPr>
            <w:r>
              <w:t xml:space="preserve">1.2M</w:t>
            </w:r>
          </w:p>
        </w:tc>
        <w:tc>
          <w:p>
            <w:pPr>
              <w:pStyle w:val="Compact"/>
              <w:jc w:val="left"/>
            </w:pPr>
            <w:r>
              <w:t xml:space="preserve">2.8M</w:t>
            </w:r>
          </w:p>
        </w:tc>
        <w:tc>
          <w:p>
            <w:pPr>
              <w:pStyle w:val="Compact"/>
              <w:jc w:val="left"/>
            </w:pPr>
            <w:r>
              <w:t xml:space="preserve">4.8M</w:t>
            </w:r>
          </w:p>
        </w:tc>
        <w:tc>
          <w:p>
            <w:pPr>
              <w:pStyle w:val="Compact"/>
              <w:jc w:val="left"/>
            </w:pPr>
            <w:r>
              <w:t xml:space="preserve">7.6M</w:t>
            </w:r>
          </w:p>
        </w:tc>
      </w:tr>
      <w:tr>
        <w:tc>
          <w:p>
            <w:pPr>
              <w:pStyle w:val="Compact"/>
              <w:jc w:val="left"/>
            </w:pPr>
            <w:r>
              <w:rPr>
                <w:b/>
              </w:rPr>
              <w:t xml:space="preserve">Total Revenue</w:t>
            </w:r>
          </w:p>
        </w:tc>
        <w:tc>
          <w:p>
            <w:pPr>
              <w:pStyle w:val="Compact"/>
              <w:jc w:val="left"/>
            </w:pPr>
            <w:r>
              <w:rPr>
                <w:b/>
              </w:rPr>
              <w:t xml:space="preserve">12.5M</w:t>
            </w:r>
          </w:p>
        </w:tc>
        <w:tc>
          <w:p>
            <w:pPr>
              <w:pStyle w:val="Compact"/>
              <w:jc w:val="left"/>
            </w:pPr>
            <w:r>
              <w:rPr>
                <w:b/>
              </w:rPr>
              <w:t xml:space="preserve">35.8M</w:t>
            </w:r>
          </w:p>
        </w:tc>
        <w:tc>
          <w:p>
            <w:pPr>
              <w:pStyle w:val="Compact"/>
              <w:jc w:val="left"/>
            </w:pPr>
            <w:r>
              <w:rPr>
                <w:b/>
              </w:rPr>
              <w:t xml:space="preserve">73.6M</w:t>
            </w:r>
          </w:p>
        </w:tc>
        <w:tc>
          <w:p>
            <w:pPr>
              <w:pStyle w:val="Compact"/>
              <w:jc w:val="left"/>
            </w:pPr>
            <w:r>
              <w:rPr>
                <w:b/>
              </w:rPr>
              <w:t xml:space="preserve">121.8M</w:t>
            </w:r>
          </w:p>
        </w:tc>
        <w:tc>
          <w:p>
            <w:pPr>
              <w:pStyle w:val="Compact"/>
              <w:jc w:val="left"/>
            </w:pPr>
            <w:r>
              <w:rPr>
                <w:b/>
              </w:rPr>
              <w:t xml:space="preserve">185.0M</w:t>
            </w:r>
          </w:p>
        </w:tc>
      </w:tr>
    </w:tbl>
    <w:p>
      <w:pPr>
        <w:pStyle w:val="Heading3"/>
      </w:pPr>
      <w:bookmarkStart w:id="52" w:name="operating-expenses"/>
      <w:r>
        <w:t xml:space="preserve">Operating Expenses</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Expense Category</w:t>
            </w:r>
          </w:p>
        </w:tc>
        <w:tc>
          <w:tcPr>
            <w:tcBorders>
              <w:bottom w:val="single"/>
            </w:tcBorders>
            <w:vAlign w:val="bottom"/>
          </w:tcPr>
          <w:p>
            <w:pPr>
              <w:pStyle w:val="Compact"/>
              <w:jc w:val="left"/>
            </w:pPr>
            <w:r>
              <w:t xml:space="preserve">Year 1</w:t>
            </w:r>
          </w:p>
        </w:tc>
        <w:tc>
          <w:tcPr>
            <w:tcBorders>
              <w:bottom w:val="single"/>
            </w:tcBorders>
            <w:vAlign w:val="bottom"/>
          </w:tcPr>
          <w:p>
            <w:pPr>
              <w:pStyle w:val="Compact"/>
              <w:jc w:val="left"/>
            </w:pPr>
            <w:r>
              <w:t xml:space="preserve">Year 2</w:t>
            </w:r>
          </w:p>
        </w:tc>
        <w:tc>
          <w:tcPr>
            <w:tcBorders>
              <w:bottom w:val="single"/>
            </w:tcBorders>
            <w:vAlign w:val="bottom"/>
          </w:tcPr>
          <w:p>
            <w:pPr>
              <w:pStyle w:val="Compact"/>
              <w:jc w:val="left"/>
            </w:pPr>
            <w:r>
              <w:t xml:space="preserve">Year 3</w:t>
            </w:r>
          </w:p>
        </w:tc>
        <w:tc>
          <w:tcPr>
            <w:tcBorders>
              <w:bottom w:val="single"/>
            </w:tcBorders>
            <w:vAlign w:val="bottom"/>
          </w:tcPr>
          <w:p>
            <w:pPr>
              <w:pStyle w:val="Compact"/>
              <w:jc w:val="left"/>
            </w:pPr>
            <w:r>
              <w:t xml:space="preserve">Year 4</w:t>
            </w:r>
          </w:p>
        </w:tc>
        <w:tc>
          <w:tcPr>
            <w:tcBorders>
              <w:bottom w:val="single"/>
            </w:tcBorders>
            <w:vAlign w:val="bottom"/>
          </w:tcPr>
          <w:p>
            <w:pPr>
              <w:pStyle w:val="Compact"/>
              <w:jc w:val="left"/>
            </w:pPr>
            <w:r>
              <w:t xml:space="preserve">Year 5</w:t>
            </w:r>
          </w:p>
        </w:tc>
      </w:tr>
      <w:tr>
        <w:tc>
          <w:p>
            <w:pPr>
              <w:pStyle w:val="Compact"/>
              <w:jc w:val="left"/>
            </w:pPr>
            <w:r>
              <w:t xml:space="preserve">Personnel</w:t>
            </w:r>
          </w:p>
        </w:tc>
        <w:tc>
          <w:p>
            <w:pPr>
              <w:pStyle w:val="Compact"/>
              <w:jc w:val="left"/>
            </w:pPr>
            <w:r>
              <w:t xml:space="preserve">14.2M</w:t>
            </w:r>
          </w:p>
        </w:tc>
        <w:tc>
          <w:p>
            <w:pPr>
              <w:pStyle w:val="Compact"/>
              <w:jc w:val="left"/>
            </w:pPr>
            <w:r>
              <w:t xml:space="preserve">18.6M</w:t>
            </w:r>
          </w:p>
        </w:tc>
        <w:tc>
          <w:p>
            <w:pPr>
              <w:pStyle w:val="Compact"/>
              <w:jc w:val="left"/>
            </w:pPr>
            <w:r>
              <w:t xml:space="preserve">24.5M</w:t>
            </w:r>
          </w:p>
        </w:tc>
        <w:tc>
          <w:p>
            <w:pPr>
              <w:pStyle w:val="Compact"/>
              <w:jc w:val="left"/>
            </w:pPr>
            <w:r>
              <w:t xml:space="preserve">30.2M</w:t>
            </w:r>
          </w:p>
        </w:tc>
        <w:tc>
          <w:p>
            <w:pPr>
              <w:pStyle w:val="Compact"/>
              <w:jc w:val="left"/>
            </w:pPr>
            <w:r>
              <w:t xml:space="preserve">36.8M</w:t>
            </w:r>
          </w:p>
        </w:tc>
      </w:tr>
      <w:tr>
        <w:tc>
          <w:p>
            <w:pPr>
              <w:pStyle w:val="Compact"/>
              <w:jc w:val="left"/>
            </w:pPr>
            <w:r>
              <w:t xml:space="preserve">Technology &amp; Operations</w:t>
            </w:r>
          </w:p>
        </w:tc>
        <w:tc>
          <w:p>
            <w:pPr>
              <w:pStyle w:val="Compact"/>
              <w:jc w:val="left"/>
            </w:pPr>
            <w:r>
              <w:t xml:space="preserve">8.5M</w:t>
            </w:r>
          </w:p>
        </w:tc>
        <w:tc>
          <w:p>
            <w:pPr>
              <w:pStyle w:val="Compact"/>
              <w:jc w:val="left"/>
            </w:pPr>
            <w:r>
              <w:t xml:space="preserve">10.2M</w:t>
            </w:r>
          </w:p>
        </w:tc>
        <w:tc>
          <w:p>
            <w:pPr>
              <w:pStyle w:val="Compact"/>
              <w:jc w:val="left"/>
            </w:pPr>
            <w:r>
              <w:t xml:space="preserve">12.8M</w:t>
            </w:r>
          </w:p>
        </w:tc>
        <w:tc>
          <w:p>
            <w:pPr>
              <w:pStyle w:val="Compact"/>
              <w:jc w:val="left"/>
            </w:pPr>
            <w:r>
              <w:t xml:space="preserve">15.6M</w:t>
            </w:r>
          </w:p>
        </w:tc>
        <w:tc>
          <w:p>
            <w:pPr>
              <w:pStyle w:val="Compact"/>
              <w:jc w:val="left"/>
            </w:pPr>
            <w:r>
              <w:t xml:space="preserve">18.5M</w:t>
            </w:r>
          </w:p>
        </w:tc>
      </w:tr>
      <w:tr>
        <w:tc>
          <w:p>
            <w:pPr>
              <w:pStyle w:val="Compact"/>
              <w:jc w:val="left"/>
            </w:pPr>
            <w:r>
              <w:t xml:space="preserve">Marketing &amp; Customer Acquisition</w:t>
            </w:r>
          </w:p>
        </w:tc>
        <w:tc>
          <w:p>
            <w:pPr>
              <w:pStyle w:val="Compact"/>
              <w:jc w:val="left"/>
            </w:pPr>
            <w:r>
              <w:t xml:space="preserve">8.5M</w:t>
            </w:r>
          </w:p>
        </w:tc>
        <w:tc>
          <w:p>
            <w:pPr>
              <w:pStyle w:val="Compact"/>
              <w:jc w:val="left"/>
            </w:pPr>
            <w:r>
              <w:t xml:space="preserve">7.5M</w:t>
            </w:r>
          </w:p>
        </w:tc>
        <w:tc>
          <w:p>
            <w:pPr>
              <w:pStyle w:val="Compact"/>
              <w:jc w:val="left"/>
            </w:pPr>
            <w:r>
              <w:t xml:space="preserve">6.5M</w:t>
            </w:r>
          </w:p>
        </w:tc>
        <w:tc>
          <w:p>
            <w:pPr>
              <w:pStyle w:val="Compact"/>
              <w:jc w:val="left"/>
            </w:pPr>
            <w:r>
              <w:t xml:space="preserve">7.2M</w:t>
            </w:r>
          </w:p>
        </w:tc>
        <w:tc>
          <w:p>
            <w:pPr>
              <w:pStyle w:val="Compact"/>
              <w:jc w:val="left"/>
            </w:pPr>
            <w:r>
              <w:t xml:space="preserve">8.0M</w:t>
            </w:r>
          </w:p>
        </w:tc>
      </w:tr>
      <w:tr>
        <w:tc>
          <w:p>
            <w:pPr>
              <w:pStyle w:val="Compact"/>
              <w:jc w:val="left"/>
            </w:pPr>
            <w:r>
              <w:t xml:space="preserve">Facilities</w:t>
            </w:r>
          </w:p>
        </w:tc>
        <w:tc>
          <w:p>
            <w:pPr>
              <w:pStyle w:val="Compact"/>
              <w:jc w:val="left"/>
            </w:pPr>
            <w:r>
              <w:t xml:space="preserve">2.2M</w:t>
            </w:r>
          </w:p>
        </w:tc>
        <w:tc>
          <w:p>
            <w:pPr>
              <w:pStyle w:val="Compact"/>
              <w:jc w:val="left"/>
            </w:pPr>
            <w:r>
              <w:t xml:space="preserve">2.5M</w:t>
            </w:r>
          </w:p>
        </w:tc>
        <w:tc>
          <w:p>
            <w:pPr>
              <w:pStyle w:val="Compact"/>
              <w:jc w:val="left"/>
            </w:pPr>
            <w:r>
              <w:t xml:space="preserve">2.8M</w:t>
            </w:r>
          </w:p>
        </w:tc>
        <w:tc>
          <w:p>
            <w:pPr>
              <w:pStyle w:val="Compact"/>
              <w:jc w:val="left"/>
            </w:pPr>
            <w:r>
              <w:t xml:space="preserve">3.2M</w:t>
            </w:r>
          </w:p>
        </w:tc>
        <w:tc>
          <w:p>
            <w:pPr>
              <w:pStyle w:val="Compact"/>
              <w:jc w:val="left"/>
            </w:pPr>
            <w:r>
              <w:t xml:space="preserve">3.6M</w:t>
            </w:r>
          </w:p>
        </w:tc>
      </w:tr>
      <w:tr>
        <w:tc>
          <w:p>
            <w:pPr>
              <w:pStyle w:val="Compact"/>
              <w:jc w:val="left"/>
            </w:pPr>
            <w:r>
              <w:t xml:space="preserve">Regulatory &amp; Compliance</w:t>
            </w:r>
          </w:p>
        </w:tc>
        <w:tc>
          <w:p>
            <w:pPr>
              <w:pStyle w:val="Compact"/>
              <w:jc w:val="left"/>
            </w:pPr>
            <w:r>
              <w:t xml:space="preserve">3.5M</w:t>
            </w:r>
          </w:p>
        </w:tc>
        <w:tc>
          <w:p>
            <w:pPr>
              <w:pStyle w:val="Compact"/>
              <w:jc w:val="left"/>
            </w:pPr>
            <w:r>
              <w:t xml:space="preserve">4.2M</w:t>
            </w:r>
          </w:p>
        </w:tc>
        <w:tc>
          <w:p>
            <w:pPr>
              <w:pStyle w:val="Compact"/>
              <w:jc w:val="left"/>
            </w:pPr>
            <w:r>
              <w:t xml:space="preserve">4.8M</w:t>
            </w:r>
          </w:p>
        </w:tc>
        <w:tc>
          <w:p>
            <w:pPr>
              <w:pStyle w:val="Compact"/>
              <w:jc w:val="left"/>
            </w:pPr>
            <w:r>
              <w:t xml:space="preserve">5.5M</w:t>
            </w:r>
          </w:p>
        </w:tc>
        <w:tc>
          <w:p>
            <w:pPr>
              <w:pStyle w:val="Compact"/>
              <w:jc w:val="left"/>
            </w:pPr>
            <w:r>
              <w:t xml:space="preserve">6.2M</w:t>
            </w:r>
          </w:p>
        </w:tc>
      </w:tr>
      <w:tr>
        <w:tc>
          <w:p>
            <w:pPr>
              <w:pStyle w:val="Compact"/>
              <w:jc w:val="left"/>
            </w:pPr>
            <w:r>
              <w:t xml:space="preserve">Other Operating Expenses</w:t>
            </w:r>
          </w:p>
        </w:tc>
        <w:tc>
          <w:p>
            <w:pPr>
              <w:pStyle w:val="Compact"/>
              <w:jc w:val="left"/>
            </w:pPr>
            <w:r>
              <w:t xml:space="preserve">2.8M</w:t>
            </w:r>
          </w:p>
        </w:tc>
        <w:tc>
          <w:p>
            <w:pPr>
              <w:pStyle w:val="Compact"/>
              <w:jc w:val="left"/>
            </w:pPr>
            <w:r>
              <w:t xml:space="preserve">3.6M</w:t>
            </w:r>
          </w:p>
        </w:tc>
        <w:tc>
          <w:p>
            <w:pPr>
              <w:pStyle w:val="Compact"/>
              <w:jc w:val="left"/>
            </w:pPr>
            <w:r>
              <w:t xml:space="preserve">4.5M</w:t>
            </w:r>
          </w:p>
        </w:tc>
        <w:tc>
          <w:p>
            <w:pPr>
              <w:pStyle w:val="Compact"/>
              <w:jc w:val="left"/>
            </w:pPr>
            <w:r>
              <w:t xml:space="preserve">5.4M</w:t>
            </w:r>
          </w:p>
        </w:tc>
        <w:tc>
          <w:p>
            <w:pPr>
              <w:pStyle w:val="Compact"/>
              <w:jc w:val="left"/>
            </w:pPr>
            <w:r>
              <w:t xml:space="preserve">6.5M</w:t>
            </w:r>
          </w:p>
        </w:tc>
      </w:tr>
      <w:tr>
        <w:tc>
          <w:p>
            <w:pPr>
              <w:pStyle w:val="Compact"/>
              <w:jc w:val="left"/>
            </w:pPr>
            <w:r>
              <w:rPr>
                <w:b/>
              </w:rPr>
              <w:t xml:space="preserve">Total Operating Expenses</w:t>
            </w:r>
          </w:p>
        </w:tc>
        <w:tc>
          <w:p>
            <w:pPr>
              <w:pStyle w:val="Compact"/>
              <w:jc w:val="left"/>
            </w:pPr>
            <w:r>
              <w:rPr>
                <w:b/>
              </w:rPr>
              <w:t xml:space="preserve">39.7M</w:t>
            </w:r>
          </w:p>
        </w:tc>
        <w:tc>
          <w:p>
            <w:pPr>
              <w:pStyle w:val="Compact"/>
              <w:jc w:val="left"/>
            </w:pPr>
            <w:r>
              <w:rPr>
                <w:b/>
              </w:rPr>
              <w:t xml:space="preserve">46.6M</w:t>
            </w:r>
          </w:p>
        </w:tc>
        <w:tc>
          <w:p>
            <w:pPr>
              <w:pStyle w:val="Compact"/>
              <w:jc w:val="left"/>
            </w:pPr>
            <w:r>
              <w:rPr>
                <w:b/>
              </w:rPr>
              <w:t xml:space="preserve">55.9M</w:t>
            </w:r>
          </w:p>
        </w:tc>
        <w:tc>
          <w:p>
            <w:pPr>
              <w:pStyle w:val="Compact"/>
              <w:jc w:val="left"/>
            </w:pPr>
            <w:r>
              <w:rPr>
                <w:b/>
              </w:rPr>
              <w:t xml:space="preserve">67.1M</w:t>
            </w:r>
          </w:p>
        </w:tc>
        <w:tc>
          <w:p>
            <w:pPr>
              <w:pStyle w:val="Compact"/>
              <w:jc w:val="left"/>
            </w:pPr>
            <w:r>
              <w:rPr>
                <w:b/>
              </w:rPr>
              <w:t xml:space="preserve">79.6M</w:t>
            </w:r>
          </w:p>
        </w:tc>
      </w:tr>
    </w:tbl>
    <w:p>
      <w:pPr>
        <w:pStyle w:val="Heading3"/>
      </w:pPr>
      <w:bookmarkStart w:id="53" w:name="profitability-forecast"/>
      <w:r>
        <w:t xml:space="preserve">Profitability Forecast</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Year 1</w:t>
            </w:r>
          </w:p>
        </w:tc>
        <w:tc>
          <w:tcPr>
            <w:tcBorders>
              <w:bottom w:val="single"/>
            </w:tcBorders>
            <w:vAlign w:val="bottom"/>
          </w:tcPr>
          <w:p>
            <w:pPr>
              <w:pStyle w:val="Compact"/>
              <w:jc w:val="left"/>
            </w:pPr>
            <w:r>
              <w:t xml:space="preserve">Year 2</w:t>
            </w:r>
          </w:p>
        </w:tc>
        <w:tc>
          <w:tcPr>
            <w:tcBorders>
              <w:bottom w:val="single"/>
            </w:tcBorders>
            <w:vAlign w:val="bottom"/>
          </w:tcPr>
          <w:p>
            <w:pPr>
              <w:pStyle w:val="Compact"/>
              <w:jc w:val="left"/>
            </w:pPr>
            <w:r>
              <w:t xml:space="preserve">Year 3</w:t>
            </w:r>
          </w:p>
        </w:tc>
        <w:tc>
          <w:tcPr>
            <w:tcBorders>
              <w:bottom w:val="single"/>
            </w:tcBorders>
            <w:vAlign w:val="bottom"/>
          </w:tcPr>
          <w:p>
            <w:pPr>
              <w:pStyle w:val="Compact"/>
              <w:jc w:val="left"/>
            </w:pPr>
            <w:r>
              <w:t xml:space="preserve">Year 4</w:t>
            </w:r>
          </w:p>
        </w:tc>
        <w:tc>
          <w:tcPr>
            <w:tcBorders>
              <w:bottom w:val="single"/>
            </w:tcBorders>
            <w:vAlign w:val="bottom"/>
          </w:tcPr>
          <w:p>
            <w:pPr>
              <w:pStyle w:val="Compact"/>
              <w:jc w:val="left"/>
            </w:pPr>
            <w:r>
              <w:t xml:space="preserve">Year 5</w:t>
            </w:r>
          </w:p>
        </w:tc>
      </w:tr>
      <w:tr>
        <w:tc>
          <w:p>
            <w:pPr>
              <w:pStyle w:val="Compact"/>
              <w:jc w:val="left"/>
            </w:pPr>
            <w:r>
              <w:t xml:space="preserve">Total Revenue</w:t>
            </w:r>
          </w:p>
        </w:tc>
        <w:tc>
          <w:p>
            <w:pPr>
              <w:pStyle w:val="Compact"/>
              <w:jc w:val="left"/>
            </w:pPr>
            <w:r>
              <w:t xml:space="preserve">12.5M</w:t>
            </w:r>
          </w:p>
        </w:tc>
        <w:tc>
          <w:p>
            <w:pPr>
              <w:pStyle w:val="Compact"/>
              <w:jc w:val="left"/>
            </w:pPr>
            <w:r>
              <w:t xml:space="preserve">35.8M</w:t>
            </w:r>
          </w:p>
        </w:tc>
        <w:tc>
          <w:p>
            <w:pPr>
              <w:pStyle w:val="Compact"/>
              <w:jc w:val="left"/>
            </w:pPr>
            <w:r>
              <w:t xml:space="preserve">73.6M</w:t>
            </w:r>
          </w:p>
        </w:tc>
        <w:tc>
          <w:p>
            <w:pPr>
              <w:pStyle w:val="Compact"/>
              <w:jc w:val="left"/>
            </w:pPr>
            <w:r>
              <w:t xml:space="preserve">121.8M</w:t>
            </w:r>
          </w:p>
        </w:tc>
        <w:tc>
          <w:p>
            <w:pPr>
              <w:pStyle w:val="Compact"/>
              <w:jc w:val="left"/>
            </w:pPr>
            <w:r>
              <w:t xml:space="preserve">185.0M</w:t>
            </w:r>
          </w:p>
        </w:tc>
      </w:tr>
      <w:tr>
        <w:tc>
          <w:p>
            <w:pPr>
              <w:pStyle w:val="Compact"/>
              <w:jc w:val="left"/>
            </w:pPr>
            <w:r>
              <w:t xml:space="preserve">Total Expenses</w:t>
            </w:r>
          </w:p>
        </w:tc>
        <w:tc>
          <w:p>
            <w:pPr>
              <w:pStyle w:val="Compact"/>
              <w:jc w:val="left"/>
            </w:pPr>
            <w:r>
              <w:t xml:space="preserve">39.7M</w:t>
            </w:r>
          </w:p>
        </w:tc>
        <w:tc>
          <w:p>
            <w:pPr>
              <w:pStyle w:val="Compact"/>
              <w:jc w:val="left"/>
            </w:pPr>
            <w:r>
              <w:t xml:space="preserve">46.6M</w:t>
            </w:r>
          </w:p>
        </w:tc>
        <w:tc>
          <w:p>
            <w:pPr>
              <w:pStyle w:val="Compact"/>
              <w:jc w:val="left"/>
            </w:pPr>
            <w:r>
              <w:t xml:space="preserve">55.9M</w:t>
            </w:r>
          </w:p>
        </w:tc>
        <w:tc>
          <w:p>
            <w:pPr>
              <w:pStyle w:val="Compact"/>
              <w:jc w:val="left"/>
            </w:pPr>
            <w:r>
              <w:t xml:space="preserve">67.1M</w:t>
            </w:r>
          </w:p>
        </w:tc>
        <w:tc>
          <w:p>
            <w:pPr>
              <w:pStyle w:val="Compact"/>
              <w:jc w:val="left"/>
            </w:pPr>
            <w:r>
              <w:t xml:space="preserve">79.6M</w:t>
            </w:r>
          </w:p>
        </w:tc>
      </w:tr>
      <w:tr>
        <w:tc>
          <w:p>
            <w:pPr>
              <w:pStyle w:val="Compact"/>
              <w:jc w:val="left"/>
            </w:pPr>
            <w:r>
              <w:rPr>
                <w:b/>
              </w:rPr>
              <w:t xml:space="preserve">Net Profit/Loss</w:t>
            </w:r>
          </w:p>
        </w:tc>
        <w:tc>
          <w:p>
            <w:pPr>
              <w:pStyle w:val="Compact"/>
              <w:jc w:val="left"/>
            </w:pPr>
            <w:r>
              <w:rPr>
                <w:b/>
              </w:rPr>
              <w:t xml:space="preserve">-27.2M</w:t>
            </w:r>
          </w:p>
        </w:tc>
        <w:tc>
          <w:p>
            <w:pPr>
              <w:pStyle w:val="Compact"/>
              <w:jc w:val="left"/>
            </w:pPr>
            <w:r>
              <w:rPr>
                <w:b/>
              </w:rPr>
              <w:t xml:space="preserve">-10.8M</w:t>
            </w:r>
          </w:p>
        </w:tc>
        <w:tc>
          <w:p>
            <w:pPr>
              <w:pStyle w:val="Compact"/>
              <w:jc w:val="left"/>
            </w:pPr>
            <w:r>
              <w:rPr>
                <w:b/>
              </w:rPr>
              <w:t xml:space="preserve">17.7M</w:t>
            </w:r>
          </w:p>
        </w:tc>
        <w:tc>
          <w:p>
            <w:pPr>
              <w:pStyle w:val="Compact"/>
              <w:jc w:val="left"/>
            </w:pPr>
            <w:r>
              <w:rPr>
                <w:b/>
              </w:rPr>
              <w:t xml:space="preserve">54.7M</w:t>
            </w:r>
          </w:p>
        </w:tc>
        <w:tc>
          <w:p>
            <w:pPr>
              <w:pStyle w:val="Compact"/>
              <w:jc w:val="left"/>
            </w:pPr>
            <w:r>
              <w:rPr>
                <w:b/>
              </w:rPr>
              <w:t xml:space="preserve">105.4M</w:t>
            </w:r>
          </w:p>
        </w:tc>
      </w:tr>
      <w:tr>
        <w:tc>
          <w:p>
            <w:pPr>
              <w:pStyle w:val="Compact"/>
              <w:jc w:val="left"/>
            </w:pPr>
            <w:r>
              <w:t xml:space="preserve">Profit Margin</w:t>
            </w:r>
          </w:p>
        </w:tc>
        <w:tc>
          <w:p>
            <w:pPr>
              <w:pStyle w:val="Compact"/>
              <w:jc w:val="left"/>
            </w:pPr>
            <w:r>
              <w:t xml:space="preserve">-217.6%</w:t>
            </w:r>
          </w:p>
        </w:tc>
        <w:tc>
          <w:p>
            <w:pPr>
              <w:pStyle w:val="Compact"/>
              <w:jc w:val="left"/>
            </w:pPr>
            <w:r>
              <w:t xml:space="preserve">-30.2%</w:t>
            </w:r>
          </w:p>
        </w:tc>
        <w:tc>
          <w:p>
            <w:pPr>
              <w:pStyle w:val="Compact"/>
              <w:jc w:val="left"/>
            </w:pPr>
            <w:r>
              <w:t xml:space="preserve">24.0%</w:t>
            </w:r>
          </w:p>
        </w:tc>
        <w:tc>
          <w:p>
            <w:pPr>
              <w:pStyle w:val="Compact"/>
              <w:jc w:val="left"/>
            </w:pPr>
            <w:r>
              <w:t xml:space="preserve">44.9%</w:t>
            </w:r>
          </w:p>
        </w:tc>
        <w:tc>
          <w:p>
            <w:pPr>
              <w:pStyle w:val="Compact"/>
              <w:jc w:val="left"/>
            </w:pPr>
            <w:r>
              <w:t xml:space="preserve">57.0%</w:t>
            </w:r>
          </w:p>
        </w:tc>
      </w:tr>
      <w:tr>
        <w:tc>
          <w:p>
            <w:pPr>
              <w:pStyle w:val="Compact"/>
              <w:jc w:val="left"/>
            </w:pPr>
            <w:r>
              <w:t xml:space="preserve">Cumulative Profit/Loss</w:t>
            </w:r>
          </w:p>
        </w:tc>
        <w:tc>
          <w:p>
            <w:pPr>
              <w:pStyle w:val="Compact"/>
              <w:jc w:val="left"/>
            </w:pPr>
            <w:r>
              <w:t xml:space="preserve">-27.2M</w:t>
            </w:r>
          </w:p>
        </w:tc>
        <w:tc>
          <w:p>
            <w:pPr>
              <w:pStyle w:val="Compact"/>
              <w:jc w:val="left"/>
            </w:pPr>
            <w:r>
              <w:t xml:space="preserve">-38.0M</w:t>
            </w:r>
          </w:p>
        </w:tc>
        <w:tc>
          <w:p>
            <w:pPr>
              <w:pStyle w:val="Compact"/>
              <w:jc w:val="left"/>
            </w:pPr>
            <w:r>
              <w:t xml:space="preserve">-20.3M</w:t>
            </w:r>
          </w:p>
        </w:tc>
        <w:tc>
          <w:p>
            <w:pPr>
              <w:pStyle w:val="Compact"/>
              <w:jc w:val="left"/>
            </w:pPr>
            <w:r>
              <w:t xml:space="preserve">34.4M</w:t>
            </w:r>
          </w:p>
        </w:tc>
        <w:tc>
          <w:p>
            <w:pPr>
              <w:pStyle w:val="Compact"/>
              <w:jc w:val="left"/>
            </w:pPr>
            <w:r>
              <w:t xml:space="preserve">139.8M</w:t>
            </w:r>
          </w:p>
        </w:tc>
      </w:tr>
    </w:tbl>
    <w:p>
      <w:pPr>
        <w:pStyle w:val="Heading3"/>
      </w:pPr>
      <w:bookmarkStart w:id="54" w:name="key-performance-indicators"/>
      <w:r>
        <w:t xml:space="preserve">Key Performance Indicators</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Year 1</w:t>
            </w:r>
          </w:p>
        </w:tc>
        <w:tc>
          <w:tcPr>
            <w:tcBorders>
              <w:bottom w:val="single"/>
            </w:tcBorders>
            <w:vAlign w:val="bottom"/>
          </w:tcPr>
          <w:p>
            <w:pPr>
              <w:pStyle w:val="Compact"/>
              <w:jc w:val="left"/>
            </w:pPr>
            <w:r>
              <w:t xml:space="preserve">Year 2</w:t>
            </w:r>
          </w:p>
        </w:tc>
        <w:tc>
          <w:tcPr>
            <w:tcBorders>
              <w:bottom w:val="single"/>
            </w:tcBorders>
            <w:vAlign w:val="bottom"/>
          </w:tcPr>
          <w:p>
            <w:pPr>
              <w:pStyle w:val="Compact"/>
              <w:jc w:val="left"/>
            </w:pPr>
            <w:r>
              <w:t xml:space="preserve">Year 3</w:t>
            </w:r>
          </w:p>
        </w:tc>
        <w:tc>
          <w:tcPr>
            <w:tcBorders>
              <w:bottom w:val="single"/>
            </w:tcBorders>
            <w:vAlign w:val="bottom"/>
          </w:tcPr>
          <w:p>
            <w:pPr>
              <w:pStyle w:val="Compact"/>
              <w:jc w:val="left"/>
            </w:pPr>
            <w:r>
              <w:t xml:space="preserve">Year 4</w:t>
            </w:r>
          </w:p>
        </w:tc>
        <w:tc>
          <w:tcPr>
            <w:tcBorders>
              <w:bottom w:val="single"/>
            </w:tcBorders>
            <w:vAlign w:val="bottom"/>
          </w:tcPr>
          <w:p>
            <w:pPr>
              <w:pStyle w:val="Compact"/>
              <w:jc w:val="left"/>
            </w:pPr>
            <w:r>
              <w:t xml:space="preserve">Year 5</w:t>
            </w:r>
          </w:p>
        </w:tc>
      </w:tr>
      <w:tr>
        <w:tc>
          <w:p>
            <w:pPr>
              <w:pStyle w:val="Compact"/>
              <w:jc w:val="left"/>
            </w:pPr>
            <w:r>
              <w:t xml:space="preserve">Customer Accounts</w:t>
            </w:r>
          </w:p>
        </w:tc>
        <w:tc>
          <w:p>
            <w:pPr>
              <w:pStyle w:val="Compact"/>
              <w:jc w:val="left"/>
            </w:pPr>
            <w:r>
              <w:t xml:space="preserve">50,000</w:t>
            </w:r>
          </w:p>
        </w:tc>
        <w:tc>
          <w:p>
            <w:pPr>
              <w:pStyle w:val="Compact"/>
              <w:jc w:val="left"/>
            </w:pPr>
            <w:r>
              <w:t xml:space="preserve">95,000</w:t>
            </w:r>
          </w:p>
        </w:tc>
        <w:tc>
          <w:p>
            <w:pPr>
              <w:pStyle w:val="Compact"/>
              <w:jc w:val="left"/>
            </w:pPr>
            <w:r>
              <w:t xml:space="preserve">150,000</w:t>
            </w:r>
          </w:p>
        </w:tc>
        <w:tc>
          <w:p>
            <w:pPr>
              <w:pStyle w:val="Compact"/>
              <w:jc w:val="left"/>
            </w:pPr>
            <w:r>
              <w:t xml:space="preserve">200,000</w:t>
            </w:r>
          </w:p>
        </w:tc>
        <w:tc>
          <w:p>
            <w:pPr>
              <w:pStyle w:val="Compact"/>
              <w:jc w:val="left"/>
            </w:pPr>
            <w:r>
              <w:t xml:space="preserve">250,000</w:t>
            </w:r>
          </w:p>
        </w:tc>
      </w:tr>
      <w:tr>
        <w:tc>
          <w:p>
            <w:pPr>
              <w:pStyle w:val="Compact"/>
              <w:jc w:val="left"/>
            </w:pPr>
            <w:r>
              <w:t xml:space="preserve">Average Revenue per User (ARPU)</w:t>
            </w:r>
          </w:p>
        </w:tc>
        <w:tc>
          <w:p>
            <w:pPr>
              <w:pStyle w:val="Compact"/>
              <w:jc w:val="left"/>
            </w:pPr>
            <w:r>
              <w:t xml:space="preserve">€250</w:t>
            </w:r>
          </w:p>
        </w:tc>
        <w:tc>
          <w:p>
            <w:pPr>
              <w:pStyle w:val="Compact"/>
              <w:jc w:val="left"/>
            </w:pPr>
            <w:r>
              <w:t xml:space="preserve">€377</w:t>
            </w:r>
          </w:p>
        </w:tc>
        <w:tc>
          <w:p>
            <w:pPr>
              <w:pStyle w:val="Compact"/>
              <w:jc w:val="left"/>
            </w:pPr>
            <w:r>
              <w:t xml:space="preserve">€491</w:t>
            </w:r>
          </w:p>
        </w:tc>
        <w:tc>
          <w:p>
            <w:pPr>
              <w:pStyle w:val="Compact"/>
              <w:jc w:val="left"/>
            </w:pPr>
            <w:r>
              <w:t xml:space="preserve">€609</w:t>
            </w:r>
          </w:p>
        </w:tc>
        <w:tc>
          <w:p>
            <w:pPr>
              <w:pStyle w:val="Compact"/>
              <w:jc w:val="left"/>
            </w:pPr>
            <w:r>
              <w:t xml:space="preserve">€740</w:t>
            </w:r>
          </w:p>
        </w:tc>
      </w:tr>
      <w:tr>
        <w:tc>
          <w:p>
            <w:pPr>
              <w:pStyle w:val="Compact"/>
              <w:jc w:val="left"/>
            </w:pPr>
            <w:r>
              <w:t xml:space="preserve">Customer Acquisition Cost (CAC)</w:t>
            </w:r>
          </w:p>
        </w:tc>
        <w:tc>
          <w:p>
            <w:pPr>
              <w:pStyle w:val="Compact"/>
              <w:jc w:val="left"/>
            </w:pPr>
            <w:r>
              <w:t xml:space="preserve">€170</w:t>
            </w:r>
          </w:p>
        </w:tc>
        <w:tc>
          <w:p>
            <w:pPr>
              <w:pStyle w:val="Compact"/>
              <w:jc w:val="left"/>
            </w:pPr>
            <w:r>
              <w:t xml:space="preserve">€145</w:t>
            </w:r>
          </w:p>
        </w:tc>
        <w:tc>
          <w:p>
            <w:pPr>
              <w:pStyle w:val="Compact"/>
              <w:jc w:val="left"/>
            </w:pPr>
            <w:r>
              <w:t xml:space="preserve">€125</w:t>
            </w:r>
          </w:p>
        </w:tc>
        <w:tc>
          <w:p>
            <w:pPr>
              <w:pStyle w:val="Compact"/>
              <w:jc w:val="left"/>
            </w:pPr>
            <w:r>
              <w:t xml:space="preserve">€115</w:t>
            </w:r>
          </w:p>
        </w:tc>
        <w:tc>
          <w:p>
            <w:pPr>
              <w:pStyle w:val="Compact"/>
              <w:jc w:val="left"/>
            </w:pPr>
            <w:r>
              <w:t xml:space="preserve">€110</w:t>
            </w:r>
          </w:p>
        </w:tc>
      </w:tr>
      <w:tr>
        <w:tc>
          <w:p>
            <w:pPr>
              <w:pStyle w:val="Compact"/>
              <w:jc w:val="left"/>
            </w:pPr>
            <w:r>
              <w:t xml:space="preserve">Customer Lifetime Value (CLV)</w:t>
            </w:r>
          </w:p>
        </w:tc>
        <w:tc>
          <w:p>
            <w:pPr>
              <w:pStyle w:val="Compact"/>
              <w:jc w:val="left"/>
            </w:pPr>
            <w:r>
              <w:t xml:space="preserve">€1,250</w:t>
            </w:r>
          </w:p>
        </w:tc>
        <w:tc>
          <w:p>
            <w:pPr>
              <w:pStyle w:val="Compact"/>
              <w:jc w:val="left"/>
            </w:pPr>
            <w:r>
              <w:t xml:space="preserve">€1,885</w:t>
            </w:r>
          </w:p>
        </w:tc>
        <w:tc>
          <w:p>
            <w:pPr>
              <w:pStyle w:val="Compact"/>
              <w:jc w:val="left"/>
            </w:pPr>
            <w:r>
              <w:t xml:space="preserve">€2,455</w:t>
            </w:r>
          </w:p>
        </w:tc>
        <w:tc>
          <w:p>
            <w:pPr>
              <w:pStyle w:val="Compact"/>
              <w:jc w:val="left"/>
            </w:pPr>
            <w:r>
              <w:t xml:space="preserve">€3,045</w:t>
            </w:r>
          </w:p>
        </w:tc>
        <w:tc>
          <w:p>
            <w:pPr>
              <w:pStyle w:val="Compact"/>
              <w:jc w:val="left"/>
            </w:pPr>
            <w:r>
              <w:t xml:space="preserve">€3,700</w:t>
            </w:r>
          </w:p>
        </w:tc>
      </w:tr>
      <w:tr>
        <w:tc>
          <w:p>
            <w:pPr>
              <w:pStyle w:val="Compact"/>
              <w:jc w:val="left"/>
            </w:pPr>
            <w:r>
              <w:t xml:space="preserve">CLV:CAC Ratio</w:t>
            </w:r>
          </w:p>
        </w:tc>
        <w:tc>
          <w:p>
            <w:pPr>
              <w:pStyle w:val="Compact"/>
              <w:jc w:val="left"/>
            </w:pPr>
            <w:r>
              <w:t xml:space="preserve">7.4</w:t>
            </w:r>
          </w:p>
        </w:tc>
        <w:tc>
          <w:p>
            <w:pPr>
              <w:pStyle w:val="Compact"/>
              <w:jc w:val="left"/>
            </w:pPr>
            <w:r>
              <w:t xml:space="preserve">13.0</w:t>
            </w:r>
          </w:p>
        </w:tc>
        <w:tc>
          <w:p>
            <w:pPr>
              <w:pStyle w:val="Compact"/>
              <w:jc w:val="left"/>
            </w:pPr>
            <w:r>
              <w:t xml:space="preserve">19.6</w:t>
            </w:r>
          </w:p>
        </w:tc>
        <w:tc>
          <w:p>
            <w:pPr>
              <w:pStyle w:val="Compact"/>
              <w:jc w:val="left"/>
            </w:pPr>
            <w:r>
              <w:t xml:space="preserve">26.5</w:t>
            </w:r>
          </w:p>
        </w:tc>
        <w:tc>
          <w:p>
            <w:pPr>
              <w:pStyle w:val="Compact"/>
              <w:jc w:val="left"/>
            </w:pPr>
            <w:r>
              <w:t xml:space="preserve">33.6</w:t>
            </w:r>
          </w:p>
        </w:tc>
      </w:tr>
      <w:tr>
        <w:tc>
          <w:p>
            <w:pPr>
              <w:pStyle w:val="Compact"/>
              <w:jc w:val="left"/>
            </w:pPr>
            <w:r>
              <w:t xml:space="preserve">Cost-to-Income Ratio</w:t>
            </w:r>
          </w:p>
        </w:tc>
        <w:tc>
          <w:p>
            <w:pPr>
              <w:pStyle w:val="Compact"/>
              <w:jc w:val="left"/>
            </w:pPr>
            <w:r>
              <w:t xml:space="preserve">317.6%</w:t>
            </w:r>
          </w:p>
        </w:tc>
        <w:tc>
          <w:p>
            <w:pPr>
              <w:pStyle w:val="Compact"/>
              <w:jc w:val="left"/>
            </w:pPr>
            <w:r>
              <w:t xml:space="preserve">130.2%</w:t>
            </w:r>
          </w:p>
        </w:tc>
        <w:tc>
          <w:p>
            <w:pPr>
              <w:pStyle w:val="Compact"/>
              <w:jc w:val="left"/>
            </w:pPr>
            <w:r>
              <w:t xml:space="preserve">76.0%</w:t>
            </w:r>
          </w:p>
        </w:tc>
        <w:tc>
          <w:p>
            <w:pPr>
              <w:pStyle w:val="Compact"/>
              <w:jc w:val="left"/>
            </w:pPr>
            <w:r>
              <w:t xml:space="preserve">55.1%</w:t>
            </w:r>
          </w:p>
        </w:tc>
        <w:tc>
          <w:p>
            <w:pPr>
              <w:pStyle w:val="Compact"/>
              <w:jc w:val="left"/>
            </w:pPr>
            <w:r>
              <w:t xml:space="preserve">43.0%</w:t>
            </w:r>
          </w:p>
        </w:tc>
      </w:tr>
      <w:tr>
        <w:tc>
          <w:p>
            <w:pPr>
              <w:pStyle w:val="Compact"/>
              <w:jc w:val="left"/>
            </w:pPr>
            <w:r>
              <w:t xml:space="preserve">Return on Equity (ROE)</w:t>
            </w:r>
          </w:p>
        </w:tc>
        <w:tc>
          <w:p>
            <w:pPr>
              <w:pStyle w:val="Compact"/>
              <w:jc w:val="left"/>
            </w:pPr>
            <w:r>
              <w:t xml:space="preserve">-36.3%</w:t>
            </w:r>
          </w:p>
        </w:tc>
        <w:tc>
          <w:p>
            <w:pPr>
              <w:pStyle w:val="Compact"/>
              <w:jc w:val="left"/>
            </w:pPr>
            <w:r>
              <w:t xml:space="preserve">-16.8%</w:t>
            </w:r>
          </w:p>
        </w:tc>
        <w:tc>
          <w:p>
            <w:pPr>
              <w:pStyle w:val="Compact"/>
              <w:jc w:val="left"/>
            </w:pPr>
            <w:r>
              <w:t xml:space="preserve">21.6%</w:t>
            </w:r>
          </w:p>
        </w:tc>
        <w:tc>
          <w:p>
            <w:pPr>
              <w:pStyle w:val="Compact"/>
              <w:jc w:val="left"/>
            </w:pPr>
            <w:r>
              <w:t xml:space="preserve">40.0%</w:t>
            </w:r>
          </w:p>
        </w:tc>
        <w:tc>
          <w:p>
            <w:pPr>
              <w:pStyle w:val="Compact"/>
              <w:jc w:val="left"/>
            </w:pPr>
            <w:r>
              <w:t xml:space="preserve">43.6%</w:t>
            </w:r>
          </w:p>
        </w:tc>
      </w:tr>
    </w:tbl>
    <w:p>
      <w:pPr>
        <w:pStyle w:val="Heading3"/>
      </w:pPr>
      <w:bookmarkStart w:id="55" w:name="break-even-analysis"/>
      <w:r>
        <w:t xml:space="preserve">Break-Even Analysis</w:t>
      </w:r>
      <w:bookmarkEnd w:id="55"/>
    </w:p>
    <w:p>
      <w:pPr>
        <w:pStyle w:val="FirstParagraph"/>
      </w:pPr>
      <w:r>
        <w:t xml:space="preserve">Based on financial projections, OpenMind Bank expects to:</w:t>
      </w:r>
      <w:r>
        <w:t xml:space="preserve"> </w:t>
      </w:r>
      <w:r>
        <w:t xml:space="preserve">- Reach monthly operational break-even in Q4 of Year 2</w:t>
      </w:r>
      <w:r>
        <w:t xml:space="preserve"> </w:t>
      </w:r>
      <w:r>
        <w:t xml:space="preserve">- Achieve cumulative break-even (recovering initial investment) in Q2 of Year 4</w:t>
      </w:r>
      <w:r>
        <w:t xml:space="preserve"> </w:t>
      </w:r>
      <w:r>
        <w:t xml:space="preserve">- Generate positive cash flow from Q1 of Year 3 onwards</w:t>
      </w:r>
    </w:p>
    <w:p>
      <w:pPr>
        <w:pStyle w:val="Heading2"/>
      </w:pPr>
      <w:bookmarkStart w:id="56" w:name="funding-request"/>
      <w:r>
        <w:t xml:space="preserve">Funding Request</w:t>
      </w:r>
      <w:bookmarkEnd w:id="56"/>
    </w:p>
    <w:p>
      <w:pPr>
        <w:pStyle w:val="Heading3"/>
      </w:pPr>
      <w:bookmarkStart w:id="57" w:name="capital-requirements"/>
      <w:r>
        <w:t xml:space="preserve">Capital Requirements</w:t>
      </w:r>
      <w:bookmarkEnd w:id="57"/>
    </w:p>
    <w:p>
      <w:pPr>
        <w:pStyle w:val="FirstParagraph"/>
      </w:pPr>
      <w:r>
        <w:t xml:space="preserve">OpenMind Bank seeks an initial investment of €75 million to fund:</w:t>
      </w:r>
      <w:r>
        <w:t xml:space="preserve"> </w:t>
      </w:r>
      <w:r>
        <w:t xml:space="preserve">- Regulatory capital requirements for banking license</w:t>
      </w:r>
      <w:r>
        <w:t xml:space="preserve"> </w:t>
      </w:r>
      <w:r>
        <w:t xml:space="preserve">- Technology infrastructure development</w:t>
      </w:r>
      <w:r>
        <w:t xml:space="preserve"> </w:t>
      </w:r>
      <w:r>
        <w:t xml:space="preserve">- Initial staffing and operations</w:t>
      </w:r>
      <w:r>
        <w:t xml:space="preserve"> </w:t>
      </w:r>
      <w:r>
        <w:t xml:space="preserve">- Marketing and customer acquisition</w:t>
      </w:r>
      <w:r>
        <w:t xml:space="preserve"> </w:t>
      </w:r>
      <w:r>
        <w:t xml:space="preserve">- Working capital until break-even</w:t>
      </w:r>
    </w:p>
    <w:p>
      <w:pPr>
        <w:pStyle w:val="Heading3"/>
      </w:pPr>
      <w:bookmarkStart w:id="58" w:name="funding-structure"/>
      <w:r>
        <w:t xml:space="preserve">Funding Structure</w:t>
      </w:r>
      <w:bookmarkEnd w:id="58"/>
    </w:p>
    <w:p>
      <w:pPr>
        <w:pStyle w:val="FirstParagraph"/>
      </w:pPr>
      <w:r>
        <w:t xml:space="preserve">The proposed funding structure is:</w:t>
      </w:r>
      <w:r>
        <w:t xml:space="preserve"> </w:t>
      </w:r>
      <w:r>
        <w:t xml:space="preserve">- €45 million in equity investment (60%)</w:t>
      </w:r>
      <w:r>
        <w:t xml:space="preserve"> </w:t>
      </w:r>
      <w:r>
        <w:t xml:space="preserve">- €30 million in subordinated debt (40%)</w:t>
      </w:r>
    </w:p>
    <w:p>
      <w:pPr>
        <w:pStyle w:val="Heading3"/>
      </w:pPr>
      <w:bookmarkStart w:id="59" w:name="investment-rounds"/>
      <w:r>
        <w:t xml:space="preserve">Investment Rounds</w:t>
      </w:r>
      <w:bookmarkEnd w:id="59"/>
    </w:p>
    <w:tbl>
      <w:tblPr>
        <w:tblStyle w:val="Table"/>
        <w:tblW w:type="pct" w:w="5000.0"/>
        <w:tblLook w:firstRow="1"/>
      </w:tblPr>
      <w:tblGrid>
        <w:gridCol w:w="1630"/>
        <w:gridCol w:w="2329"/>
        <w:gridCol w:w="1863"/>
        <w:gridCol w:w="2096"/>
      </w:tblGrid>
      <w:tr>
        <w:trPr>
          <w:cnfStyle w:firstRow="1"/>
        </w:trPr>
        <w:tc>
          <w:tcPr>
            <w:tcBorders>
              <w:bottom w:val="single"/>
            </w:tcBorders>
            <w:vAlign w:val="bottom"/>
          </w:tcPr>
          <w:p>
            <w:pPr>
              <w:pStyle w:val="Compact"/>
              <w:jc w:val="left"/>
            </w:pPr>
            <w:r>
              <w:t xml:space="preserve">Round</w:t>
            </w:r>
          </w:p>
        </w:tc>
        <w:tc>
          <w:tcPr>
            <w:tcBorders>
              <w:bottom w:val="single"/>
            </w:tcBorders>
            <w:vAlign w:val="bottom"/>
          </w:tcPr>
          <w:p>
            <w:pPr>
              <w:pStyle w:val="Compact"/>
              <w:jc w:val="left"/>
            </w:pPr>
            <w:r>
              <w:t xml:space="preserve">Timeline</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Purpose</w:t>
            </w:r>
          </w:p>
        </w:tc>
      </w:tr>
      <w:tr>
        <w:tc>
          <w:p>
            <w:pPr>
              <w:pStyle w:val="Compact"/>
              <w:jc w:val="left"/>
            </w:pPr>
            <w:r>
              <w:t xml:space="preserve">Seed</w:t>
            </w:r>
          </w:p>
        </w:tc>
        <w:tc>
          <w:p>
            <w:pPr>
              <w:pStyle w:val="Compact"/>
              <w:jc w:val="left"/>
            </w:pPr>
            <w:r>
              <w:t xml:space="preserve">Pre-launch</w:t>
            </w:r>
          </w:p>
        </w:tc>
        <w:tc>
          <w:p>
            <w:pPr>
              <w:pStyle w:val="Compact"/>
              <w:jc w:val="left"/>
            </w:pPr>
            <w:r>
              <w:t xml:space="preserve">€15M</w:t>
            </w:r>
          </w:p>
        </w:tc>
        <w:tc>
          <w:p>
            <w:pPr>
              <w:pStyle w:val="Compact"/>
              <w:jc w:val="left"/>
            </w:pPr>
            <w:r>
              <w:t xml:space="preserve">Initial development and regulatory preparation</w:t>
            </w:r>
          </w:p>
        </w:tc>
      </w:tr>
      <w:tr>
        <w:tc>
          <w:p>
            <w:pPr>
              <w:pStyle w:val="Compact"/>
              <w:jc w:val="left"/>
            </w:pPr>
            <w:r>
              <w:t xml:space="preserve">Series A</w:t>
            </w:r>
          </w:p>
        </w:tc>
        <w:tc>
          <w:p>
            <w:pPr>
              <w:pStyle w:val="Compact"/>
              <w:jc w:val="left"/>
            </w:pPr>
            <w:r>
              <w:t xml:space="preserve">Launch</w:t>
            </w:r>
          </w:p>
        </w:tc>
        <w:tc>
          <w:p>
            <w:pPr>
              <w:pStyle w:val="Compact"/>
              <w:jc w:val="left"/>
            </w:pPr>
            <w:r>
              <w:t xml:space="preserve">€60M</w:t>
            </w:r>
          </w:p>
        </w:tc>
        <w:tc>
          <w:p>
            <w:pPr>
              <w:pStyle w:val="Compact"/>
              <w:jc w:val="left"/>
            </w:pPr>
            <w:r>
              <w:t xml:space="preserve">Full-scale operations, customer acquisition, and regulatory capital</w:t>
            </w:r>
          </w:p>
        </w:tc>
      </w:tr>
      <w:tr>
        <w:tc>
          <w:p>
            <w:pPr>
              <w:pStyle w:val="Compact"/>
              <w:jc w:val="left"/>
            </w:pPr>
            <w:r>
              <w:t xml:space="preserve">Series B (Optional)</w:t>
            </w:r>
          </w:p>
        </w:tc>
        <w:tc>
          <w:p>
            <w:pPr>
              <w:pStyle w:val="Compact"/>
              <w:jc w:val="left"/>
            </w:pPr>
            <w:r>
              <w:t xml:space="preserve">Year 3</w:t>
            </w:r>
          </w:p>
        </w:tc>
        <w:tc>
          <w:p>
            <w:pPr>
              <w:pStyle w:val="Compact"/>
              <w:jc w:val="left"/>
            </w:pPr>
            <w:r>
              <w:t xml:space="preserve">€40M</w:t>
            </w:r>
          </w:p>
        </w:tc>
        <w:tc>
          <w:p>
            <w:pPr>
              <w:pStyle w:val="Compact"/>
              <w:jc w:val="left"/>
            </w:pPr>
            <w:r>
              <w:t xml:space="preserve">Expansion of services and international growth</w:t>
            </w:r>
          </w:p>
        </w:tc>
      </w:tr>
    </w:tbl>
    <w:p>
      <w:pPr>
        <w:pStyle w:val="Heading3"/>
      </w:pPr>
      <w:bookmarkStart w:id="60" w:name="return-on-investment"/>
      <w:r>
        <w:t xml:space="preserve">Return on Investment</w:t>
      </w:r>
      <w:bookmarkEnd w:id="60"/>
    </w:p>
    <w:p>
      <w:pPr>
        <w:pStyle w:val="FirstParagraph"/>
      </w:pPr>
      <w:r>
        <w:t xml:space="preserve">Investors can expect:</w:t>
      </w:r>
      <w:r>
        <w:t xml:space="preserve"> </w:t>
      </w:r>
      <w:r>
        <w:t xml:space="preserve">- Break-even on investment by Year 4</w:t>
      </w:r>
      <w:r>
        <w:t xml:space="preserve"> </w:t>
      </w:r>
      <w:r>
        <w:t xml:space="preserve">- Potential exit opportunities through IPO or acquisition from Year 5</w:t>
      </w:r>
      <w:r>
        <w:t xml:space="preserve"> </w:t>
      </w:r>
      <w:r>
        <w:t xml:space="preserve">- Projected ROI of 3.5x-4.5x initial investment by Year 7</w:t>
      </w:r>
      <w:r>
        <w:t xml:space="preserve"> </w:t>
      </w:r>
      <w:r>
        <w:t xml:space="preserve">- Dividend payments beginning in Year 4</w:t>
      </w:r>
    </w:p>
    <w:p>
      <w:pPr>
        <w:pStyle w:val="Heading2"/>
      </w:pPr>
      <w:bookmarkStart w:id="61" w:name="risk-assessment-and-mitigation"/>
      <w:r>
        <w:t xml:space="preserve">Risk Assessment and Mitigation</w:t>
      </w:r>
      <w:bookmarkEnd w:id="61"/>
    </w:p>
    <w:p>
      <w:pPr>
        <w:pStyle w:val="Heading3"/>
      </w:pPr>
      <w:bookmarkStart w:id="62" w:name="regulatory-risks"/>
      <w:r>
        <w:t xml:space="preserve">Regulatory Risks</w:t>
      </w:r>
      <w:bookmarkEnd w:id="62"/>
    </w:p>
    <w:tbl>
      <w:tblPr>
        <w:tblStyle w:val="Table"/>
        <w:tblW w:type="pct" w:w="5000.0"/>
        <w:tblLook w:firstRow="1"/>
      </w:tblPr>
      <w:tblGrid>
        <w:gridCol w:w="1760"/>
        <w:gridCol w:w="616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 Strategy</w:t>
            </w:r>
          </w:p>
        </w:tc>
      </w:tr>
      <w:tr>
        <w:tc>
          <w:p>
            <w:pPr>
              <w:pStyle w:val="Compact"/>
              <w:jc w:val="left"/>
            </w:pPr>
            <w:r>
              <w:t xml:space="preserve">Licensing delays</w:t>
            </w:r>
          </w:p>
        </w:tc>
        <w:tc>
          <w:p>
            <w:pPr>
              <w:pStyle w:val="Compact"/>
              <w:jc w:val="left"/>
            </w:pPr>
            <w:r>
              <w:t xml:space="preserve">Early engagement with BaFin, comprehensive application preparation</w:t>
            </w:r>
          </w:p>
        </w:tc>
      </w:tr>
      <w:tr>
        <w:tc>
          <w:p>
            <w:pPr>
              <w:pStyle w:val="Compact"/>
              <w:jc w:val="left"/>
            </w:pPr>
            <w:r>
              <w:t xml:space="preserve">Regulatory changes</w:t>
            </w:r>
          </w:p>
        </w:tc>
        <w:tc>
          <w:p>
            <w:pPr>
              <w:pStyle w:val="Compact"/>
              <w:jc w:val="left"/>
            </w:pPr>
            <w:r>
              <w:t xml:space="preserve">Dedicated compliance team, proactive monitoring of regulatory developments</w:t>
            </w:r>
          </w:p>
        </w:tc>
      </w:tr>
      <w:tr>
        <w:tc>
          <w:p>
            <w:pPr>
              <w:pStyle w:val="Compact"/>
              <w:jc w:val="left"/>
            </w:pPr>
            <w:r>
              <w:t xml:space="preserve">Capital requirement increases</w:t>
            </w:r>
          </w:p>
        </w:tc>
        <w:tc>
          <w:p>
            <w:pPr>
              <w:pStyle w:val="Compact"/>
              <w:jc w:val="left"/>
            </w:pPr>
            <w:r>
              <w:t xml:space="preserve">Conservative capital planning, contingency funding arrangements</w:t>
            </w:r>
          </w:p>
        </w:tc>
      </w:tr>
    </w:tbl>
    <w:p>
      <w:pPr>
        <w:pStyle w:val="Heading3"/>
      </w:pPr>
      <w:bookmarkStart w:id="63" w:name="market-risks"/>
      <w:r>
        <w:t xml:space="preserve">Market Risks</w:t>
      </w:r>
      <w:bookmarkEnd w:id="63"/>
    </w:p>
    <w:tbl>
      <w:tblPr>
        <w:tblStyle w:val="Table"/>
        <w:tblW w:type="pct" w:w="5000.0"/>
        <w:tblLook w:firstRow="1"/>
      </w:tblPr>
      <w:tblGrid>
        <w:gridCol w:w="1760"/>
        <w:gridCol w:w="616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 Strategy</w:t>
            </w:r>
          </w:p>
        </w:tc>
      </w:tr>
      <w:tr>
        <w:tc>
          <w:p>
            <w:pPr>
              <w:pStyle w:val="Compact"/>
              <w:jc w:val="left"/>
            </w:pPr>
            <w:r>
              <w:t xml:space="preserve">Intense competition</w:t>
            </w:r>
          </w:p>
        </w:tc>
        <w:tc>
          <w:p>
            <w:pPr>
              <w:pStyle w:val="Compact"/>
              <w:jc w:val="left"/>
            </w:pPr>
            <w:r>
              <w:t xml:space="preserve">Differentiation through technology and customer experience, niche focus</w:t>
            </w:r>
          </w:p>
        </w:tc>
      </w:tr>
      <w:tr>
        <w:tc>
          <w:p>
            <w:pPr>
              <w:pStyle w:val="Compact"/>
              <w:jc w:val="left"/>
            </w:pPr>
            <w:r>
              <w:t xml:space="preserve">Economic downturn</w:t>
            </w:r>
          </w:p>
        </w:tc>
        <w:tc>
          <w:p>
            <w:pPr>
              <w:pStyle w:val="Compact"/>
              <w:jc w:val="left"/>
            </w:pPr>
            <w:r>
              <w:t xml:space="preserve">Stress testing, diversified revenue streams, conservative lending practices</w:t>
            </w:r>
          </w:p>
        </w:tc>
      </w:tr>
      <w:tr>
        <w:tc>
          <w:p>
            <w:pPr>
              <w:pStyle w:val="Compact"/>
              <w:jc w:val="left"/>
            </w:pPr>
            <w:r>
              <w:t xml:space="preserve">Interest rate volatility</w:t>
            </w:r>
          </w:p>
        </w:tc>
        <w:tc>
          <w:p>
            <w:pPr>
              <w:pStyle w:val="Compact"/>
              <w:jc w:val="left"/>
            </w:pPr>
            <w:r>
              <w:t xml:space="preserve">Balanced asset-liability management, hedging strategies</w:t>
            </w:r>
          </w:p>
        </w:tc>
      </w:tr>
    </w:tbl>
    <w:p>
      <w:pPr>
        <w:pStyle w:val="Heading3"/>
      </w:pPr>
      <w:bookmarkStart w:id="64" w:name="operational-risks"/>
      <w:r>
        <w:t xml:space="preserve">Operational Risks</w:t>
      </w:r>
      <w:bookmarkEnd w:id="64"/>
    </w:p>
    <w:tbl>
      <w:tblPr>
        <w:tblStyle w:val="Table"/>
        <w:tblW w:type="pct" w:w="5000.0"/>
        <w:tblLook w:firstRow="1"/>
      </w:tblPr>
      <w:tblGrid>
        <w:gridCol w:w="1760"/>
        <w:gridCol w:w="616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 Strategy</w:t>
            </w:r>
          </w:p>
        </w:tc>
      </w:tr>
      <w:tr>
        <w:tc>
          <w:p>
            <w:pPr>
              <w:pStyle w:val="Compact"/>
              <w:jc w:val="left"/>
            </w:pPr>
            <w:r>
              <w:t xml:space="preserve">Technology failures</w:t>
            </w:r>
          </w:p>
        </w:tc>
        <w:tc>
          <w:p>
            <w:pPr>
              <w:pStyle w:val="Compact"/>
              <w:jc w:val="left"/>
            </w:pPr>
            <w:r>
              <w:t xml:space="preserve">Robust infrastructure, redundancy systems, comprehensive disaster recovery</w:t>
            </w:r>
          </w:p>
        </w:tc>
      </w:tr>
      <w:tr>
        <w:tc>
          <w:p>
            <w:pPr>
              <w:pStyle w:val="Compact"/>
              <w:jc w:val="left"/>
            </w:pPr>
            <w:r>
              <w:t xml:space="preserve">Cybersecurity threats</w:t>
            </w:r>
          </w:p>
        </w:tc>
        <w:tc>
          <w:p>
            <w:pPr>
              <w:pStyle w:val="Compact"/>
              <w:jc w:val="left"/>
            </w:pPr>
            <w:r>
              <w:t xml:space="preserve">Advanced security protocols, regular penetration testing, staff training</w:t>
            </w:r>
          </w:p>
        </w:tc>
      </w:tr>
      <w:tr>
        <w:tc>
          <w:p>
            <w:pPr>
              <w:pStyle w:val="Compact"/>
              <w:jc w:val="left"/>
            </w:pPr>
            <w:r>
              <w:t xml:space="preserve">Talent acquisition challenges</w:t>
            </w:r>
          </w:p>
        </w:tc>
        <w:tc>
          <w:p>
            <w:pPr>
              <w:pStyle w:val="Compact"/>
              <w:jc w:val="left"/>
            </w:pPr>
            <w:r>
              <w:t xml:space="preserve">Competitive compensation, strong company culture, flexible work arrangements</w:t>
            </w:r>
          </w:p>
        </w:tc>
      </w:tr>
    </w:tbl>
    <w:p>
      <w:pPr>
        <w:pStyle w:val="Heading3"/>
      </w:pPr>
      <w:bookmarkStart w:id="65" w:name="strategic-risks"/>
      <w:r>
        <w:t xml:space="preserve">Strategic Risks</w:t>
      </w:r>
      <w:bookmarkEnd w:id="65"/>
    </w:p>
    <w:tbl>
      <w:tblPr>
        <w:tblStyle w:val="Table"/>
        <w:tblW w:type="pct" w:w="5000.0"/>
        <w:tblLook w:firstRow="1"/>
      </w:tblPr>
      <w:tblGrid>
        <w:gridCol w:w="1760"/>
        <w:gridCol w:w="616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Mitigation Strategy</w:t>
            </w:r>
          </w:p>
        </w:tc>
      </w:tr>
      <w:tr>
        <w:tc>
          <w:p>
            <w:pPr>
              <w:pStyle w:val="Compact"/>
              <w:jc w:val="left"/>
            </w:pPr>
            <w:r>
              <w:t xml:space="preserve">Slow customer adoption</w:t>
            </w:r>
          </w:p>
        </w:tc>
        <w:tc>
          <w:p>
            <w:pPr>
              <w:pStyle w:val="Compact"/>
              <w:jc w:val="left"/>
            </w:pPr>
            <w:r>
              <w:t xml:space="preserve">Phased marketing approach, continuous product improvement based on feedback</w:t>
            </w:r>
          </w:p>
        </w:tc>
      </w:tr>
      <w:tr>
        <w:tc>
          <w:p>
            <w:pPr>
              <w:pStyle w:val="Compact"/>
              <w:jc w:val="left"/>
            </w:pPr>
            <w:r>
              <w:t xml:space="preserve">Partnership failures</w:t>
            </w:r>
          </w:p>
        </w:tc>
        <w:tc>
          <w:p>
            <w:pPr>
              <w:pStyle w:val="Compact"/>
              <w:jc w:val="left"/>
            </w:pPr>
            <w:r>
              <w:t xml:space="preserve">Thorough due diligence, clear contractual terms, diversified partnership strategy</w:t>
            </w:r>
          </w:p>
        </w:tc>
      </w:tr>
      <w:tr>
        <w:tc>
          <w:p>
            <w:pPr>
              <w:pStyle w:val="Compact"/>
              <w:jc w:val="left"/>
            </w:pPr>
            <w:r>
              <w:t xml:space="preserve">Innovation obsolescence</w:t>
            </w:r>
          </w:p>
        </w:tc>
        <w:tc>
          <w:p>
            <w:pPr>
              <w:pStyle w:val="Compact"/>
              <w:jc w:val="left"/>
            </w:pPr>
            <w:r>
              <w:t xml:space="preserve">Continuous R&amp;D investment, technology monitoring, agile development approach</w:t>
            </w:r>
          </w:p>
        </w:tc>
      </w:tr>
    </w:tbl>
    <w:p>
      <w:pPr>
        <w:pStyle w:val="Heading2"/>
      </w:pPr>
      <w:bookmarkStart w:id="66" w:name="implementation-timeline"/>
      <w:r>
        <w:t xml:space="preserve">Implementation Timeline</w:t>
      </w:r>
      <w:bookmarkEnd w:id="66"/>
    </w:p>
    <w:p>
      <w:pPr>
        <w:pStyle w:val="Heading3"/>
      </w:pPr>
      <w:bookmarkStart w:id="67" w:name="pre-launch-phase-12-months"/>
      <w:r>
        <w:t xml:space="preserve">Pre-Launch Phase (12 months)</w:t>
      </w:r>
      <w:bookmarkEnd w:id="67"/>
    </w:p>
    <w:tbl>
      <w:tblPr>
        <w:tblStyle w:val="Table"/>
        <w:tblW w:type="pct" w:w="5000.0"/>
        <w:tblLook w:firstRow="1"/>
      </w:tblPr>
      <w:tblGrid>
        <w:gridCol w:w="3080"/>
        <w:gridCol w:w="4840"/>
      </w:tblGrid>
      <w:tr>
        <w:trPr>
          <w:cnfStyle w:firstRow="1"/>
        </w:trPr>
        <w:tc>
          <w:tcPr>
            <w:tcBorders>
              <w:bottom w:val="single"/>
            </w:tcBorders>
            <w:vAlign w:val="bottom"/>
          </w:tcPr>
          <w:p>
            <w:pPr>
              <w:pStyle w:val="Compact"/>
              <w:jc w:val="left"/>
            </w:pPr>
            <w:r>
              <w:t xml:space="preserve">Month</w:t>
            </w:r>
          </w:p>
        </w:tc>
        <w:tc>
          <w:tcPr>
            <w:tcBorders>
              <w:bottom w:val="single"/>
            </w:tcBorders>
            <w:vAlign w:val="bottom"/>
          </w:tcPr>
          <w:p>
            <w:pPr>
              <w:pStyle w:val="Compact"/>
              <w:jc w:val="left"/>
            </w:pPr>
            <w:r>
              <w:t xml:space="preserve">Milestone</w:t>
            </w:r>
          </w:p>
        </w:tc>
      </w:tr>
      <w:tr>
        <w:tc>
          <w:p>
            <w:pPr>
              <w:pStyle w:val="Compact"/>
              <w:jc w:val="left"/>
            </w:pPr>
            <w:r>
              <w:t xml:space="preserve">1-3</w:t>
            </w:r>
          </w:p>
        </w:tc>
        <w:tc>
          <w:p>
            <w:pPr>
              <w:pStyle w:val="Compact"/>
              <w:jc w:val="left"/>
            </w:pPr>
            <w:r>
              <w:t xml:space="preserve">Secure initial funding, establish legal entity, begin license application</w:t>
            </w:r>
          </w:p>
        </w:tc>
      </w:tr>
      <w:tr>
        <w:tc>
          <w:p>
            <w:pPr>
              <w:pStyle w:val="Compact"/>
              <w:jc w:val="left"/>
            </w:pPr>
            <w:r>
              <w:t xml:space="preserve">4-6</w:t>
            </w:r>
          </w:p>
        </w:tc>
        <w:tc>
          <w:p>
            <w:pPr>
              <w:pStyle w:val="Compact"/>
              <w:jc w:val="left"/>
            </w:pPr>
            <w:r>
              <w:t xml:space="preserve">Recruit core team, develop technology architecture, initiate brand development</w:t>
            </w:r>
          </w:p>
        </w:tc>
      </w:tr>
      <w:tr>
        <w:tc>
          <w:p>
            <w:pPr>
              <w:pStyle w:val="Compact"/>
              <w:jc w:val="left"/>
            </w:pPr>
            <w:r>
              <w:t xml:space="preserve">7-9</w:t>
            </w:r>
          </w:p>
        </w:tc>
        <w:tc>
          <w:p>
            <w:pPr>
              <w:pStyle w:val="Compact"/>
              <w:jc w:val="left"/>
            </w:pPr>
            <w:r>
              <w:t xml:space="preserve">Build core banking platform, establish partnerships, prepare physical locations</w:t>
            </w:r>
          </w:p>
        </w:tc>
      </w:tr>
      <w:tr>
        <w:tc>
          <w:p>
            <w:pPr>
              <w:pStyle w:val="Compact"/>
              <w:jc w:val="left"/>
            </w:pPr>
            <w:r>
              <w:t xml:space="preserve">10-12</w:t>
            </w:r>
          </w:p>
        </w:tc>
        <w:tc>
          <w:p>
            <w:pPr>
              <w:pStyle w:val="Compact"/>
              <w:jc w:val="left"/>
            </w:pPr>
            <w:r>
              <w:t xml:space="preserve">Complete regulatory requirements, conduct beta testing, finalize launch preparations</w:t>
            </w:r>
          </w:p>
        </w:tc>
      </w:tr>
    </w:tbl>
    <w:p>
      <w:pPr>
        <w:pStyle w:val="Heading3"/>
      </w:pPr>
      <w:bookmarkStart w:id="68" w:name="launch-and-growth-phase"/>
      <w:r>
        <w:t xml:space="preserve">Launch and Growth Phase</w:t>
      </w:r>
      <w:bookmarkEnd w:id="68"/>
    </w:p>
    <w:tbl>
      <w:tblPr>
        <w:tblStyle w:val="Table"/>
        <w:tblW w:type="pct" w:w="5000.0"/>
        <w:tblLook w:firstRow="1"/>
      </w:tblPr>
      <w:tblGrid>
        <w:gridCol w:w="2754"/>
        <w:gridCol w:w="5165"/>
      </w:tblGrid>
      <w:tr>
        <w:trPr>
          <w:cnfStyle w:firstRow="1"/>
        </w:trPr>
        <w:tc>
          <w:tcPr>
            <w:tcBorders>
              <w:bottom w:val="single"/>
            </w:tcBorders>
            <w:vAlign w:val="bottom"/>
          </w:tcPr>
          <w:p>
            <w:pPr>
              <w:pStyle w:val="Compact"/>
              <w:jc w:val="left"/>
            </w:pPr>
            <w:r>
              <w:t xml:space="preserve">Period</w:t>
            </w:r>
          </w:p>
        </w:tc>
        <w:tc>
          <w:tcPr>
            <w:tcBorders>
              <w:bottom w:val="single"/>
            </w:tcBorders>
            <w:vAlign w:val="bottom"/>
          </w:tcPr>
          <w:p>
            <w:pPr>
              <w:pStyle w:val="Compact"/>
              <w:jc w:val="left"/>
            </w:pPr>
            <w:r>
              <w:t xml:space="preserve">Key Activities</w:t>
            </w:r>
          </w:p>
        </w:tc>
      </w:tr>
      <w:tr>
        <w:tc>
          <w:p>
            <w:pPr>
              <w:pStyle w:val="Compact"/>
              <w:jc w:val="left"/>
            </w:pPr>
            <w:r>
              <w:t xml:space="preserve">Year 1 Q1</w:t>
            </w:r>
          </w:p>
        </w:tc>
        <w:tc>
          <w:p>
            <w:pPr>
              <w:pStyle w:val="Compact"/>
              <w:jc w:val="left"/>
            </w:pPr>
            <w:r>
              <w:t xml:space="preserve">Official launch, initial customer acquisition, core product rollout</w:t>
            </w:r>
          </w:p>
        </w:tc>
      </w:tr>
      <w:tr>
        <w:tc>
          <w:p>
            <w:pPr>
              <w:pStyle w:val="Compact"/>
              <w:jc w:val="left"/>
            </w:pPr>
            <w:r>
              <w:t xml:space="preserve">Year 1 Q2-Q4</w:t>
            </w:r>
          </w:p>
        </w:tc>
        <w:tc>
          <w:p>
            <w:pPr>
              <w:pStyle w:val="Compact"/>
              <w:jc w:val="left"/>
            </w:pPr>
            <w:r>
              <w:t xml:space="preserve">Expand product offerings, refine operations, scale customer support</w:t>
            </w:r>
          </w:p>
        </w:tc>
      </w:tr>
      <w:tr>
        <w:tc>
          <w:p>
            <w:pPr>
              <w:pStyle w:val="Compact"/>
              <w:jc w:val="left"/>
            </w:pPr>
            <w:r>
              <w:t xml:space="preserve">Year 2</w:t>
            </w:r>
          </w:p>
        </w:tc>
        <w:tc>
          <w:p>
            <w:pPr>
              <w:pStyle w:val="Compact"/>
              <w:jc w:val="left"/>
            </w:pPr>
            <w:r>
              <w:t xml:space="preserve">Enhance technology platform, expand business banking, increase market penetration</w:t>
            </w:r>
          </w:p>
        </w:tc>
      </w:tr>
      <w:tr>
        <w:tc>
          <w:p>
            <w:pPr>
              <w:pStyle w:val="Compact"/>
              <w:jc w:val="left"/>
            </w:pPr>
            <w:r>
              <w:t xml:space="preserve">Year 3</w:t>
            </w:r>
          </w:p>
        </w:tc>
        <w:tc>
          <w:p>
            <w:pPr>
              <w:pStyle w:val="Compact"/>
              <w:jc w:val="left"/>
            </w:pPr>
            <w:r>
              <w:t xml:space="preserve">Achieve profitability, introduce advanced services, prepare for potential expansion</w:t>
            </w:r>
          </w:p>
        </w:tc>
      </w:tr>
      <w:tr>
        <w:tc>
          <w:p>
            <w:pPr>
              <w:pStyle w:val="Compact"/>
              <w:jc w:val="left"/>
            </w:pPr>
            <w:r>
              <w:t xml:space="preserve">Year 4-5</w:t>
            </w:r>
          </w:p>
        </w:tc>
        <w:tc>
          <w:p>
            <w:pPr>
              <w:pStyle w:val="Compact"/>
              <w:jc w:val="left"/>
            </w:pPr>
            <w:r>
              <w:t xml:space="preserve">Scale operations, consider geographic expansion, potential IPO preparation</w:t>
            </w:r>
          </w:p>
        </w:tc>
      </w:tr>
    </w:tbl>
    <w:p>
      <w:pPr>
        <w:pStyle w:val="Heading2"/>
      </w:pPr>
      <w:bookmarkStart w:id="69" w:name="appendices"/>
      <w:r>
        <w:t xml:space="preserve">Appendices</w:t>
      </w:r>
      <w:bookmarkEnd w:id="69"/>
    </w:p>
    <w:p>
      <w:pPr>
        <w:pStyle w:val="Heading3"/>
      </w:pPr>
      <w:bookmarkStart w:id="70" w:name="appendix-a-market-research-data"/>
      <w:r>
        <w:t xml:space="preserve">Appendix A: Market Research Data</w:t>
      </w:r>
      <w:bookmarkEnd w:id="70"/>
    </w:p>
    <w:p>
      <w:pPr>
        <w:pStyle w:val="FirstParagraph"/>
      </w:pPr>
      <w:r>
        <w:t xml:space="preserve">Detailed analysis of the German banking sector, customer preferences, and competitive landscape.</w:t>
      </w:r>
    </w:p>
    <w:p>
      <w:pPr>
        <w:pStyle w:val="Heading3"/>
      </w:pPr>
      <w:bookmarkStart w:id="71" w:name="appendix-b-technology-infrastructure"/>
      <w:r>
        <w:t xml:space="preserve">Appendix B: Technology Infrastructure</w:t>
      </w:r>
      <w:bookmarkEnd w:id="71"/>
    </w:p>
    <w:p>
      <w:pPr>
        <w:pStyle w:val="FirstParagraph"/>
      </w:pPr>
      <w:r>
        <w:t xml:space="preserve">Technical specifications for the banking platform, security protocols, and integration capabilities.</w:t>
      </w:r>
    </w:p>
    <w:p>
      <w:pPr>
        <w:pStyle w:val="Heading3"/>
      </w:pPr>
      <w:bookmarkStart w:id="72" w:name="appendix-c-regulatory-framework"/>
      <w:r>
        <w:t xml:space="preserve">Appendix C: Regulatory Framework</w:t>
      </w:r>
      <w:bookmarkEnd w:id="72"/>
    </w:p>
    <w:p>
      <w:pPr>
        <w:pStyle w:val="FirstParagraph"/>
      </w:pPr>
      <w:r>
        <w:t xml:space="preserve">Comprehensive overview of relevant banking regulations and compliance requirements in Germany.</w:t>
      </w:r>
    </w:p>
    <w:p>
      <w:pPr>
        <w:pStyle w:val="Heading3"/>
      </w:pPr>
      <w:bookmarkStart w:id="73" w:name="appendix-d-detailed-financial-models"/>
      <w:r>
        <w:t xml:space="preserve">Appendix D: Detailed Financial Models</w:t>
      </w:r>
      <w:bookmarkEnd w:id="73"/>
    </w:p>
    <w:p>
      <w:pPr>
        <w:pStyle w:val="FirstParagraph"/>
      </w:pPr>
      <w:r>
        <w:t xml:space="preserve">Extended financial projections with sensitivity analysis and alternative scenarios.</w:t>
      </w:r>
    </w:p>
    <w:p>
      <w:pPr>
        <w:pStyle w:val="Heading3"/>
      </w:pPr>
      <w:bookmarkStart w:id="74" w:name="appendix-e-marketing-plan"/>
      <w:r>
        <w:t xml:space="preserve">Appendix E: Marketing Plan</w:t>
      </w:r>
      <w:bookmarkEnd w:id="74"/>
    </w:p>
    <w:p>
      <w:pPr>
        <w:pStyle w:val="FirstParagraph"/>
      </w:pPr>
      <w:r>
        <w:t xml:space="preserve">Comprehensive marketing strategy with campaign details and performance metrics.</w:t>
      </w:r>
    </w:p>
    <w:p>
      <w:pPr>
        <w:pStyle w:val="Heading3"/>
      </w:pPr>
      <w:bookmarkStart w:id="75" w:name="appendix-f-management-team-profiles"/>
      <w:r>
        <w:t xml:space="preserve">Appendix F: Management Team Profiles</w:t>
      </w:r>
      <w:bookmarkEnd w:id="75"/>
    </w:p>
    <w:p>
      <w:pPr>
        <w:pStyle w:val="FirstParagraph"/>
      </w:pPr>
      <w:r>
        <w:t xml:space="preserve">Detailed biographies and relevant experience of the executive leadership team.</w:t>
      </w:r>
    </w:p>
    <w:p>
      <w:pPr>
        <w:pStyle w:val="Heading3"/>
      </w:pPr>
      <w:bookmarkStart w:id="76" w:name="appendix-g-risk-management-framework"/>
      <w:r>
        <w:t xml:space="preserve">Appendix G: Risk Management Framework</w:t>
      </w:r>
      <w:bookmarkEnd w:id="76"/>
    </w:p>
    <w:p>
      <w:pPr>
        <w:pStyle w:val="FirstParagraph"/>
      </w:pPr>
      <w:r>
        <w:t xml:space="preserve">Comprehensive risk assessment methodology and mitigation strategies.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2025-03-22T15:47:58Z</dcterms:created>
  <dcterms:modified xsi:type="dcterms:W3CDTF">2025-03-22T15:47:58Z</dcterms:modified>
</cp:coreProperties>
</file>

<file path=docProps/custom.xml><?xml version="1.0" encoding="utf-8"?>
<Properties xmlns="http://schemas.openxmlformats.org/officeDocument/2006/custom-properties" xmlns:vt="http://schemas.openxmlformats.org/officeDocument/2006/docPropsVTypes"/>
</file>