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Names</w:t>
      </w:r>
    </w:p>
    <w:p>
      <w:pPr>
        <w:pStyle w:val="ListNumber"/>
      </w:pPr>
      <w:r>
        <w:t>Consent Under Conditions of Humanitarian Dependency: Biometric Registration and the Limits of Consent as a Lawful Basis in Rohingya Refugee Governance in Bangladesh</w:t>
      </w:r>
    </w:p>
    <w:p>
      <w:pPr>
        <w:pStyle w:val="ListNumber"/>
      </w:pPr>
      <w:r>
        <w:t>The Death Penalty in Modern World</w:t>
      </w:r>
    </w:p>
    <w:p>
      <w:pPr>
        <w:pStyle w:val="ListNumber"/>
      </w:pPr>
      <w:r>
        <w:t>Climate Justice Deficit and the Gender-Blind Environmental Laws in Bangladesh</w:t>
      </w:r>
    </w:p>
    <w:p>
      <w:pPr>
        <w:pStyle w:val="ListNumber"/>
      </w:pPr>
      <w:r>
        <w:t>The Jurisdictional Collision in Cox's Bazar: Conceptualizing "Digital Refoulement" as a Breach of Jus Cogens Norms and as an Abuse of Sovereignty in International Law</w:t>
      </w:r>
    </w:p>
    <w:p>
      <w:pPr>
        <w:pStyle w:val="ListNumber"/>
      </w:pPr>
      <w:r>
        <w:t>Examining the Cases for Recognizing Environmental Destruction as an International Crime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