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 Names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Paper 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 Socio-Legal Study on Policy Challenges in the Realization of Rights of the Turi Community in the Barind Tract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Climate Justice Deficit and the Gender-Blind Environmental Laws in Bangladesh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Consent Under Conditions of Humanitarian Dependency: Biometric Registration and the Limits of Consent as a Lawful Basis in Rohingya Refugee Governance in Bangladesh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Courts and Environment: Climate Justice in Nepal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The Jurisdictional Collision in Cox’s Bazar: Conceptualizing "Digital Refoulement" as a Breach of Jus Cogens Norms and as an Abuse of Sovereignty in International Law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Economic Transition, Migration and Refugee Law: Global, Regional and Domestic Challenges for Bangladesh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Examining the Case for Recognising Environmental Destruction as an International Crime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Necessity to Controversy: A Critical Appraisal of the Special Powers Act, 1974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Political Detention by Design: Analyzing the Special Powers Act, 1974 as an Instrument of Political Power Across Party Regimes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