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 Names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  <w:gridCol w:w="4320"/>
        <w:gridCol w:w="4320"/>
      </w:tblGrid>
      <w:tr>
        <w:tc>
          <w:tcPr>
            <w:tcW w:type="dxa" w:w="7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5760"/>
          </w:tcPr>
          <w:p>
            <w:r>
              <w:rPr>
                <w:b/>
              </w:rPr>
              <w:t>Paper Name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Plagiarism %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%</w:t>
            </w:r>
          </w:p>
        </w:tc>
      </w:tr>
      <w:tr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5760"/>
          </w:tcPr>
          <w:p>
            <w:r>
              <w:t>A Socio-Legal Study on Policy Challenges in the Realization of Rights of the Turi Community in the Barind Tract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2</w:t>
            </w:r>
          </w:p>
        </w:tc>
        <w:tc>
          <w:tcPr>
            <w:tcW w:type="dxa" w:w="5760"/>
          </w:tcPr>
          <w:p>
            <w:r>
              <w:t>Climate Justice Deficit and the Gender-Blind Environmental Laws in Bangladesh</w:t>
            </w:r>
          </w:p>
        </w:tc>
        <w:tc>
          <w:tcPr>
            <w:tcW w:type="dxa" w:w="1440"/>
          </w:tcPr>
          <w:p>
            <w:r>
              <w:t>11%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5760"/>
          </w:tcPr>
          <w:p>
            <w:r>
              <w:t>Consent Under Conditions of Humanitarian Dependency: Biometric Registration and the Limits of Consent as a Lawful Basis in Rohingya Refugee Governance in Bangladesh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5760"/>
          </w:tcPr>
          <w:p>
            <w:r>
              <w:t>Courts and Environment: Climate Justice in Nepal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5</w:t>
            </w:r>
          </w:p>
        </w:tc>
        <w:tc>
          <w:tcPr>
            <w:tcW w:type="dxa" w:w="5760"/>
          </w:tcPr>
          <w:p>
            <w:r>
              <w:t>The Jurisdictional Collision in Cox’s Bazar: Conceptualizing "Digital Refoulement" as a Breach of Jus Cogens Norms and as an Abuse of Sovereignty in International Law</w:t>
            </w:r>
          </w:p>
        </w:tc>
        <w:tc>
          <w:tcPr>
            <w:tcW w:type="dxa" w:w="1440"/>
          </w:tcPr>
          <w:p>
            <w:r>
              <w:t>9%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5760"/>
          </w:tcPr>
          <w:p>
            <w:r>
              <w:t>Economic Transition, Migration and Refugee Law: Global, Regional and Domestic Challenges for Bangladesh</w:t>
            </w:r>
          </w:p>
        </w:tc>
        <w:tc>
          <w:tcPr>
            <w:tcW w:type="dxa" w:w="1440"/>
          </w:tcPr>
          <w:p>
            <w:r>
              <w:t>10%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7</w:t>
            </w:r>
          </w:p>
        </w:tc>
        <w:tc>
          <w:tcPr>
            <w:tcW w:type="dxa" w:w="5760"/>
          </w:tcPr>
          <w:p>
            <w:r>
              <w:t>Examining the Case for Recognising Environmental Destruction as an International Crime</w:t>
            </w:r>
          </w:p>
        </w:tc>
        <w:tc>
          <w:tcPr>
            <w:tcW w:type="dxa" w:w="1440"/>
          </w:tcPr>
          <w:p>
            <w:r>
              <w:t>16%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8</w:t>
            </w:r>
          </w:p>
        </w:tc>
        <w:tc>
          <w:tcPr>
            <w:tcW w:type="dxa" w:w="5760"/>
          </w:tcPr>
          <w:p>
            <w:r>
              <w:t>Necessity to Controversy: A Critical Appraisal of the Special Powers Act, 1974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5760"/>
          </w:tcPr>
          <w:p>
            <w:r>
              <w:t>Political Detention by Design: Analyzing the Special Powers Act, 1974 as an Instrument of Political Power Across Party Regimes</w:t>
            </w:r>
          </w:p>
        </w:tc>
        <w:tc>
          <w:tcPr>
            <w:tcW w:type="dxa" w:w="1440"/>
          </w:tcPr>
          <w:p>
            <w:r>
              <w:t>4%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10</w:t>
            </w:r>
          </w:p>
        </w:tc>
        <w:tc>
          <w:tcPr>
            <w:tcW w:type="dxa" w:w="5760"/>
          </w:tcPr>
          <w:p>
            <w:r>
              <w:t>Refugees Are Often Faced Challenges: Differences Between Theory and Practice for Refugee Rights Protection in South Asian Subcontinent</w:t>
            </w:r>
          </w:p>
        </w:tc>
        <w:tc>
          <w:tcPr>
            <w:tcW w:type="dxa" w:w="1440"/>
          </w:tcPr>
          <w:p>
            <w:r>
              <w:t>13%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11</w:t>
            </w:r>
          </w:p>
        </w:tc>
        <w:tc>
          <w:tcPr>
            <w:tcW w:type="dxa" w:w="5760"/>
          </w:tcPr>
          <w:p>
            <w:r>
              <w:t>The Death Penalty in the Modern World</w:t>
            </w:r>
          </w:p>
        </w:tc>
        <w:tc>
          <w:tcPr>
            <w:tcW w:type="dxa" w:w="1440"/>
          </w:tcPr>
          <w:p>
            <w:r>
              <w:t>2%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  <w:tr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5760"/>
          </w:tcPr>
          <w:p>
            <w:r>
              <w:t>Transboundary Environmental Pollution in Bangladesh: Risks, Hurdles and Possibilities Under the International Framework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Not in report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