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Paper Name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A Socio-Legal Study on Policy Challenges in the Realization of Rights of the Turi Community in the Barind Tract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Climate Justice Deficit and the Gender-Blind Environmental Laws in Bangladesh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Consent Under Conditions of Humanitarian Dependency: Biometric Registration and the Limits of Consent as a Lawful Basis in Rohingya Refugee Governance in Bangladesh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Courts and Environment: Climate Justice in Nepal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The Jurisdictional Collision in Cox’s Bazar: Conceptualizing "Digital Refoulement" as a Breach of Jus Cogens Norms and as an Abuse of Sovereignty in International Law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