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CC8" w:rsidRPr="001A4F78" w:rsidRDefault="00A15C84" w:rsidP="006E2430">
      <w:pPr>
        <w:rPr>
          <w:b/>
          <w:bCs/>
          <w:color w:val="000000"/>
          <w:sz w:val="32"/>
          <w:szCs w:val="30"/>
          <w:u w:val="single"/>
        </w:rPr>
      </w:pPr>
      <w:bookmarkStart w:id="0" w:name="_GoBack"/>
      <w:r w:rsidRPr="001A4F78">
        <w:rPr>
          <w:b/>
          <w:bCs/>
          <w:color w:val="000000"/>
          <w:sz w:val="32"/>
          <w:szCs w:val="30"/>
          <w:u w:val="single"/>
        </w:rPr>
        <w:t xml:space="preserve">Supplementary File S1. </w:t>
      </w:r>
      <w:r w:rsidR="006E3E9B" w:rsidRPr="001A4F78">
        <w:rPr>
          <w:b/>
          <w:bCs/>
          <w:color w:val="000000"/>
          <w:sz w:val="32"/>
          <w:szCs w:val="30"/>
          <w:u w:val="single"/>
        </w:rPr>
        <w:t>Technical Appendix for</w:t>
      </w:r>
      <w:r w:rsidR="00F11CC8" w:rsidRPr="001A4F78">
        <w:rPr>
          <w:b/>
          <w:bCs/>
          <w:color w:val="000000"/>
          <w:sz w:val="32"/>
          <w:szCs w:val="30"/>
          <w:u w:val="single"/>
        </w:rPr>
        <w:t xml:space="preserve"> manuscript:</w:t>
      </w:r>
    </w:p>
    <w:p w:rsidR="001A4F78" w:rsidRDefault="001A4F78" w:rsidP="00A15C84">
      <w:pPr>
        <w:rPr>
          <w:b/>
          <w:bCs/>
          <w:color w:val="000000"/>
          <w:sz w:val="28"/>
          <w:szCs w:val="30"/>
        </w:rPr>
      </w:pPr>
    </w:p>
    <w:p w:rsidR="00A15C84" w:rsidRPr="00293B0C" w:rsidRDefault="00A15C84" w:rsidP="00A15C84">
      <w:pPr>
        <w:rPr>
          <w:b/>
          <w:bCs/>
          <w:color w:val="000000"/>
          <w:sz w:val="28"/>
          <w:szCs w:val="30"/>
        </w:rPr>
      </w:pPr>
      <w:r>
        <w:rPr>
          <w:b/>
          <w:bCs/>
          <w:color w:val="000000"/>
          <w:sz w:val="28"/>
          <w:szCs w:val="30"/>
        </w:rPr>
        <w:t xml:space="preserve">Genotyping Genetically Heterogeneous </w:t>
      </w:r>
      <w:r w:rsidRPr="00293B0C">
        <w:rPr>
          <w:b/>
          <w:bCs/>
          <w:i/>
          <w:color w:val="000000"/>
          <w:sz w:val="28"/>
          <w:szCs w:val="30"/>
        </w:rPr>
        <w:t>Cyclospora cayetanensis</w:t>
      </w:r>
      <w:r>
        <w:rPr>
          <w:b/>
          <w:bCs/>
          <w:color w:val="000000"/>
          <w:sz w:val="28"/>
          <w:szCs w:val="30"/>
        </w:rPr>
        <w:t xml:space="preserve"> I</w:t>
      </w:r>
      <w:r w:rsidRPr="00293B0C">
        <w:rPr>
          <w:b/>
          <w:bCs/>
          <w:color w:val="000000"/>
          <w:sz w:val="28"/>
          <w:szCs w:val="30"/>
        </w:rPr>
        <w:t xml:space="preserve">nfections </w:t>
      </w:r>
      <w:r>
        <w:rPr>
          <w:b/>
          <w:bCs/>
          <w:color w:val="000000"/>
          <w:sz w:val="28"/>
          <w:szCs w:val="30"/>
        </w:rPr>
        <w:t>to Complement Epidemiological C</w:t>
      </w:r>
      <w:r w:rsidRPr="00293B0C">
        <w:rPr>
          <w:b/>
          <w:bCs/>
          <w:color w:val="000000"/>
          <w:sz w:val="28"/>
          <w:szCs w:val="30"/>
        </w:rPr>
        <w:t>ase</w:t>
      </w:r>
      <w:r>
        <w:rPr>
          <w:b/>
          <w:bCs/>
          <w:color w:val="000000"/>
          <w:sz w:val="28"/>
          <w:szCs w:val="30"/>
        </w:rPr>
        <w:t xml:space="preserve"> L</w:t>
      </w:r>
      <w:r w:rsidRPr="00293B0C">
        <w:rPr>
          <w:b/>
          <w:bCs/>
          <w:color w:val="000000"/>
          <w:sz w:val="28"/>
          <w:szCs w:val="30"/>
        </w:rPr>
        <w:t>inkage</w:t>
      </w:r>
    </w:p>
    <w:p w:rsidR="006E2430" w:rsidRPr="0050290F" w:rsidRDefault="006E2430" w:rsidP="006E2430">
      <w:pPr>
        <w:rPr>
          <w:b/>
          <w:bCs/>
          <w:color w:val="000000"/>
          <w:sz w:val="28"/>
          <w:szCs w:val="30"/>
        </w:rPr>
      </w:pPr>
    </w:p>
    <w:p w:rsidR="006E2430" w:rsidRPr="00220C10" w:rsidRDefault="006E2430" w:rsidP="006E2430">
      <w:r>
        <w:rPr>
          <w:color w:val="000000"/>
        </w:rPr>
        <w:t>Joel L. N. Barratt</w:t>
      </w:r>
      <w:r w:rsidRPr="00393B43">
        <w:rPr>
          <w:color w:val="000000"/>
          <w:vertAlign w:val="superscript"/>
        </w:rPr>
        <w:t>1,2</w:t>
      </w:r>
      <w:r>
        <w:rPr>
          <w:color w:val="000000"/>
          <w:vertAlign w:val="superscript"/>
        </w:rPr>
        <w:t>,</w:t>
      </w:r>
      <w:r w:rsidRPr="00856308">
        <w:rPr>
          <w:color w:val="000000"/>
          <w:vertAlign w:val="superscript"/>
        </w:rPr>
        <w:t>†</w:t>
      </w:r>
      <w:r>
        <w:rPr>
          <w:color w:val="000000"/>
          <w:vertAlign w:val="superscript"/>
        </w:rPr>
        <w:t>*</w:t>
      </w:r>
      <w:r>
        <w:rPr>
          <w:color w:val="000000"/>
        </w:rPr>
        <w:t xml:space="preserve">, </w:t>
      </w:r>
      <w:proofErr w:type="spellStart"/>
      <w:r w:rsidRPr="00220C10">
        <w:rPr>
          <w:color w:val="000000"/>
        </w:rPr>
        <w:t>Subin</w:t>
      </w:r>
      <w:proofErr w:type="spellEnd"/>
      <w:r w:rsidRPr="00220C10">
        <w:rPr>
          <w:color w:val="000000"/>
        </w:rPr>
        <w:t xml:space="preserve"> Park</w:t>
      </w:r>
      <w:r w:rsidRPr="00220C10">
        <w:rPr>
          <w:color w:val="000000"/>
          <w:vertAlign w:val="superscript"/>
        </w:rPr>
        <w:t>1,2</w:t>
      </w:r>
      <w:r>
        <w:rPr>
          <w:color w:val="000000"/>
          <w:vertAlign w:val="superscript"/>
        </w:rPr>
        <w:t>,</w:t>
      </w:r>
      <w:r w:rsidRPr="00F34BB5">
        <w:rPr>
          <w:color w:val="000000"/>
          <w:vertAlign w:val="superscript"/>
        </w:rPr>
        <w:t>†</w:t>
      </w:r>
      <w:r>
        <w:rPr>
          <w:color w:val="000000"/>
        </w:rPr>
        <w:t xml:space="preserve">, </w:t>
      </w:r>
      <w:r w:rsidRPr="00220C10">
        <w:rPr>
          <w:color w:val="000000"/>
        </w:rPr>
        <w:t>Fernanda S.</w:t>
      </w:r>
      <w:r>
        <w:rPr>
          <w:color w:val="000000"/>
        </w:rPr>
        <w:t xml:space="preserve"> </w:t>
      </w:r>
      <w:r w:rsidRPr="00220C10">
        <w:rPr>
          <w:color w:val="000000"/>
        </w:rPr>
        <w:t>Nascimento</w:t>
      </w:r>
      <w:r w:rsidRPr="00220C10">
        <w:rPr>
          <w:color w:val="000000"/>
          <w:vertAlign w:val="superscript"/>
        </w:rPr>
        <w:t>1</w:t>
      </w:r>
      <w:r w:rsidRPr="00220C10">
        <w:rPr>
          <w:color w:val="000000"/>
        </w:rPr>
        <w:t>, Jessica Hofstetter</w:t>
      </w:r>
      <w:r w:rsidRPr="00220C10">
        <w:rPr>
          <w:color w:val="000000"/>
          <w:vertAlign w:val="superscript"/>
        </w:rPr>
        <w:t>1,2</w:t>
      </w:r>
      <w:r w:rsidRPr="00220C10">
        <w:rPr>
          <w:color w:val="000000"/>
        </w:rPr>
        <w:t xml:space="preserve">, </w:t>
      </w:r>
      <w:r w:rsidRPr="000763BA">
        <w:rPr>
          <w:color w:val="000000"/>
        </w:rPr>
        <w:t>Mateusz Plucinski</w:t>
      </w:r>
      <w:r>
        <w:rPr>
          <w:color w:val="000000"/>
          <w:vertAlign w:val="superscript"/>
        </w:rPr>
        <w:t>4</w:t>
      </w:r>
      <w:r>
        <w:rPr>
          <w:color w:val="000000"/>
        </w:rPr>
        <w:t>, S</w:t>
      </w:r>
      <w:r w:rsidRPr="002B2D3D">
        <w:rPr>
          <w:color w:val="000000"/>
        </w:rPr>
        <w:t xml:space="preserve">hannon </w:t>
      </w:r>
      <w:r>
        <w:rPr>
          <w:color w:val="000000"/>
        </w:rPr>
        <w:t>Casillas</w:t>
      </w:r>
      <w:r w:rsidRPr="002B2D3D">
        <w:rPr>
          <w:color w:val="000000"/>
          <w:vertAlign w:val="superscript"/>
        </w:rPr>
        <w:t>1</w:t>
      </w:r>
      <w:r>
        <w:rPr>
          <w:color w:val="000000"/>
        </w:rPr>
        <w:t xml:space="preserve">, </w:t>
      </w:r>
      <w:r w:rsidRPr="00220C10">
        <w:rPr>
          <w:color w:val="000000"/>
        </w:rPr>
        <w:t>Richard S. Bradbury</w:t>
      </w:r>
      <w:r w:rsidRPr="00F3627D">
        <w:rPr>
          <w:color w:val="000000"/>
          <w:vertAlign w:val="superscript"/>
        </w:rPr>
        <w:t>1</w:t>
      </w:r>
      <w:r w:rsidRPr="00220C10">
        <w:rPr>
          <w:color w:val="000000"/>
        </w:rPr>
        <w:t>, Michael J. Arrowood</w:t>
      </w:r>
      <w:r w:rsidRPr="00220C10">
        <w:rPr>
          <w:color w:val="000000"/>
          <w:vertAlign w:val="superscript"/>
        </w:rPr>
        <w:t>3</w:t>
      </w:r>
      <w:r w:rsidRPr="00D32E7A">
        <w:rPr>
          <w:color w:val="000000"/>
        </w:rPr>
        <w:t xml:space="preserve">, </w:t>
      </w:r>
      <w:r>
        <w:rPr>
          <w:color w:val="000000"/>
        </w:rPr>
        <w:t>Y</w:t>
      </w:r>
      <w:r w:rsidRPr="00220C10">
        <w:rPr>
          <w:color w:val="000000"/>
        </w:rPr>
        <w:t>vonne Qvarnstrom</w:t>
      </w:r>
      <w:r>
        <w:rPr>
          <w:color w:val="000000"/>
          <w:vertAlign w:val="superscript"/>
        </w:rPr>
        <w:t>1</w:t>
      </w:r>
      <w:r>
        <w:rPr>
          <w:color w:val="000000"/>
        </w:rPr>
        <w:t>,</w:t>
      </w:r>
      <w:r w:rsidRPr="00F3627D">
        <w:rPr>
          <w:color w:val="000000"/>
        </w:rPr>
        <w:t xml:space="preserve"> </w:t>
      </w:r>
      <w:proofErr w:type="spellStart"/>
      <w:r w:rsidRPr="00220C10">
        <w:rPr>
          <w:color w:val="000000"/>
        </w:rPr>
        <w:t>E</w:t>
      </w:r>
      <w:r>
        <w:rPr>
          <w:color w:val="000000"/>
        </w:rPr>
        <w:t>ldin</w:t>
      </w:r>
      <w:proofErr w:type="spellEnd"/>
      <w:r>
        <w:rPr>
          <w:color w:val="000000"/>
        </w:rPr>
        <w:t xml:space="preserve"> Talundzic</w:t>
      </w:r>
      <w:r w:rsidRPr="00220C10">
        <w:rPr>
          <w:color w:val="000000"/>
          <w:vertAlign w:val="superscript"/>
        </w:rPr>
        <w:t>4</w:t>
      </w:r>
    </w:p>
    <w:p w:rsidR="006E2430" w:rsidRPr="001C0E04" w:rsidRDefault="006E2430" w:rsidP="006E2430">
      <w:pPr>
        <w:rPr>
          <w:b/>
          <w:sz w:val="22"/>
        </w:rPr>
      </w:pPr>
      <w:r w:rsidRPr="001C0E04">
        <w:rPr>
          <w:b/>
          <w:sz w:val="22"/>
        </w:rPr>
        <w:t> </w:t>
      </w:r>
    </w:p>
    <w:p w:rsidR="006E2430" w:rsidRPr="001C0E04" w:rsidRDefault="006E2430" w:rsidP="006E2430">
      <w:pPr>
        <w:rPr>
          <w:sz w:val="20"/>
        </w:rPr>
      </w:pPr>
      <w:r w:rsidRPr="001C0E04">
        <w:rPr>
          <w:bCs/>
          <w:sz w:val="20"/>
          <w:vertAlign w:val="superscript"/>
        </w:rPr>
        <w:t xml:space="preserve">1 </w:t>
      </w:r>
      <w:r w:rsidRPr="001C0E04">
        <w:rPr>
          <w:sz w:val="20"/>
        </w:rPr>
        <w:t>Parasitic Disease</w:t>
      </w:r>
      <w:r>
        <w:rPr>
          <w:sz w:val="20"/>
        </w:rPr>
        <w:t>s</w:t>
      </w:r>
      <w:r w:rsidRPr="001C0E04">
        <w:rPr>
          <w:sz w:val="20"/>
        </w:rPr>
        <w:t xml:space="preserve"> Branch, Division of Parasitic Disease</w:t>
      </w:r>
      <w:r>
        <w:rPr>
          <w:sz w:val="20"/>
        </w:rPr>
        <w:t>s</w:t>
      </w:r>
      <w:r w:rsidRPr="001C0E04">
        <w:rPr>
          <w:sz w:val="20"/>
        </w:rPr>
        <w:t xml:space="preserve"> and Malaria, Center for Global Health, Centers for Disease Control and Prevention, Atlanta, GA, USA</w:t>
      </w:r>
    </w:p>
    <w:p w:rsidR="006E2430" w:rsidRPr="001C0E04" w:rsidRDefault="006E2430" w:rsidP="006E2430">
      <w:pPr>
        <w:rPr>
          <w:sz w:val="20"/>
        </w:rPr>
      </w:pPr>
      <w:r w:rsidRPr="001C0E04">
        <w:rPr>
          <w:bCs/>
          <w:sz w:val="20"/>
          <w:vertAlign w:val="superscript"/>
        </w:rPr>
        <w:t>2</w:t>
      </w:r>
      <w:r w:rsidRPr="001C0E04">
        <w:rPr>
          <w:bCs/>
          <w:sz w:val="20"/>
        </w:rPr>
        <w:t xml:space="preserve"> </w:t>
      </w:r>
      <w:r w:rsidRPr="001C0E04">
        <w:rPr>
          <w:sz w:val="20"/>
        </w:rPr>
        <w:t>Oak Ridge Institute for Science and Education, Oak ridge, TN, USA</w:t>
      </w:r>
    </w:p>
    <w:p w:rsidR="006E2430" w:rsidRPr="001C0E04" w:rsidRDefault="006E2430" w:rsidP="006E2430">
      <w:pPr>
        <w:rPr>
          <w:sz w:val="20"/>
        </w:rPr>
      </w:pPr>
      <w:r w:rsidRPr="001C0E04">
        <w:rPr>
          <w:bCs/>
          <w:sz w:val="20"/>
          <w:vertAlign w:val="superscript"/>
        </w:rPr>
        <w:t>3</w:t>
      </w:r>
      <w:r w:rsidRPr="001C0E04">
        <w:rPr>
          <w:sz w:val="20"/>
        </w:rPr>
        <w:t>Waterborne Disease Prevention Branch, National Center for Enteric and Zoonotic Infectious Diseases, Center</w:t>
      </w:r>
      <w:r>
        <w:rPr>
          <w:sz w:val="20"/>
        </w:rPr>
        <w:t>s</w:t>
      </w:r>
      <w:r w:rsidRPr="001C0E04">
        <w:rPr>
          <w:sz w:val="20"/>
        </w:rPr>
        <w:t xml:space="preserve"> for Disease Control and Prevention, Atlanta, GA, USA</w:t>
      </w:r>
    </w:p>
    <w:p w:rsidR="006E2430" w:rsidRPr="001C0E04" w:rsidRDefault="006E2430" w:rsidP="006E2430">
      <w:pPr>
        <w:rPr>
          <w:sz w:val="20"/>
        </w:rPr>
      </w:pPr>
      <w:r w:rsidRPr="001C0E04">
        <w:rPr>
          <w:sz w:val="20"/>
          <w:vertAlign w:val="superscript"/>
        </w:rPr>
        <w:t>4</w:t>
      </w:r>
      <w:r w:rsidRPr="001C0E04">
        <w:rPr>
          <w:sz w:val="20"/>
        </w:rPr>
        <w:t>Malaria Branch, Division of Parasitic Diseases and Malaria, Center for Global Health, Centers for Disease Control and Prevention, Atlanta</w:t>
      </w:r>
      <w:r>
        <w:rPr>
          <w:sz w:val="20"/>
        </w:rPr>
        <w:t>,</w:t>
      </w:r>
      <w:r w:rsidRPr="001C0E04">
        <w:rPr>
          <w:sz w:val="20"/>
        </w:rPr>
        <w:t xml:space="preserve"> Georgia, </w:t>
      </w:r>
      <w:r>
        <w:rPr>
          <w:sz w:val="20"/>
        </w:rPr>
        <w:t>USA</w:t>
      </w:r>
    </w:p>
    <w:p w:rsidR="006E2430" w:rsidRPr="0047619E" w:rsidRDefault="006E2430" w:rsidP="006E2430">
      <w:pPr>
        <w:rPr>
          <w:sz w:val="22"/>
        </w:rPr>
      </w:pPr>
    </w:p>
    <w:p w:rsidR="006E2430" w:rsidRPr="0047619E" w:rsidRDefault="006E2430" w:rsidP="006E2430">
      <w:pPr>
        <w:rPr>
          <w:sz w:val="22"/>
        </w:rPr>
      </w:pPr>
    </w:p>
    <w:p w:rsidR="006E2430" w:rsidRDefault="006E2430" w:rsidP="006E2430">
      <w:pPr>
        <w:rPr>
          <w:sz w:val="22"/>
        </w:rPr>
      </w:pPr>
      <w:r w:rsidRPr="00574D1E">
        <w:rPr>
          <w:sz w:val="22"/>
          <w:vertAlign w:val="superscript"/>
        </w:rPr>
        <w:t>†</w:t>
      </w:r>
      <w:r>
        <w:rPr>
          <w:sz w:val="22"/>
        </w:rPr>
        <w:t>Authors contributed equally</w:t>
      </w:r>
    </w:p>
    <w:p w:rsidR="006E2430" w:rsidRDefault="006E2430" w:rsidP="006E2430">
      <w:pPr>
        <w:rPr>
          <w:sz w:val="22"/>
        </w:rPr>
      </w:pPr>
      <w:r>
        <w:rPr>
          <w:sz w:val="22"/>
        </w:rPr>
        <w:t>*</w:t>
      </w:r>
      <w:r w:rsidRPr="00FE4825">
        <w:rPr>
          <w:sz w:val="22"/>
        </w:rPr>
        <w:t>To whom cor</w:t>
      </w:r>
      <w:r>
        <w:rPr>
          <w:sz w:val="22"/>
        </w:rPr>
        <w:t xml:space="preserve">respondence should be addressed. </w:t>
      </w:r>
      <w:r>
        <w:t xml:space="preserve">Email: </w:t>
      </w:r>
      <w:hyperlink r:id="rId8" w:history="1">
        <w:r w:rsidRPr="00A241FF">
          <w:rPr>
            <w:rStyle w:val="Hyperlink"/>
            <w:sz w:val="22"/>
          </w:rPr>
          <w:t>jbarratt@cdc.gov</w:t>
        </w:r>
      </w:hyperlink>
      <w:r>
        <w:rPr>
          <w:sz w:val="22"/>
        </w:rPr>
        <w:t xml:space="preserve"> Alternative email:  </w:t>
      </w:r>
      <w:hyperlink r:id="rId9" w:history="1">
        <w:r w:rsidRPr="00564140">
          <w:rPr>
            <w:rStyle w:val="Hyperlink"/>
            <w:sz w:val="22"/>
          </w:rPr>
          <w:t>joelbarratt43@gmail.com</w:t>
        </w:r>
      </w:hyperlink>
    </w:p>
    <w:p w:rsidR="001A4F78" w:rsidRDefault="001A4F78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</w:p>
    <w:p w:rsidR="001A4F78" w:rsidRDefault="001A4F78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</w:p>
    <w:p w:rsidR="001A4F78" w:rsidRDefault="001A4F78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104614" w:rsidRPr="002663D1" w:rsidRDefault="00104614" w:rsidP="00104614">
      <w:pPr>
        <w:pStyle w:val="Heading1"/>
        <w:rPr>
          <w:sz w:val="32"/>
        </w:rPr>
      </w:pPr>
      <w:bookmarkStart w:id="1" w:name="_Toc531617691"/>
      <w:bookmarkStart w:id="2" w:name="_Toc531617714"/>
      <w:bookmarkStart w:id="3" w:name="_Toc531617758"/>
      <w:bookmarkStart w:id="4" w:name="_Toc3221401"/>
      <w:r w:rsidRPr="002663D1">
        <w:rPr>
          <w:sz w:val="32"/>
        </w:rPr>
        <w:lastRenderedPageBreak/>
        <w:t>Table of Contents</w:t>
      </w:r>
      <w:bookmarkEnd w:id="1"/>
      <w:bookmarkEnd w:id="2"/>
      <w:bookmarkEnd w:id="3"/>
      <w:bookmarkEnd w:id="4"/>
    </w:p>
    <w:p w:rsidR="002574B9" w:rsidRDefault="001A4F78">
      <w:pPr>
        <w:pStyle w:val="TOC1"/>
        <w:tabs>
          <w:tab w:val="right" w:leader="dot" w:pos="9010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val="en-AU" w:eastAsia="en-AU"/>
        </w:rPr>
      </w:pPr>
      <w:r>
        <w:rPr>
          <w:rFonts w:eastAsiaTheme="majorEastAsia"/>
          <w:b w:val="0"/>
          <w:bCs w:val="0"/>
          <w:szCs w:val="24"/>
        </w:rPr>
        <w:fldChar w:fldCharType="begin"/>
      </w:r>
      <w:r>
        <w:rPr>
          <w:rFonts w:eastAsiaTheme="majorEastAsia"/>
        </w:rPr>
        <w:instrText xml:space="preserve"> TOC \o "1-3" \h \z \u </w:instrText>
      </w:r>
      <w:r>
        <w:rPr>
          <w:rFonts w:eastAsiaTheme="majorEastAsia"/>
          <w:b w:val="0"/>
          <w:bCs w:val="0"/>
          <w:szCs w:val="24"/>
        </w:rPr>
        <w:fldChar w:fldCharType="separate"/>
      </w:r>
      <w:hyperlink w:anchor="_Toc3221401" w:history="1">
        <w:r w:rsidR="002574B9" w:rsidRPr="00FC2DC7">
          <w:rPr>
            <w:rStyle w:val="Hyperlink"/>
            <w:noProof/>
          </w:rPr>
          <w:t>Table of Contents</w:t>
        </w:r>
        <w:r w:rsidR="002574B9">
          <w:rPr>
            <w:noProof/>
            <w:webHidden/>
          </w:rPr>
          <w:tab/>
        </w:r>
        <w:r w:rsidR="002574B9">
          <w:rPr>
            <w:noProof/>
            <w:webHidden/>
          </w:rPr>
          <w:fldChar w:fldCharType="begin"/>
        </w:r>
        <w:r w:rsidR="002574B9">
          <w:rPr>
            <w:noProof/>
            <w:webHidden/>
          </w:rPr>
          <w:instrText xml:space="preserve"> PAGEREF _Toc3221401 \h </w:instrText>
        </w:r>
        <w:r w:rsidR="002574B9">
          <w:rPr>
            <w:noProof/>
            <w:webHidden/>
          </w:rPr>
        </w:r>
        <w:r w:rsidR="002574B9">
          <w:rPr>
            <w:noProof/>
            <w:webHidden/>
          </w:rPr>
          <w:fldChar w:fldCharType="separate"/>
        </w:r>
        <w:r w:rsidR="002574B9">
          <w:rPr>
            <w:noProof/>
            <w:webHidden/>
          </w:rPr>
          <w:t>ii</w:t>
        </w:r>
        <w:r w:rsidR="002574B9">
          <w:rPr>
            <w:noProof/>
            <w:webHidden/>
          </w:rPr>
          <w:fldChar w:fldCharType="end"/>
        </w:r>
      </w:hyperlink>
    </w:p>
    <w:p w:rsidR="002574B9" w:rsidRDefault="00414814">
      <w:pPr>
        <w:pStyle w:val="TOC1"/>
        <w:tabs>
          <w:tab w:val="right" w:leader="dot" w:pos="9010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val="en-AU" w:eastAsia="en-AU"/>
        </w:rPr>
      </w:pPr>
      <w:hyperlink w:anchor="_Toc3221402" w:history="1">
        <w:r w:rsidR="002574B9" w:rsidRPr="00FC2DC7">
          <w:rPr>
            <w:rStyle w:val="Hyperlink"/>
            <w:noProof/>
          </w:rPr>
          <w:t>Description of the Heuristic Algorithm</w:t>
        </w:r>
        <w:r w:rsidR="002574B9">
          <w:rPr>
            <w:noProof/>
            <w:webHidden/>
          </w:rPr>
          <w:tab/>
        </w:r>
        <w:r w:rsidR="002574B9">
          <w:rPr>
            <w:noProof/>
            <w:webHidden/>
          </w:rPr>
          <w:fldChar w:fldCharType="begin"/>
        </w:r>
        <w:r w:rsidR="002574B9">
          <w:rPr>
            <w:noProof/>
            <w:webHidden/>
          </w:rPr>
          <w:instrText xml:space="preserve"> PAGEREF _Toc3221402 \h </w:instrText>
        </w:r>
        <w:r w:rsidR="002574B9">
          <w:rPr>
            <w:noProof/>
            <w:webHidden/>
          </w:rPr>
        </w:r>
        <w:r w:rsidR="002574B9">
          <w:rPr>
            <w:noProof/>
            <w:webHidden/>
          </w:rPr>
          <w:fldChar w:fldCharType="separate"/>
        </w:r>
        <w:r w:rsidR="002574B9">
          <w:rPr>
            <w:noProof/>
            <w:webHidden/>
          </w:rPr>
          <w:t>1</w:t>
        </w:r>
        <w:r w:rsidR="002574B9">
          <w:rPr>
            <w:noProof/>
            <w:webHidden/>
          </w:rPr>
          <w:fldChar w:fldCharType="end"/>
        </w:r>
      </w:hyperlink>
    </w:p>
    <w:p w:rsidR="002574B9" w:rsidRDefault="00414814">
      <w:pPr>
        <w:pStyle w:val="TOC1"/>
        <w:tabs>
          <w:tab w:val="right" w:leader="dot" w:pos="9010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val="en-AU" w:eastAsia="en-AU"/>
        </w:rPr>
      </w:pPr>
      <w:hyperlink w:anchor="_Toc3221403" w:history="1">
        <w:r w:rsidR="002574B9" w:rsidRPr="00FC2DC7">
          <w:rPr>
            <w:rStyle w:val="Hyperlink"/>
            <w:noProof/>
          </w:rPr>
          <w:t>Description of the Bayesian Algorithm</w:t>
        </w:r>
        <w:r w:rsidR="002574B9">
          <w:rPr>
            <w:noProof/>
            <w:webHidden/>
          </w:rPr>
          <w:tab/>
        </w:r>
        <w:r w:rsidR="002574B9">
          <w:rPr>
            <w:noProof/>
            <w:webHidden/>
          </w:rPr>
          <w:fldChar w:fldCharType="begin"/>
        </w:r>
        <w:r w:rsidR="002574B9">
          <w:rPr>
            <w:noProof/>
            <w:webHidden/>
          </w:rPr>
          <w:instrText xml:space="preserve"> PAGEREF _Toc3221403 \h </w:instrText>
        </w:r>
        <w:r w:rsidR="002574B9">
          <w:rPr>
            <w:noProof/>
            <w:webHidden/>
          </w:rPr>
        </w:r>
        <w:r w:rsidR="002574B9">
          <w:rPr>
            <w:noProof/>
            <w:webHidden/>
          </w:rPr>
          <w:fldChar w:fldCharType="separate"/>
        </w:r>
        <w:r w:rsidR="002574B9">
          <w:rPr>
            <w:noProof/>
            <w:webHidden/>
          </w:rPr>
          <w:t>5</w:t>
        </w:r>
        <w:r w:rsidR="002574B9">
          <w:rPr>
            <w:noProof/>
            <w:webHidden/>
          </w:rPr>
          <w:fldChar w:fldCharType="end"/>
        </w:r>
      </w:hyperlink>
    </w:p>
    <w:p w:rsidR="002574B9" w:rsidRDefault="00414814">
      <w:pPr>
        <w:pStyle w:val="TOC1"/>
        <w:tabs>
          <w:tab w:val="right" w:leader="dot" w:pos="9010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val="en-AU" w:eastAsia="en-AU"/>
        </w:rPr>
      </w:pPr>
      <w:hyperlink w:anchor="_Toc3221404" w:history="1">
        <w:r w:rsidR="002574B9" w:rsidRPr="00FC2DC7">
          <w:rPr>
            <w:rStyle w:val="Hyperlink"/>
            <w:noProof/>
          </w:rPr>
          <w:t>Concordance of Genetic Clustering and Epidemiological Data (</w:t>
        </w:r>
        <w:r w:rsidR="002574B9" w:rsidRPr="00FC2DC7">
          <w:rPr>
            <w:rStyle w:val="Hyperlink"/>
            <w:i/>
            <w:noProof/>
          </w:rPr>
          <w:t>P</w:t>
        </w:r>
        <w:r w:rsidR="002574B9" w:rsidRPr="00FC2DC7">
          <w:rPr>
            <w:rStyle w:val="Hyperlink"/>
            <w:noProof/>
          </w:rPr>
          <w:t>-value calculation)</w:t>
        </w:r>
        <w:r w:rsidR="002574B9">
          <w:rPr>
            <w:noProof/>
            <w:webHidden/>
          </w:rPr>
          <w:tab/>
        </w:r>
        <w:r w:rsidR="002574B9">
          <w:rPr>
            <w:noProof/>
            <w:webHidden/>
          </w:rPr>
          <w:fldChar w:fldCharType="begin"/>
        </w:r>
        <w:r w:rsidR="002574B9">
          <w:rPr>
            <w:noProof/>
            <w:webHidden/>
          </w:rPr>
          <w:instrText xml:space="preserve"> PAGEREF _Toc3221404 \h </w:instrText>
        </w:r>
        <w:r w:rsidR="002574B9">
          <w:rPr>
            <w:noProof/>
            <w:webHidden/>
          </w:rPr>
        </w:r>
        <w:r w:rsidR="002574B9">
          <w:rPr>
            <w:noProof/>
            <w:webHidden/>
          </w:rPr>
          <w:fldChar w:fldCharType="separate"/>
        </w:r>
        <w:r w:rsidR="002574B9">
          <w:rPr>
            <w:noProof/>
            <w:webHidden/>
          </w:rPr>
          <w:t>7</w:t>
        </w:r>
        <w:r w:rsidR="002574B9">
          <w:rPr>
            <w:noProof/>
            <w:webHidden/>
          </w:rPr>
          <w:fldChar w:fldCharType="end"/>
        </w:r>
      </w:hyperlink>
    </w:p>
    <w:p w:rsidR="002574B9" w:rsidRDefault="00414814">
      <w:pPr>
        <w:pStyle w:val="TOC2"/>
        <w:tabs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val="en-AU" w:eastAsia="en-AU"/>
        </w:rPr>
      </w:pPr>
      <w:hyperlink w:anchor="_Toc3221405" w:history="1">
        <w:r w:rsidR="002574B9" w:rsidRPr="00FC2DC7">
          <w:rPr>
            <w:rStyle w:val="Hyperlink"/>
            <w:noProof/>
          </w:rPr>
          <w:t xml:space="preserve">Figure S1. Example R script for </w:t>
        </w:r>
        <w:r w:rsidR="002574B9" w:rsidRPr="00FC2DC7">
          <w:rPr>
            <w:rStyle w:val="Hyperlink"/>
            <w:i/>
            <w:noProof/>
          </w:rPr>
          <w:t>P-</w:t>
        </w:r>
        <w:r w:rsidR="002574B9" w:rsidRPr="00FC2DC7">
          <w:rPr>
            <w:rStyle w:val="Hyperlink"/>
            <w:noProof/>
          </w:rPr>
          <w:t>value calculation.</w:t>
        </w:r>
        <w:r w:rsidR="002574B9">
          <w:rPr>
            <w:noProof/>
            <w:webHidden/>
          </w:rPr>
          <w:tab/>
        </w:r>
        <w:r w:rsidR="002574B9">
          <w:rPr>
            <w:noProof/>
            <w:webHidden/>
          </w:rPr>
          <w:fldChar w:fldCharType="begin"/>
        </w:r>
        <w:r w:rsidR="002574B9">
          <w:rPr>
            <w:noProof/>
            <w:webHidden/>
          </w:rPr>
          <w:instrText xml:space="preserve"> PAGEREF _Toc3221405 \h </w:instrText>
        </w:r>
        <w:r w:rsidR="002574B9">
          <w:rPr>
            <w:noProof/>
            <w:webHidden/>
          </w:rPr>
        </w:r>
        <w:r w:rsidR="002574B9">
          <w:rPr>
            <w:noProof/>
            <w:webHidden/>
          </w:rPr>
          <w:fldChar w:fldCharType="separate"/>
        </w:r>
        <w:r w:rsidR="002574B9">
          <w:rPr>
            <w:noProof/>
            <w:webHidden/>
          </w:rPr>
          <w:t>7</w:t>
        </w:r>
        <w:r w:rsidR="002574B9">
          <w:rPr>
            <w:noProof/>
            <w:webHidden/>
          </w:rPr>
          <w:fldChar w:fldCharType="end"/>
        </w:r>
      </w:hyperlink>
    </w:p>
    <w:p w:rsidR="002574B9" w:rsidRDefault="00414814">
      <w:pPr>
        <w:pStyle w:val="TOC1"/>
        <w:tabs>
          <w:tab w:val="right" w:leader="dot" w:pos="9010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val="en-AU" w:eastAsia="en-AU"/>
        </w:rPr>
      </w:pPr>
      <w:hyperlink w:anchor="_Toc3221406" w:history="1">
        <w:r w:rsidR="002574B9" w:rsidRPr="00FC2DC7">
          <w:rPr>
            <w:rStyle w:val="Hyperlink"/>
            <w:noProof/>
          </w:rPr>
          <w:t>Genome assemblies and SNP calling</w:t>
        </w:r>
        <w:r w:rsidR="002574B9">
          <w:rPr>
            <w:noProof/>
            <w:webHidden/>
          </w:rPr>
          <w:tab/>
        </w:r>
        <w:r w:rsidR="002574B9">
          <w:rPr>
            <w:noProof/>
            <w:webHidden/>
          </w:rPr>
          <w:fldChar w:fldCharType="begin"/>
        </w:r>
        <w:r w:rsidR="002574B9">
          <w:rPr>
            <w:noProof/>
            <w:webHidden/>
          </w:rPr>
          <w:instrText xml:space="preserve"> PAGEREF _Toc3221406 \h </w:instrText>
        </w:r>
        <w:r w:rsidR="002574B9">
          <w:rPr>
            <w:noProof/>
            <w:webHidden/>
          </w:rPr>
        </w:r>
        <w:r w:rsidR="002574B9">
          <w:rPr>
            <w:noProof/>
            <w:webHidden/>
          </w:rPr>
          <w:fldChar w:fldCharType="separate"/>
        </w:r>
        <w:r w:rsidR="002574B9">
          <w:rPr>
            <w:noProof/>
            <w:webHidden/>
          </w:rPr>
          <w:t>8</w:t>
        </w:r>
        <w:r w:rsidR="002574B9">
          <w:rPr>
            <w:noProof/>
            <w:webHidden/>
          </w:rPr>
          <w:fldChar w:fldCharType="end"/>
        </w:r>
      </w:hyperlink>
    </w:p>
    <w:p w:rsidR="002574B9" w:rsidRDefault="00414814">
      <w:pPr>
        <w:pStyle w:val="TOC2"/>
        <w:tabs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val="en-AU" w:eastAsia="en-AU"/>
        </w:rPr>
      </w:pPr>
      <w:hyperlink w:anchor="_Toc3221407" w:history="1">
        <w:r w:rsidR="002574B9" w:rsidRPr="00FC2DC7">
          <w:rPr>
            <w:rStyle w:val="Hyperlink"/>
            <w:noProof/>
          </w:rPr>
          <w:t xml:space="preserve">Table S1. Identities and QUAST statistics for each of the 11 </w:t>
        </w:r>
        <w:r w:rsidR="002574B9" w:rsidRPr="00FC2DC7">
          <w:rPr>
            <w:rStyle w:val="Hyperlink"/>
            <w:i/>
            <w:noProof/>
          </w:rPr>
          <w:t>Cyclospora cayetanensis</w:t>
        </w:r>
        <w:r w:rsidR="002574B9" w:rsidRPr="00FC2DC7">
          <w:rPr>
            <w:rStyle w:val="Hyperlink"/>
            <w:noProof/>
          </w:rPr>
          <w:t xml:space="preserve"> genomes</w:t>
        </w:r>
        <w:r w:rsidR="002574B9">
          <w:rPr>
            <w:noProof/>
            <w:webHidden/>
          </w:rPr>
          <w:tab/>
        </w:r>
        <w:r w:rsidR="002574B9">
          <w:rPr>
            <w:noProof/>
            <w:webHidden/>
          </w:rPr>
          <w:fldChar w:fldCharType="begin"/>
        </w:r>
        <w:r w:rsidR="002574B9">
          <w:rPr>
            <w:noProof/>
            <w:webHidden/>
          </w:rPr>
          <w:instrText xml:space="preserve"> PAGEREF _Toc3221407 \h </w:instrText>
        </w:r>
        <w:r w:rsidR="002574B9">
          <w:rPr>
            <w:noProof/>
            <w:webHidden/>
          </w:rPr>
        </w:r>
        <w:r w:rsidR="002574B9">
          <w:rPr>
            <w:noProof/>
            <w:webHidden/>
          </w:rPr>
          <w:fldChar w:fldCharType="separate"/>
        </w:r>
        <w:r w:rsidR="002574B9">
          <w:rPr>
            <w:noProof/>
            <w:webHidden/>
          </w:rPr>
          <w:t>9</w:t>
        </w:r>
        <w:r w:rsidR="002574B9">
          <w:rPr>
            <w:noProof/>
            <w:webHidden/>
          </w:rPr>
          <w:fldChar w:fldCharType="end"/>
        </w:r>
      </w:hyperlink>
    </w:p>
    <w:p w:rsidR="001A4F78" w:rsidRDefault="001A4F78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  <w:sectPr w:rsidR="001A4F78" w:rsidSect="00376A5F">
          <w:footerReference w:type="default" r:id="rId10"/>
          <w:type w:val="continuous"/>
          <w:pgSz w:w="11900" w:h="16840"/>
          <w:pgMar w:top="1440" w:right="1440" w:bottom="1440" w:left="1440" w:header="720" w:footer="720" w:gutter="0"/>
          <w:pgNumType w:fmt="lowerRoman"/>
          <w:cols w:space="720"/>
          <w:docGrid w:linePitch="400"/>
        </w:sectPr>
      </w:pPr>
      <w:r>
        <w:rPr>
          <w:rFonts w:eastAsiaTheme="majorEastAsia" w:cstheme="majorBidi"/>
          <w:b/>
          <w:bCs/>
          <w:szCs w:val="28"/>
        </w:rPr>
        <w:fldChar w:fldCharType="end"/>
      </w:r>
    </w:p>
    <w:p w:rsidR="005834D6" w:rsidRDefault="00B81D87" w:rsidP="00AD3CC4">
      <w:pPr>
        <w:pStyle w:val="Heading1"/>
      </w:pPr>
      <w:bookmarkStart w:id="5" w:name="_Toc3221402"/>
      <w:r>
        <w:lastRenderedPageBreak/>
        <w:t xml:space="preserve">Description of the </w:t>
      </w:r>
      <w:r w:rsidR="005834D6">
        <w:t xml:space="preserve">Heuristic </w:t>
      </w:r>
      <w:r w:rsidR="00981A1D">
        <w:t>Algorithm</w:t>
      </w:r>
      <w:bookmarkEnd w:id="5"/>
    </w:p>
    <w:p w:rsidR="007C7EEF" w:rsidRDefault="005834D6" w:rsidP="005834D6">
      <w:r>
        <w:t xml:space="preserve">A heuristic algorithm was </w:t>
      </w:r>
      <w:r w:rsidR="00322E51">
        <w:t>used</w:t>
      </w:r>
      <w:r w:rsidR="00CC0F21">
        <w:t xml:space="preserve"> to calculate</w:t>
      </w:r>
      <w:r>
        <w:t xml:space="preserve"> pairwise distances </w:t>
      </w:r>
      <w:r w:rsidR="00322E51">
        <w:t>with</w:t>
      </w:r>
      <w:r>
        <w:t xml:space="preserve"> arbitrary units that </w:t>
      </w:r>
      <w:r w:rsidR="00656A74">
        <w:t>approximate</w:t>
      </w:r>
      <w:r w:rsidR="008F038A">
        <w:t xml:space="preserve"> </w:t>
      </w:r>
      <w:r w:rsidR="004E7BE1">
        <w:t>the genetic</w:t>
      </w:r>
      <w:r>
        <w:t xml:space="preserve"> </w:t>
      </w:r>
      <w:r w:rsidR="00BD27E0">
        <w:t>relationship</w:t>
      </w:r>
      <w:r>
        <w:t xml:space="preserve"> </w:t>
      </w:r>
      <w:r w:rsidR="001A0993">
        <w:t>between a</w:t>
      </w:r>
      <w:r w:rsidR="004E7BE1">
        <w:t xml:space="preserve"> pair of specimens</w:t>
      </w:r>
      <w:r>
        <w:t>. Distances are calculated for each locus individually and the sum of these distances is taken as the total distance (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</w:rPr>
              <m:t>T</m:t>
            </m:r>
          </m:sub>
        </m:sSub>
      </m:oMath>
      <w:r w:rsidR="00656A74">
        <w:t>)</w:t>
      </w:r>
      <w:r w:rsidR="007D5D83">
        <w:t xml:space="preserve"> between a pair of specimens.</w:t>
      </w:r>
    </w:p>
    <w:p w:rsidR="00322E51" w:rsidRPr="001A0993" w:rsidRDefault="001A0993" w:rsidP="005834D6">
      <w:r>
        <w:t>For nuclear (</w:t>
      </w:r>
      <w:r w:rsidRPr="00656A74">
        <w:rPr>
          <w:i/>
        </w:rPr>
        <w:t>Nu</w:t>
      </w:r>
      <w:r>
        <w:t xml:space="preserve">) loci, </w:t>
      </w:r>
      <w:r w:rsidR="00BB4DF1">
        <w:t>the</w:t>
      </w:r>
      <w:r>
        <w:t xml:space="preserve"> raw distance (</w:t>
      </w:r>
      <w:proofErr w:type="spellStart"/>
      <w:r>
        <w:t>Δ</w:t>
      </w:r>
      <w:r>
        <w:rPr>
          <w:i/>
          <w:vertAlign w:val="subscript"/>
        </w:rPr>
        <w:t>Raw</w:t>
      </w:r>
      <w:proofErr w:type="spellEnd"/>
      <w:r w:rsidRPr="001A0993">
        <w:t>)</w:t>
      </w:r>
      <w:r>
        <w:t xml:space="preserve"> between a pair is determined by: </w:t>
      </w:r>
    </w:p>
    <w:p w:rsidR="001A0993" w:rsidRPr="00656A74" w:rsidRDefault="00414814" w:rsidP="005834D6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Nu_Raw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y=0</m:t>
              </m:r>
            </m:e>
          </m:d>
          <m:r>
            <w:rPr>
              <w:rFonts w:ascii="Cambria Math" w:hAnsi="Cambria Math"/>
            </w:rPr>
            <m:t>+2j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y&gt;0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i=j</m:t>
              </m:r>
            </m:sub>
            <m:sup>
              <m:r>
                <w:rPr>
                  <w:rFonts w:ascii="Cambria Math" w:hAnsi="Cambria Math"/>
                </w:rPr>
                <m:t>2j</m:t>
              </m:r>
            </m:sup>
            <m:e>
              <m:r>
                <w:rPr>
                  <w:rFonts w:ascii="Cambria Math" w:hAnsi="Cambria Math"/>
                </w:rPr>
                <m:t>-i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z=i</m:t>
                  </m:r>
                </m:e>
              </m:d>
            </m:e>
          </m:nary>
        </m:oMath>
      </m:oMathPara>
    </w:p>
    <w:p w:rsidR="007C7EEF" w:rsidRDefault="00656A74" w:rsidP="00656A74">
      <w:r>
        <w:t xml:space="preserve">Where </w:t>
      </w:r>
      <w:r w:rsidRPr="00A30A3A">
        <w:rPr>
          <w:i/>
        </w:rPr>
        <w:t>y</w:t>
      </w:r>
      <w:r>
        <w:t xml:space="preserve"> is the number of haploty</w:t>
      </w:r>
      <w:r w:rsidR="00AD3CC4">
        <w:t>pes that match for a given pair</w:t>
      </w:r>
      <w:r w:rsidR="00EC2C07">
        <w:t xml:space="preserve"> </w:t>
      </w:r>
      <w:r>
        <w:t>and s</w:t>
      </w:r>
      <w:r w:rsidRPr="002F620F">
        <w:t>quare brackets indicate statements of propositional logic, where the value is 1 if true and 0 if false.</w:t>
      </w:r>
    </w:p>
    <w:p w:rsidR="00656A74" w:rsidRDefault="00656A74" w:rsidP="00656A74">
      <w:r>
        <w:t xml:space="preserve">The value of </w:t>
      </w:r>
      <w:r w:rsidRPr="00442901">
        <w:rPr>
          <w:i/>
        </w:rPr>
        <w:t>w</w:t>
      </w:r>
      <w:r>
        <w:t xml:space="preserve"> is determined by:</w:t>
      </w:r>
    </w:p>
    <w:p w:rsidR="00656A74" w:rsidRPr="001030C9" w:rsidRDefault="00656A74" w:rsidP="00656A74">
      <w:pPr>
        <w:rPr>
          <w:sz w:val="28"/>
        </w:rPr>
      </w:pPr>
      <m:oMathPara>
        <m:oMath>
          <m:r>
            <w:rPr>
              <w:rFonts w:ascii="Cambria Math" w:hAnsi="Cambria Math"/>
            </w:rPr>
            <m:t>w=x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n&gt;1</m:t>
              </m:r>
            </m:e>
          </m:d>
          <m:r>
            <w:rPr>
              <w:rFonts w:ascii="Cambria Math" w:hAnsi="Cambria Math"/>
            </w:rPr>
            <m:t>+4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n=1, x=2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n=1,x&gt;2</m:t>
              </m:r>
            </m:e>
          </m:d>
        </m:oMath>
      </m:oMathPara>
    </w:p>
    <w:p w:rsidR="007C7EEF" w:rsidRDefault="00656A74" w:rsidP="00656A74">
      <w:r>
        <w:t xml:space="preserve">Where </w:t>
      </w:r>
      <w:r w:rsidRPr="00202BAD">
        <w:rPr>
          <w:i/>
        </w:rPr>
        <w:t>x</w:t>
      </w:r>
      <w:r>
        <w:t xml:space="preserve"> is the sum of the number of </w:t>
      </w:r>
      <w:r w:rsidRPr="00EB2DB8">
        <w:rPr>
          <w:i/>
        </w:rPr>
        <w:t>Nu</w:t>
      </w:r>
      <w:r>
        <w:t xml:space="preserve"> haplotypes detected in the first and second specimens of a pair and </w:t>
      </w:r>
      <w:r w:rsidRPr="00E20FDC">
        <w:rPr>
          <w:i/>
        </w:rPr>
        <w:t>n</w:t>
      </w:r>
      <w:r>
        <w:t xml:space="preserve"> is the number of haplotypes detected in the specimen of</w:t>
      </w:r>
      <w:r w:rsidRPr="00E20FDC">
        <w:t xml:space="preserve"> </w:t>
      </w:r>
      <w:r>
        <w:t>the</w:t>
      </w:r>
      <w:r w:rsidRPr="00E20FDC">
        <w:t xml:space="preserve"> pair</w:t>
      </w:r>
      <w:r>
        <w:t xml:space="preserve"> with the smallest number of haplotypes, or the number of haplotypes in each specimen if they possess the same number of haplotypes.</w:t>
      </w:r>
    </w:p>
    <w:p w:rsidR="00656A74" w:rsidRPr="002F620F" w:rsidRDefault="00656A74" w:rsidP="00656A74">
      <w:r>
        <w:t xml:space="preserve">The variable </w:t>
      </w:r>
      <w:r w:rsidRPr="00BB653A">
        <w:rPr>
          <w:i/>
        </w:rPr>
        <w:t>j</w:t>
      </w:r>
      <w:r>
        <w:t xml:space="preserve"> is determined by:</w:t>
      </w:r>
    </w:p>
    <w:p w:rsidR="00656A74" w:rsidRDefault="00656A74" w:rsidP="00656A74">
      <w:pPr>
        <w:jc w:val="center"/>
      </w:pPr>
      <m:oMathPara>
        <m:oMath>
          <m:r>
            <w:rPr>
              <w:rFonts w:ascii="Cambria Math" w:hAnsi="Cambria Math"/>
            </w:rPr>
            <m:t>j=</m:t>
          </m:r>
          <m:r>
            <m:rPr>
              <m:sty m:val="p"/>
            </m:rPr>
            <w:rPr>
              <w:rFonts w:ascii="Cambria Math" w:hAnsi="Cambria Math"/>
            </w:rPr>
            <m:t>2[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 xml:space="preserve"> = 1] +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 xml:space="preserve">  &gt; 1]</m:t>
          </m:r>
        </m:oMath>
      </m:oMathPara>
    </w:p>
    <w:p w:rsidR="001A4F78" w:rsidRDefault="00656A74" w:rsidP="00656A74">
      <w:r w:rsidRPr="003E71E6">
        <w:t>Where</w:t>
      </w:r>
      <w:r>
        <w:rPr>
          <w:i/>
        </w:rPr>
        <w:t xml:space="preserve"> </w:t>
      </w:r>
      <w:r w:rsidRPr="002F620F">
        <w:rPr>
          <w:i/>
        </w:rPr>
        <w:t>m</w:t>
      </w:r>
      <w:r w:rsidRPr="002F620F">
        <w:t xml:space="preserve"> </w:t>
      </w:r>
      <w:r>
        <w:t>is the</w:t>
      </w:r>
      <w:r w:rsidRPr="002F620F">
        <w:t xml:space="preserve"> number of </w:t>
      </w:r>
      <w:r w:rsidRPr="002242FB">
        <w:rPr>
          <w:i/>
        </w:rPr>
        <w:t>Nu</w:t>
      </w:r>
      <w:r>
        <w:t xml:space="preserve"> </w:t>
      </w:r>
      <w:r w:rsidRPr="002F620F">
        <w:t xml:space="preserve">haplotypes </w:t>
      </w:r>
      <w:r>
        <w:t>detected</w:t>
      </w:r>
      <w:r w:rsidRPr="002F620F">
        <w:t xml:space="preserve"> </w:t>
      </w:r>
      <w:r>
        <w:t>in</w:t>
      </w:r>
      <w:r w:rsidRPr="002F620F">
        <w:t xml:space="preserve"> the specimen </w:t>
      </w:r>
      <w:r>
        <w:t>with</w:t>
      </w:r>
      <w:r w:rsidRPr="002F620F">
        <w:t xml:space="preserve"> the fewest number </w:t>
      </w:r>
      <w:r w:rsidRPr="002242FB">
        <w:rPr>
          <w:i/>
        </w:rPr>
        <w:t>Nu</w:t>
      </w:r>
      <w:r>
        <w:t xml:space="preserve"> </w:t>
      </w:r>
      <w:r w:rsidRPr="002F620F">
        <w:t>haplotypes</w:t>
      </w:r>
      <w:r>
        <w:t xml:space="preserve"> considering all specimens in the dataset. Consequently, the variable</w:t>
      </w:r>
      <w:r w:rsidRPr="00A30A3A">
        <w:rPr>
          <w:i/>
        </w:rPr>
        <w:t xml:space="preserve"> j</w:t>
      </w:r>
      <w:r>
        <w:t xml:space="preserve"> will always have a value of 2 or larger.</w:t>
      </w:r>
    </w:p>
    <w:p w:rsidR="00656A74" w:rsidRPr="00BF46E8" w:rsidRDefault="00656A74" w:rsidP="00656A74">
      <w:r>
        <w:t xml:space="preserve">The value of </w:t>
      </w:r>
      <w:r w:rsidRPr="00BF46E8">
        <w:rPr>
          <w:i/>
        </w:rPr>
        <w:t>z</w:t>
      </w:r>
      <w:r>
        <w:t xml:space="preserve"> is defined as:</w:t>
      </w:r>
    </w:p>
    <w:p w:rsidR="007C7EEF" w:rsidRPr="007C7EEF" w:rsidRDefault="00656A74" w:rsidP="007C7EEF">
      <w:pPr>
        <w:jc w:val="center"/>
        <w:rPr>
          <w:sz w:val="32"/>
        </w:rPr>
      </w:pPr>
      <m:oMathPara>
        <m:oMath>
          <m:r>
            <w:rPr>
              <w:rFonts w:ascii="Cambria Math" w:hAnsi="Cambria Math"/>
            </w:rPr>
            <m:t>z=3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y=1, x&gt;2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n&gt;1, j≥y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+j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n&gt;1, y&gt;j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+j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n=1,x=2, y=1</m:t>
                      </m:r>
                    </m:e>
                  </m:d>
                </m:e>
              </m:eqArr>
            </m:e>
          </m:d>
        </m:oMath>
      </m:oMathPara>
    </w:p>
    <w:p w:rsidR="00656A74" w:rsidRDefault="00656A74" w:rsidP="005834D6">
      <w:r>
        <w:lastRenderedPageBreak/>
        <w:t>The final adjusted distance</w:t>
      </w:r>
      <w:r w:rsidR="00A3544D">
        <w:t xml:space="preserve"> for locus </w:t>
      </w:r>
      <w:r w:rsidR="00A3544D" w:rsidRPr="00A3544D">
        <w:rPr>
          <w:i/>
        </w:rPr>
        <w:t>Nu</w:t>
      </w:r>
      <w:r>
        <w:t xml:space="preserve"> (</w:t>
      </w:r>
      <w:proofErr w:type="spellStart"/>
      <w:r>
        <w:t>Δ</w:t>
      </w:r>
      <w:r w:rsidRPr="00656A74">
        <w:rPr>
          <w:i/>
          <w:vertAlign w:val="subscript"/>
        </w:rPr>
        <w:t>Nu</w:t>
      </w:r>
      <w:proofErr w:type="spellEnd"/>
      <w:r>
        <w:t>) is determined by:</w:t>
      </w:r>
    </w:p>
    <w:p w:rsidR="001A0993" w:rsidRPr="00656A74" w:rsidRDefault="00414814" w:rsidP="00656A7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Nu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Nu_Raw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Nu_Raw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Nu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Nu_Raw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</m:d>
          <m:r>
            <w:rPr>
              <w:rFonts w:ascii="Cambria Math" w:hAnsi="Cambria Math"/>
            </w:rPr>
            <m:t>k</m:t>
          </m:r>
        </m:oMath>
      </m:oMathPara>
    </w:p>
    <w:p w:rsidR="00BB4DF1" w:rsidRDefault="00CC0F21" w:rsidP="005834D6">
      <w:r>
        <w:t>Where</w:t>
      </w:r>
      <w:r w:rsidR="005834D6" w:rsidRPr="00202BAD">
        <w:rPr>
          <w:i/>
        </w:rPr>
        <w:t xml:space="preserve"> </w:t>
      </w:r>
      <w:r w:rsidR="005834D6">
        <w:rPr>
          <w:i/>
        </w:rPr>
        <w:t>H</w:t>
      </w:r>
      <w:r w:rsidR="005834D6" w:rsidRPr="00A30A3A">
        <w:t xml:space="preserve"> </w:t>
      </w:r>
      <w:r w:rsidR="005834D6">
        <w:t>is the</w:t>
      </w:r>
      <w:r w:rsidR="005834D6" w:rsidRPr="002F620F">
        <w:t xml:space="preserve"> Shannon entropy </w:t>
      </w:r>
      <w:r w:rsidR="005834D6" w:rsidRPr="002F620F">
        <w:fldChar w:fldCharType="begin"/>
      </w:r>
      <w:r w:rsidR="005834D6">
        <w:instrText xml:space="preserve"> ADDIN EN.CITE &lt;EndNote&gt;&lt;Cite&gt;&lt;Author&gt;Adami&lt;/Author&gt;&lt;Year&gt;2012&lt;/Year&gt;&lt;RecNum&gt;1179&lt;/RecNum&gt;&lt;DisplayText&gt;[16]&lt;/DisplayText&gt;&lt;record&gt;&lt;rec-number&gt;1179&lt;/rec-number&gt;&lt;foreign-keys&gt;&lt;key app="EN" db-id="tvwp02vp6rtasqetev1przpdexp2d29ffpa0" timestamp="1513646907"&gt;1179&lt;/key&gt;&lt;/foreign-keys&gt;&lt;ref-type name="Journal Article"&gt;17&lt;/ref-type&gt;&lt;contributors&gt;&lt;authors&gt;&lt;author&gt;Adami, C.&lt;/author&gt;&lt;/authors&gt;&lt;/contributors&gt;&lt;titles&gt;&lt;title&gt;The use of information theory in evolutionary biology&lt;/title&gt;&lt;secondary-title&gt;Annals of the New York Academy of Sciences&lt;/secondary-title&gt;&lt;/titles&gt;&lt;periodical&gt;&lt;full-title&gt;Annals of the New York Academy of Sciences&lt;/full-title&gt;&lt;/periodical&gt;&lt;pages&gt;49-65&lt;/pages&gt;&lt;volume&gt;1256&lt;/volume&gt;&lt;dates&gt;&lt;year&gt;2012&lt;/year&gt;&lt;/dates&gt;&lt;urls&gt;&lt;/urls&gt;&lt;/record&gt;&lt;/Cite&gt;&lt;/EndNote&gt;</w:instrText>
      </w:r>
      <w:r w:rsidR="005834D6" w:rsidRPr="002F620F">
        <w:fldChar w:fldCharType="separate"/>
      </w:r>
      <w:r w:rsidR="005834D6">
        <w:rPr>
          <w:noProof/>
        </w:rPr>
        <w:t>[16]</w:t>
      </w:r>
      <w:r w:rsidR="005834D6" w:rsidRPr="002F620F">
        <w:fldChar w:fldCharType="end"/>
      </w:r>
      <w:r w:rsidR="005834D6">
        <w:t xml:space="preserve"> of locus </w:t>
      </w:r>
      <w:r w:rsidR="005834D6">
        <w:rPr>
          <w:i/>
        </w:rPr>
        <w:t>Nu</w:t>
      </w:r>
      <w:r w:rsidR="002D3290">
        <w:t xml:space="preserve"> </w:t>
      </w:r>
      <w:r w:rsidR="00A3544D">
        <w:t xml:space="preserve">and </w:t>
      </w:r>
      <w:proofErr w:type="spellStart"/>
      <w:r w:rsidR="00A3544D" w:rsidRPr="00187ED9">
        <w:rPr>
          <w:i/>
        </w:rPr>
        <w:t>P</w:t>
      </w:r>
      <w:r w:rsidR="00A3544D" w:rsidRPr="00805232">
        <w:rPr>
          <w:i/>
          <w:vertAlign w:val="subscript"/>
        </w:rPr>
        <w:t>Nu</w:t>
      </w:r>
      <w:proofErr w:type="spellEnd"/>
      <w:r w:rsidR="00A3544D" w:rsidRPr="00187ED9">
        <w:t xml:space="preserve"> </w:t>
      </w:r>
      <w:r w:rsidR="00A3544D">
        <w:t>is a frequentist</w:t>
      </w:r>
      <w:r w:rsidR="00A3544D" w:rsidRPr="00187ED9">
        <w:t xml:space="preserve"> probability</w:t>
      </w:r>
      <w:r w:rsidR="00A3544D">
        <w:t xml:space="preserve">, defined as the squared frequency of specimens in the study cohort possessing the same haplotype/s that match for the pair under consideration. For clarification, if a pair possesses two matching haplotypes, </w:t>
      </w:r>
      <w:proofErr w:type="spellStart"/>
      <w:r w:rsidR="00A3544D" w:rsidRPr="00AF10B0">
        <w:rPr>
          <w:i/>
        </w:rPr>
        <w:t>P</w:t>
      </w:r>
      <w:r w:rsidR="00A3544D" w:rsidRPr="001030C9">
        <w:rPr>
          <w:i/>
          <w:vertAlign w:val="subscript"/>
        </w:rPr>
        <w:t>Nu</w:t>
      </w:r>
      <w:proofErr w:type="spellEnd"/>
      <w:r w:rsidR="00A3544D">
        <w:t xml:space="preserve"> is the squared frequency of all specimens possessing the same two haplotypes. If a pair possesses a single matching haplotype</w:t>
      </w:r>
      <w:r w:rsidR="00397724">
        <w:t xml:space="preserve"> plus two additional haplotypes </w:t>
      </w:r>
      <w:r w:rsidR="007D5D83">
        <w:t>at</w:t>
      </w:r>
      <w:r w:rsidR="00397724">
        <w:t xml:space="preserve"> this locus that do not match</w:t>
      </w:r>
      <w:r w:rsidR="00A3544D">
        <w:t xml:space="preserve">, </w:t>
      </w:r>
      <w:proofErr w:type="spellStart"/>
      <w:r w:rsidR="00A3544D" w:rsidRPr="00AF10B0">
        <w:rPr>
          <w:i/>
        </w:rPr>
        <w:t>P</w:t>
      </w:r>
      <w:r w:rsidR="00A3544D" w:rsidRPr="001030C9">
        <w:rPr>
          <w:i/>
          <w:vertAlign w:val="subscript"/>
        </w:rPr>
        <w:t>Nu</w:t>
      </w:r>
      <w:proofErr w:type="spellEnd"/>
      <w:r w:rsidR="00A3544D">
        <w:t xml:space="preserve"> would be the squared frequency of all specimens </w:t>
      </w:r>
      <w:r w:rsidR="00397724">
        <w:t xml:space="preserve">in the study cohort </w:t>
      </w:r>
      <w:r w:rsidR="00A3544D">
        <w:t>possessing that single</w:t>
      </w:r>
      <w:r w:rsidR="00397724">
        <w:t xml:space="preserve"> matching haplotype</w:t>
      </w:r>
      <w:r w:rsidR="00A3544D">
        <w:t>.</w:t>
      </w:r>
      <w:r w:rsidR="00BD27E0">
        <w:t xml:space="preserve"> </w:t>
      </w:r>
      <w:r w:rsidR="005834D6" w:rsidRPr="00187ED9">
        <w:t>The value</w:t>
      </w:r>
      <w:r w:rsidR="00EF5C37">
        <w:t xml:space="preserve"> of</w:t>
      </w:r>
      <w:r w:rsidR="005834D6" w:rsidRPr="00187ED9">
        <w:t xml:space="preserve"> </w:t>
      </w:r>
      <w:r w:rsidR="005834D6" w:rsidRPr="00187ED9">
        <w:rPr>
          <w:i/>
        </w:rPr>
        <w:t>k</w:t>
      </w:r>
      <w:r w:rsidR="005834D6" w:rsidRPr="00187ED9">
        <w:t xml:space="preserve"> </w:t>
      </w:r>
      <w:r w:rsidR="005834D6">
        <w:t>is dependent</w:t>
      </w:r>
      <w:r w:rsidR="005834D6" w:rsidRPr="00187ED9">
        <w:t xml:space="preserve"> on</w:t>
      </w:r>
      <w:r w:rsidR="005834D6">
        <w:t xml:space="preserve"> </w:t>
      </w:r>
      <w:r w:rsidR="005834D6" w:rsidRPr="00187ED9">
        <w:rPr>
          <w:i/>
        </w:rPr>
        <w:t>y</w:t>
      </w:r>
      <w:r w:rsidR="005834D6">
        <w:t xml:space="preserve"> where i</w:t>
      </w:r>
      <w:r w:rsidR="005834D6" w:rsidRPr="00187ED9">
        <w:t xml:space="preserve">f </w:t>
      </w:r>
      <w:r w:rsidR="005834D6" w:rsidRPr="00187ED9">
        <w:rPr>
          <w:i/>
        </w:rPr>
        <w:t>y</w:t>
      </w:r>
      <w:r w:rsidR="005834D6" w:rsidRPr="00187ED9">
        <w:t xml:space="preserve"> = 0</w:t>
      </w:r>
      <w:r w:rsidR="005834D6">
        <w:t xml:space="preserve"> then</w:t>
      </w:r>
      <w:r w:rsidR="005834D6" w:rsidRPr="00187ED9">
        <w:t xml:space="preserve"> </w:t>
      </w:r>
      <w:r w:rsidR="005834D6" w:rsidRPr="00187ED9">
        <w:rPr>
          <w:i/>
        </w:rPr>
        <w:t>k</w:t>
      </w:r>
      <w:r w:rsidR="005834D6" w:rsidRPr="00187ED9">
        <w:t xml:space="preserve"> = 1</w:t>
      </w:r>
      <w:r w:rsidR="005834D6">
        <w:t>, but i</w:t>
      </w:r>
      <w:r w:rsidR="005834D6" w:rsidRPr="00187ED9">
        <w:t xml:space="preserve">f </w:t>
      </w:r>
      <w:r w:rsidR="005834D6" w:rsidRPr="00187ED9">
        <w:rPr>
          <w:i/>
        </w:rPr>
        <w:t>y</w:t>
      </w:r>
      <w:r w:rsidR="005834D6" w:rsidRPr="00187ED9">
        <w:t xml:space="preserve"> &gt; 0</w:t>
      </w:r>
      <w:r w:rsidR="005834D6">
        <w:t xml:space="preserve"> then</w:t>
      </w:r>
      <w:r w:rsidR="005834D6" w:rsidRPr="00187ED9">
        <w:t xml:space="preserve"> </w:t>
      </w: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Nu</m:t>
            </m:r>
          </m:sub>
        </m:sSub>
      </m:oMath>
      <w:r w:rsidR="00A3544D">
        <w:t>.</w:t>
      </w:r>
    </w:p>
    <w:p w:rsidR="00AD3CC4" w:rsidRDefault="00AD3CC4" w:rsidP="005834D6"/>
    <w:p w:rsidR="00BB4DF1" w:rsidRPr="001A0993" w:rsidRDefault="00BB4DF1" w:rsidP="00BB4DF1">
      <w:r>
        <w:t>For extra-nuclear (</w:t>
      </w:r>
      <w:r>
        <w:rPr>
          <w:i/>
        </w:rPr>
        <w:t>Ex</w:t>
      </w:r>
      <w:r>
        <w:t>) loci, the raw distance (</w:t>
      </w:r>
      <w:proofErr w:type="spellStart"/>
      <w:r>
        <w:t>Δ</w:t>
      </w:r>
      <w:r>
        <w:rPr>
          <w:i/>
          <w:vertAlign w:val="subscript"/>
        </w:rPr>
        <w:t>Raw</w:t>
      </w:r>
      <w:proofErr w:type="spellEnd"/>
      <w:r w:rsidRPr="001A0993">
        <w:t>)</w:t>
      </w:r>
      <w:r>
        <w:t xml:space="preserve"> between a pair is determined by: </w:t>
      </w:r>
    </w:p>
    <w:p w:rsidR="00BB4DF1" w:rsidRDefault="00414814" w:rsidP="005834D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Ex_Raw</m:t>
              </m:r>
            </m:sub>
          </m:sSub>
          <m:r>
            <w:rPr>
              <w:rFonts w:ascii="Cambria Math" w:hAnsi="Cambria Math"/>
            </w:rPr>
            <m:t>=2a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y=0</m:t>
              </m:r>
            </m:e>
          </m:d>
        </m:oMath>
      </m:oMathPara>
    </w:p>
    <w:p w:rsidR="007C7EEF" w:rsidRDefault="00BB4DF1" w:rsidP="005834D6">
      <w:r>
        <w:t>Where</w:t>
      </w:r>
      <w:r w:rsidRPr="00A30A3A">
        <w:t xml:space="preserve"> </w:t>
      </w:r>
      <w:r>
        <w:rPr>
          <w:i/>
        </w:rPr>
        <w:t>a</w:t>
      </w:r>
      <w:r>
        <w:t xml:space="preserve"> is the sum of the number of </w:t>
      </w:r>
      <w:r w:rsidRPr="00BF7763">
        <w:rPr>
          <w:i/>
        </w:rPr>
        <w:t>Ex</w:t>
      </w:r>
      <w:r>
        <w:t xml:space="preserve"> haplotypes detected in the first and second specimen and </w:t>
      </w:r>
      <w:r w:rsidR="00AD3CC4">
        <w:rPr>
          <w:i/>
        </w:rPr>
        <w:t>y</w:t>
      </w:r>
      <w:r>
        <w:t xml:space="preserve"> is the number of matching </w:t>
      </w:r>
      <w:r w:rsidRPr="00BF7763">
        <w:rPr>
          <w:i/>
        </w:rPr>
        <w:t>Ex</w:t>
      </w:r>
      <w:r>
        <w:t xml:space="preserve"> haplotypes detec</w:t>
      </w:r>
      <w:r w:rsidR="007C7EEF">
        <w:t>ted for that pair of specimens.</w:t>
      </w:r>
    </w:p>
    <w:p w:rsidR="00BB4DF1" w:rsidRDefault="00BB4DF1" w:rsidP="005834D6">
      <w:r>
        <w:t xml:space="preserve">The final adjusted distance for locus </w:t>
      </w:r>
      <w:r>
        <w:rPr>
          <w:i/>
        </w:rPr>
        <w:t>Ex</w:t>
      </w:r>
      <w:r>
        <w:t xml:space="preserve"> (</w:t>
      </w:r>
      <w:proofErr w:type="spellStart"/>
      <w:r>
        <w:t>Δ</w:t>
      </w:r>
      <w:r>
        <w:rPr>
          <w:i/>
          <w:vertAlign w:val="subscript"/>
        </w:rPr>
        <w:t>Ex</w:t>
      </w:r>
      <w:proofErr w:type="spellEnd"/>
      <w:r>
        <w:t>) is determined by:</w:t>
      </w:r>
    </w:p>
    <w:p w:rsidR="005F1D30" w:rsidRPr="00BB4DF1" w:rsidRDefault="00414814" w:rsidP="005834D6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Ex</m:t>
              </m:r>
            </m:sub>
          </m:sSub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Ex_Raw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Ex_Raw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Ex 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Ex_Raw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</m:d>
          <m:r>
            <w:rPr>
              <w:rFonts w:ascii="Cambria Math" w:hAnsi="Cambria Math"/>
            </w:rPr>
            <m:t>k</m:t>
          </m:r>
        </m:oMath>
      </m:oMathPara>
    </w:p>
    <w:p w:rsidR="00F85145" w:rsidRDefault="00805232" w:rsidP="005834D6">
      <w:r>
        <w:t>W</w:t>
      </w:r>
      <w:r w:rsidR="005834D6">
        <w:t>here</w:t>
      </w:r>
      <w:r w:rsidR="005834D6" w:rsidRPr="00202BAD">
        <w:rPr>
          <w:i/>
        </w:rPr>
        <w:t xml:space="preserve"> </w:t>
      </w:r>
      <w:r w:rsidR="005834D6">
        <w:rPr>
          <w:i/>
        </w:rPr>
        <w:t>H</w:t>
      </w:r>
      <w:r w:rsidR="005834D6" w:rsidRPr="00A30A3A">
        <w:t xml:space="preserve"> </w:t>
      </w:r>
      <w:r w:rsidR="005834D6">
        <w:t>is the</w:t>
      </w:r>
      <w:r w:rsidR="005834D6" w:rsidRPr="002F620F">
        <w:t xml:space="preserve"> Shannon entropy </w:t>
      </w:r>
      <w:r w:rsidR="005834D6">
        <w:t xml:space="preserve">of locus </w:t>
      </w:r>
      <w:r w:rsidR="005834D6">
        <w:rPr>
          <w:i/>
        </w:rPr>
        <w:t>Ex</w:t>
      </w:r>
      <w:r w:rsidR="005834D6" w:rsidRPr="00A30A3A">
        <w:t xml:space="preserve">, </w:t>
      </w:r>
      <w:r w:rsidR="007D1CCC" w:rsidRPr="007D1CCC">
        <w:t>and</w:t>
      </w:r>
      <w:r w:rsidR="005834D6">
        <w:t xml:space="preserve"> </w:t>
      </w:r>
      <w:r w:rsidR="00463705">
        <w:t xml:space="preserve">the </w:t>
      </w:r>
      <w:r w:rsidR="005834D6">
        <w:t xml:space="preserve">value of </w:t>
      </w:r>
      <w:r w:rsidR="00AD3CC4">
        <w:rPr>
          <w:i/>
        </w:rPr>
        <w:t>k</w:t>
      </w:r>
      <w:r w:rsidR="005834D6">
        <w:rPr>
          <w:i/>
        </w:rPr>
        <w:t xml:space="preserve"> </w:t>
      </w:r>
      <w:r w:rsidR="005834D6">
        <w:t>is dependent</w:t>
      </w:r>
      <w:r w:rsidR="005834D6" w:rsidRPr="00187ED9">
        <w:t xml:space="preserve"> on </w:t>
      </w:r>
      <w:r w:rsidR="00AD3CC4">
        <w:rPr>
          <w:i/>
        </w:rPr>
        <w:t>y</w:t>
      </w:r>
      <w:r w:rsidR="005834D6">
        <w:t xml:space="preserve"> where i</w:t>
      </w:r>
      <w:r w:rsidR="005834D6" w:rsidRPr="00187ED9">
        <w:t xml:space="preserve">f </w:t>
      </w:r>
      <w:r w:rsidR="00AD3CC4">
        <w:rPr>
          <w:i/>
        </w:rPr>
        <w:t>y</w:t>
      </w:r>
      <w:r w:rsidR="005834D6">
        <w:t xml:space="preserve"> = 0 then</w:t>
      </w:r>
      <w:r w:rsidR="005834D6" w:rsidRPr="00187ED9">
        <w:t xml:space="preserve"> </w:t>
      </w:r>
      <w:r w:rsidR="00AD3CC4">
        <w:rPr>
          <w:i/>
        </w:rPr>
        <w:t>k</w:t>
      </w:r>
      <w:r w:rsidR="005834D6" w:rsidRPr="00187ED9">
        <w:t xml:space="preserve"> = 1</w:t>
      </w:r>
      <w:r w:rsidR="005834D6">
        <w:t xml:space="preserve"> but, i</w:t>
      </w:r>
      <w:r w:rsidR="005834D6" w:rsidRPr="00187ED9">
        <w:t xml:space="preserve">f </w:t>
      </w:r>
      <w:r w:rsidR="00AD3CC4">
        <w:rPr>
          <w:i/>
        </w:rPr>
        <w:t>y</w:t>
      </w:r>
      <w:r w:rsidR="005834D6">
        <w:t xml:space="preserve"> &gt; 0 then</w:t>
      </w:r>
      <w:r w:rsidR="005834D6" w:rsidRPr="00187ED9">
        <w:t xml:space="preserve"> </w:t>
      </w:r>
      <w:r w:rsidR="007D5D83">
        <w:rPr>
          <w:i/>
        </w:rPr>
        <w:t>k</w:t>
      </w:r>
      <w:r w:rsidR="005834D6" w:rsidRPr="00187ED9">
        <w:t xml:space="preserve">= </w:t>
      </w:r>
      <w:proofErr w:type="spellStart"/>
      <w:r w:rsidR="005834D6" w:rsidRPr="00187ED9">
        <w:rPr>
          <w:i/>
        </w:rPr>
        <w:t>P</w:t>
      </w:r>
      <w:r w:rsidR="005834D6" w:rsidRPr="009F4F47">
        <w:rPr>
          <w:i/>
          <w:vertAlign w:val="subscript"/>
        </w:rPr>
        <w:t>Ex</w:t>
      </w:r>
      <w:proofErr w:type="spellEnd"/>
      <w:r w:rsidR="007D5D83">
        <w:t xml:space="preserve"> (the same as for Nu loci).</w:t>
      </w:r>
      <w:r w:rsidR="005834D6">
        <w:t xml:space="preserve"> </w:t>
      </w:r>
      <w:r w:rsidR="007D5D83">
        <w:t xml:space="preserve">The </w:t>
      </w:r>
      <w:r w:rsidR="005834D6">
        <w:t xml:space="preserve">value of </w:t>
      </w:r>
      <w:proofErr w:type="spellStart"/>
      <w:r w:rsidR="005834D6" w:rsidRPr="009F4F47">
        <w:rPr>
          <w:i/>
        </w:rPr>
        <w:t>P</w:t>
      </w:r>
      <w:r w:rsidR="00F85145" w:rsidRPr="00F85145">
        <w:rPr>
          <w:i/>
          <w:vertAlign w:val="subscript"/>
        </w:rPr>
        <w:t>Ex</w:t>
      </w:r>
      <w:proofErr w:type="spellEnd"/>
      <w:r w:rsidR="005834D6" w:rsidRPr="009F4F47">
        <w:rPr>
          <w:i/>
        </w:rPr>
        <w:t xml:space="preserve"> </w:t>
      </w:r>
      <w:r w:rsidR="005834D6">
        <w:t xml:space="preserve">is a frequentist probability calculated in the same fashion described for </w:t>
      </w:r>
      <w:proofErr w:type="spellStart"/>
      <w:r w:rsidR="00397724" w:rsidRPr="00397724">
        <w:rPr>
          <w:i/>
        </w:rPr>
        <w:t>P</w:t>
      </w:r>
      <w:r w:rsidR="005834D6" w:rsidRPr="00397724">
        <w:rPr>
          <w:i/>
          <w:vertAlign w:val="subscript"/>
        </w:rPr>
        <w:t>Nu</w:t>
      </w:r>
      <w:proofErr w:type="spellEnd"/>
      <w:r w:rsidR="005834D6" w:rsidRPr="004B3876">
        <w:t>.</w:t>
      </w:r>
    </w:p>
    <w:p w:rsidR="007C7EEF" w:rsidRDefault="007C7EEF" w:rsidP="005834D6"/>
    <w:p w:rsidR="005834D6" w:rsidRPr="00383724" w:rsidRDefault="007D5D83" w:rsidP="005834D6">
      <w:r>
        <w:t>T</w:t>
      </w:r>
      <w:r w:rsidR="005834D6">
        <w:t>he total distance (</w:t>
      </w:r>
      <w:r w:rsidR="00F85145" w:rsidRPr="00F85145">
        <w:t>Δ</w:t>
      </w:r>
      <w:r w:rsidR="005834D6" w:rsidRPr="00BA6986">
        <w:rPr>
          <w:i/>
          <w:vertAlign w:val="subscript"/>
        </w:rPr>
        <w:t>T</w:t>
      </w:r>
      <w:r w:rsidR="005834D6">
        <w:t xml:space="preserve">) between a pair of specimens </w:t>
      </w:r>
      <w:r>
        <w:t>given</w:t>
      </w:r>
      <w:r w:rsidR="005834D6">
        <w:t xml:space="preserve"> a </w:t>
      </w:r>
      <w:r>
        <w:t xml:space="preserve">set of haplotypes generated for </w:t>
      </w:r>
      <w:r w:rsidR="005834D6">
        <w:t>two nuclear (</w:t>
      </w:r>
      <w:r w:rsidR="005834D6" w:rsidRPr="000829A4">
        <w:rPr>
          <w:i/>
        </w:rPr>
        <w:t>Nu</w:t>
      </w:r>
      <w:r w:rsidR="005834D6">
        <w:t>) loci and one mitochondrial locus (</w:t>
      </w:r>
      <w:r>
        <w:t xml:space="preserve">which is </w:t>
      </w:r>
      <w:r w:rsidR="005834D6">
        <w:t xml:space="preserve">an </w:t>
      </w:r>
      <w:r w:rsidR="005834D6" w:rsidRPr="000829A4">
        <w:rPr>
          <w:i/>
        </w:rPr>
        <w:t>Ex</w:t>
      </w:r>
      <w:r w:rsidR="005834D6">
        <w:t xml:space="preserve"> locus)</w:t>
      </w:r>
      <w:r w:rsidR="00F85145">
        <w:t xml:space="preserve"> is determined </w:t>
      </w:r>
      <w:r w:rsidR="007D1CCC">
        <w:t>by</w:t>
      </w:r>
      <w:r w:rsidR="00F85145">
        <w:t>:</w:t>
      </w:r>
    </w:p>
    <w:p w:rsidR="00572646" w:rsidRDefault="00414814" w:rsidP="00572646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Nu1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Nu2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Ex</m:t>
              </m:r>
            </m:sub>
          </m:sSub>
        </m:oMath>
      </m:oMathPara>
    </w:p>
    <w:p w:rsidR="001A342C" w:rsidRDefault="005834D6" w:rsidP="00463705">
      <w:r>
        <w:lastRenderedPageBreak/>
        <w:t xml:space="preserve">In cases </w:t>
      </w:r>
      <w:r w:rsidR="00F85145">
        <w:t xml:space="preserve">where </w:t>
      </w:r>
      <w:r>
        <w:t>genotype</w:t>
      </w:r>
      <w:r w:rsidR="007C7EEF">
        <w:t>s</w:t>
      </w:r>
      <w:r>
        <w:t xml:space="preserve"> </w:t>
      </w:r>
      <w:r w:rsidR="007C7EEF">
        <w:t>are incomplete</w:t>
      </w:r>
      <w:r w:rsidR="008A136A">
        <w:t xml:space="preserve"> due to amplification or sequencing failures,</w:t>
      </w:r>
      <w:r>
        <w:t xml:space="preserve"> </w:t>
      </w:r>
      <w:r w:rsidR="001A342C">
        <w:t>a</w:t>
      </w:r>
      <w:r>
        <w:t xml:space="preserve"> </w:t>
      </w:r>
      <w:r w:rsidR="0058584A">
        <w:t xml:space="preserve">mean distance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μ</m:t>
                </m:r>
              </m:sub>
            </m:sSub>
          </m:e>
        </m:d>
      </m:oMath>
      <w:r w:rsidR="00BD27E0">
        <w:t xml:space="preserve"> </w:t>
      </w:r>
      <w:r w:rsidR="0058584A">
        <w:t>is calculated in place of</w:t>
      </w:r>
      <w:r w:rsidR="00D6494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Nu</m:t>
            </m:r>
          </m:sub>
        </m:sSub>
      </m:oMath>
      <w:r w:rsidR="00D64947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Ex</m:t>
            </m:r>
          </m:sub>
        </m:sSub>
      </m:oMath>
      <w:r w:rsidR="007C7EEF">
        <w:t>.</w:t>
      </w:r>
      <w:r w:rsidR="00486650">
        <w:t xml:space="preserve"> </w:t>
      </w:r>
      <w:r w:rsidR="001A342C">
        <w:t>Depending on the circumstance, Δ</w:t>
      </w:r>
      <w:r w:rsidR="001A342C" w:rsidRPr="0058584A">
        <w:rPr>
          <w:i/>
          <w:vertAlign w:val="subscript"/>
        </w:rPr>
        <w:t>µ</w:t>
      </w:r>
      <w:r w:rsidR="001A342C">
        <w:t xml:space="preserve"> </w:t>
      </w:r>
      <w:r w:rsidR="007C7EEF">
        <w:t>is</w:t>
      </w:r>
      <w:r w:rsidR="001A342C">
        <w:t xml:space="preserve"> calculated in one of </w:t>
      </w:r>
      <w:r w:rsidR="008A136A">
        <w:t>five</w:t>
      </w:r>
      <w:r w:rsidR="00F62FA1">
        <w:t xml:space="preserve"> ways (</w:t>
      </w:r>
      <w:proofErr w:type="spellStart"/>
      <w:r w:rsidR="00F62FA1">
        <w:t>i</w:t>
      </w:r>
      <w:proofErr w:type="spellEnd"/>
      <w:r w:rsidR="00F62FA1">
        <w:t xml:space="preserve"> –</w:t>
      </w:r>
      <w:r w:rsidR="008A136A">
        <w:t>v</w:t>
      </w:r>
      <w:r w:rsidR="001A342C">
        <w:t>)</w:t>
      </w:r>
      <w:r w:rsidR="00BD27E0">
        <w:t>:</w:t>
      </w:r>
    </w:p>
    <w:p w:rsidR="001A342C" w:rsidRDefault="00104614" w:rsidP="00104614">
      <w:pPr>
        <w:pStyle w:val="ListParagraph"/>
        <w:numPr>
          <w:ilvl w:val="0"/>
          <w:numId w:val="15"/>
        </w:numPr>
      </w:pPr>
      <w:r>
        <w:t xml:space="preserve">Consider a dataset consisting of three loci (A, B and C). </w:t>
      </w:r>
      <w:r w:rsidR="007D1CCC">
        <w:t>When</w:t>
      </w:r>
      <w:r w:rsidR="005834D6">
        <w:t xml:space="preserve"> </w:t>
      </w:r>
      <w:r w:rsidR="00463DCB">
        <w:t>a</w:t>
      </w:r>
      <w:r w:rsidR="005834D6">
        <w:t xml:space="preserve"> specimen</w:t>
      </w:r>
      <w:r w:rsidR="007D1CCC">
        <w:t xml:space="preserve"> with</w:t>
      </w:r>
      <w:r w:rsidR="005834D6">
        <w:t xml:space="preserve"> </w:t>
      </w:r>
      <w:r>
        <w:t xml:space="preserve">data </w:t>
      </w:r>
      <w:r w:rsidR="009022D8">
        <w:t xml:space="preserve">missing </w:t>
      </w:r>
      <w:r>
        <w:t>for</w:t>
      </w:r>
      <w:r w:rsidR="00C13EF0">
        <w:t xml:space="preserve"> </w:t>
      </w:r>
      <w:r>
        <w:t>locus A</w:t>
      </w:r>
      <w:r w:rsidR="005F65AC">
        <w:t xml:space="preserve"> (e.g.</w:t>
      </w:r>
      <w:r w:rsidR="005834D6">
        <w:t xml:space="preserve"> Specimen 1) </w:t>
      </w:r>
      <w:r w:rsidR="00A754EB">
        <w:t xml:space="preserve">is compared </w:t>
      </w:r>
      <w:r w:rsidR="005834D6">
        <w:t xml:space="preserve">to </w:t>
      </w:r>
      <w:r w:rsidR="009022D8">
        <w:t>a</w:t>
      </w:r>
      <w:r w:rsidR="005834D6">
        <w:t xml:space="preserve"> specimen</w:t>
      </w:r>
      <w:r>
        <w:t xml:space="preserve"> </w:t>
      </w:r>
      <w:r w:rsidRPr="00104614">
        <w:t xml:space="preserve">with data available for </w:t>
      </w:r>
      <w:r>
        <w:t>locus A</w:t>
      </w:r>
      <w:r w:rsidR="005F65AC">
        <w:t xml:space="preserve"> (e.g.</w:t>
      </w:r>
      <w:r w:rsidR="005834D6">
        <w:t xml:space="preserve"> Specimen 2),</w:t>
      </w:r>
      <w:r w:rsidR="00463DC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μi</m:t>
            </m:r>
          </m:sub>
        </m:sSub>
      </m:oMath>
      <w:r w:rsidR="005834D6">
        <w:t xml:space="preserve"> is </w:t>
      </w:r>
      <w:r w:rsidR="00A754EB">
        <w:t>calculated</w:t>
      </w:r>
      <w:r w:rsidR="003438B4">
        <w:t xml:space="preserve"> in place of a true distance</w:t>
      </w:r>
      <w:r w:rsidR="00A754EB">
        <w:t xml:space="preserve">.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μi</m:t>
            </m:r>
          </m:sub>
        </m:sSub>
      </m:oMath>
      <w:r w:rsidR="00A754EB">
        <w:t xml:space="preserve"> is taken</w:t>
      </w:r>
      <w:r w:rsidR="00397724">
        <w:t xml:space="preserve"> as</w:t>
      </w:r>
      <w:r w:rsidR="00463705">
        <w:t xml:space="preserve"> </w:t>
      </w:r>
      <w:r w:rsidR="00486650">
        <w:t>the mean</w:t>
      </w:r>
      <w:r w:rsidR="005834D6">
        <w:t xml:space="preserve"> distance </w:t>
      </w:r>
      <w:r w:rsidR="009022D8">
        <w:t>between</w:t>
      </w:r>
      <w:r w:rsidR="005834D6">
        <w:t xml:space="preserve"> Specimen 2 </w:t>
      </w:r>
      <w:r w:rsidR="009022D8">
        <w:t>at</w:t>
      </w:r>
      <w:r>
        <w:t xml:space="preserve"> locus A </w:t>
      </w:r>
      <w:r w:rsidR="005834D6">
        <w:t xml:space="preserve">and all specimens in the </w:t>
      </w:r>
      <w:r w:rsidR="00A43757">
        <w:t>cohort</w:t>
      </w:r>
      <w:r w:rsidR="005834D6">
        <w:t xml:space="preserve"> possessing </w:t>
      </w:r>
      <w:r w:rsidR="004C1B64">
        <w:t xml:space="preserve">an </w:t>
      </w:r>
      <w:r w:rsidR="005834D6">
        <w:t xml:space="preserve">identical </w:t>
      </w:r>
      <w:r w:rsidR="004C1B64">
        <w:t xml:space="preserve">B and C genotype </w:t>
      </w:r>
      <w:r w:rsidR="005834D6">
        <w:t>to Specimen 1</w:t>
      </w:r>
      <w:r w:rsidR="00D71BA6">
        <w:t xml:space="preserve">, excluding </w:t>
      </w:r>
      <w:r w:rsidR="00FF3AF3">
        <w:t>specimens</w:t>
      </w:r>
      <w:r w:rsidR="00D71BA6">
        <w:t xml:space="preserve"> that have data missing for locus A</w:t>
      </w:r>
      <w:r w:rsidR="009F1E14">
        <w:t xml:space="preserve">. </w:t>
      </w:r>
      <w:r w:rsidR="00C13EF0">
        <w:t>If a specimen (</w:t>
      </w:r>
      <w:r w:rsidR="005F65AC">
        <w:t>e.g</w:t>
      </w:r>
      <w:r w:rsidR="00C13EF0">
        <w:t xml:space="preserve">. Specimen 3) only has data available for locus C and is being compared to Specimen 2,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μi</m:t>
            </m:r>
          </m:sub>
        </m:sSub>
      </m:oMath>
      <w:r w:rsidR="00C13EF0">
        <w:t xml:space="preserve"> is calculated by taking the mean distance between Specimen 2 and all other specimens in the cohort that are identical to Specimen 3 at </w:t>
      </w:r>
      <w:r w:rsidR="00B81D87">
        <w:t xml:space="preserve">only </w:t>
      </w:r>
      <w:r w:rsidR="00C13EF0">
        <w:t>locus C</w:t>
      </w:r>
      <w:r w:rsidR="002663D1">
        <w:t>. This calculation is performed</w:t>
      </w:r>
      <w:r w:rsidR="00C13EF0">
        <w:t xml:space="preserve"> for </w:t>
      </w:r>
      <w:r w:rsidR="005F65AC">
        <w:t xml:space="preserve">both </w:t>
      </w:r>
      <w:r w:rsidR="00C13EF0">
        <w:t>locus A and B</w:t>
      </w:r>
      <w:r w:rsidR="002663D1">
        <w:t xml:space="preserve"> in this case</w:t>
      </w:r>
      <w:r w:rsidR="00C13EF0">
        <w:t xml:space="preserve">. </w:t>
      </w:r>
      <w:r w:rsidR="00697F78">
        <w:t>However, f</w:t>
      </w:r>
      <w:r w:rsidR="00A43757">
        <w:t>or</w:t>
      </w:r>
      <w:r w:rsidR="00C13EF0">
        <w:t xml:space="preserve"> specimens</w:t>
      </w:r>
      <w:r w:rsidR="004C1B64">
        <w:t xml:space="preserve"> with </w:t>
      </w:r>
      <w:r w:rsidR="00A43757">
        <w:t>multiple</w:t>
      </w:r>
      <w:r w:rsidR="004C1B64">
        <w:t xml:space="preserve"> loci</w:t>
      </w:r>
      <w:r w:rsidR="00697F78">
        <w:t xml:space="preserve"> missing</w:t>
      </w:r>
      <w:r w:rsidR="00C13EF0">
        <w:t xml:space="preserve"> we suggest that </w:t>
      </w:r>
      <w:r w:rsidR="00A43757">
        <w:t xml:space="preserve">any links identified </w:t>
      </w:r>
      <w:r w:rsidR="00C13EF0">
        <w:t xml:space="preserve">be </w:t>
      </w:r>
      <w:r w:rsidR="004C1B64">
        <w:t>considered</w:t>
      </w:r>
      <w:r w:rsidR="00C13EF0">
        <w:t xml:space="preserve"> with caution.</w:t>
      </w:r>
    </w:p>
    <w:p w:rsidR="001A342C" w:rsidRDefault="00841C40" w:rsidP="001A342C">
      <w:pPr>
        <w:pStyle w:val="ListParagraph"/>
        <w:numPr>
          <w:ilvl w:val="0"/>
          <w:numId w:val="15"/>
        </w:numPr>
      </w:pPr>
      <w:r>
        <w:t>If</w:t>
      </w:r>
      <w:r w:rsidR="005834D6">
        <w:t xml:space="preserve"> Specimen 1 possesses </w:t>
      </w:r>
      <w:r>
        <w:t xml:space="preserve">a </w:t>
      </w:r>
      <w:r w:rsidR="00C13EF0">
        <w:t xml:space="preserve">locus B and C </w:t>
      </w:r>
      <w:r>
        <w:t xml:space="preserve">genotype </w:t>
      </w:r>
      <w:r w:rsidR="005834D6">
        <w:t xml:space="preserve">that </w:t>
      </w:r>
      <w:r>
        <w:t>is</w:t>
      </w:r>
      <w:r w:rsidR="005834D6">
        <w:t xml:space="preserve"> </w:t>
      </w:r>
      <w:r w:rsidR="006219F3">
        <w:t>different</w:t>
      </w:r>
      <w:r w:rsidR="005834D6">
        <w:t xml:space="preserve"> to any other specimen in the cohort </w:t>
      </w:r>
      <w:r w:rsidR="005F65AC">
        <w:t>(i.e.</w:t>
      </w:r>
      <w:r w:rsidR="005434DA">
        <w:t xml:space="preserve"> </w:t>
      </w:r>
      <w:r w:rsidR="00A754EB">
        <w:t>S</w:t>
      </w:r>
      <w:r w:rsidR="005434DA">
        <w:t xml:space="preserve">pecimen </w:t>
      </w:r>
      <w:r w:rsidR="00A754EB">
        <w:t xml:space="preserve">1 </w:t>
      </w:r>
      <w:r w:rsidR="005434DA">
        <w:t>is unique)</w:t>
      </w:r>
      <w:r w:rsidR="005834D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μii</m:t>
            </m:r>
          </m:sub>
        </m:sSub>
      </m:oMath>
      <w:r w:rsidR="00A754EB">
        <w:t xml:space="preserve"> </w:t>
      </w:r>
      <w:r w:rsidR="005834D6">
        <w:t xml:space="preserve">is </w:t>
      </w:r>
      <w:r w:rsidR="00A754EB">
        <w:t xml:space="preserve">used.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μii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754EB">
        <w:t xml:space="preserve">is determined by taking </w:t>
      </w:r>
      <w:r w:rsidR="005834D6">
        <w:t xml:space="preserve">the </w:t>
      </w:r>
      <w:r w:rsidR="006219F3">
        <w:t>mean</w:t>
      </w:r>
      <w:r w:rsidR="005834D6">
        <w:t xml:space="preserve"> of all distances for locus </w:t>
      </w:r>
      <w:r>
        <w:t>A from</w:t>
      </w:r>
      <w:r w:rsidR="005834D6">
        <w:t xml:space="preserve"> the entire cohort of specimens</w:t>
      </w:r>
      <w:r>
        <w:t>, excluding specimens with data missing at locus A</w:t>
      </w:r>
      <w:r w:rsidR="00A17E2E">
        <w:t xml:space="preserve"> and excluding self-to-self distances</w:t>
      </w:r>
      <w:r w:rsidR="00C13EF0">
        <w:t>.</w:t>
      </w:r>
      <w:r w:rsidR="00B81D87">
        <w:t xml:space="preserve"> If a specimen only </w:t>
      </w:r>
      <w:r w:rsidR="006219F3">
        <w:t xml:space="preserve">has data available for locus C and its sequence is unique, </w:t>
      </w:r>
      <w:r w:rsidR="00697F78">
        <w:t>then</w:t>
      </w:r>
      <w:r w:rsidR="00B81D8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μii</m:t>
            </m:r>
          </m:sub>
        </m:sSub>
      </m:oMath>
      <w:r w:rsidR="00B81D87">
        <w:t xml:space="preserve"> is taken as the average pairwise distances </w:t>
      </w:r>
      <w:r w:rsidR="006219F3">
        <w:t>for all specimens</w:t>
      </w:r>
      <w:r w:rsidR="00697F78">
        <w:t xml:space="preserve"> (determined separately for locus A and B), </w:t>
      </w:r>
      <w:r w:rsidR="00B81D87">
        <w:t xml:space="preserve">excluding </w:t>
      </w:r>
      <w:r w:rsidR="006219F3">
        <w:t>those</w:t>
      </w:r>
      <w:r w:rsidR="00B81D87">
        <w:t xml:space="preserve"> missing </w:t>
      </w:r>
      <w:r w:rsidR="006219F3">
        <w:t>data for</w:t>
      </w:r>
      <w:r w:rsidR="00B81D87">
        <w:t xml:space="preserve"> locus A </w:t>
      </w:r>
      <w:r w:rsidR="006219F3">
        <w:t>and</w:t>
      </w:r>
      <w:r w:rsidR="00697F78">
        <w:t>/or</w:t>
      </w:r>
      <w:r w:rsidR="006219F3">
        <w:t xml:space="preserve"> B, </w:t>
      </w:r>
      <w:r w:rsidR="00B81D87">
        <w:t>and e</w:t>
      </w:r>
      <w:r w:rsidR="006219F3">
        <w:t>xcluding self-to-self distances</w:t>
      </w:r>
      <w:r w:rsidR="00B81D87">
        <w:t xml:space="preserve">. </w:t>
      </w:r>
    </w:p>
    <w:p w:rsidR="00A43757" w:rsidRDefault="00A43757" w:rsidP="00A43757">
      <w:pPr>
        <w:pStyle w:val="ListParagraph"/>
        <w:numPr>
          <w:ilvl w:val="0"/>
          <w:numId w:val="15"/>
        </w:numPr>
      </w:pPr>
      <w:r w:rsidRPr="009D449C">
        <w:t xml:space="preserve">When comparing two specimens </w:t>
      </w:r>
      <w:r w:rsidR="006219F3">
        <w:t>that both have</w:t>
      </w:r>
      <w:r w:rsidRPr="009D449C">
        <w:t xml:space="preserve"> data missing </w:t>
      </w:r>
      <w:r w:rsidR="006219F3">
        <w:t>at</w:t>
      </w:r>
      <w:r w:rsidRPr="009D449C">
        <w:t xml:space="preserve"> locus A</w:t>
      </w:r>
      <w:r>
        <w:t xml:space="preserve"> (</w:t>
      </w:r>
      <w:r w:rsidR="005F65AC">
        <w:t>e</w:t>
      </w:r>
      <w:r>
        <w:t>.</w:t>
      </w:r>
      <w:r w:rsidR="005F65AC">
        <w:t>g</w:t>
      </w:r>
      <w:r>
        <w:t xml:space="preserve">., Specimen 1 and Specimen 4),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μiii</m:t>
            </m:r>
          </m:sub>
        </m:sSub>
      </m:oMath>
      <w:r>
        <w:t xml:space="preserve"> is used.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μiii</m:t>
            </m:r>
          </m:sub>
        </m:sSub>
      </m:oMath>
      <w:r>
        <w:t xml:space="preserve"> is determined by taking </w:t>
      </w:r>
      <w:r>
        <w:lastRenderedPageBreak/>
        <w:t xml:space="preserve">the mean of </w:t>
      </w:r>
      <w:r w:rsidR="005F65AC">
        <w:t xml:space="preserve">all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μi</m:t>
            </m:r>
          </m:sub>
        </m:sSub>
      </m:oMath>
      <w:r>
        <w:t xml:space="preserve"> </w:t>
      </w:r>
      <w:r w:rsidR="005F65AC">
        <w:t xml:space="preserve">values </w:t>
      </w:r>
      <w:r>
        <w:t>calculated for Specimen 1 at locus A, only for specimens that are identical to Specimen 4 at locus B and C</w:t>
      </w:r>
      <w:r w:rsidR="00D17F68">
        <w:t xml:space="preserve"> (or</w:t>
      </w:r>
      <w:r w:rsidR="00362649">
        <w:t xml:space="preserve"> identical at</w:t>
      </w:r>
      <w:r w:rsidR="00D17F68">
        <w:t xml:space="preserve"> one of these if B or C</w:t>
      </w:r>
      <w:r w:rsidR="00362649">
        <w:t xml:space="preserve"> is also absent</w:t>
      </w:r>
      <w:r w:rsidR="00D17F68">
        <w:t>)</w:t>
      </w:r>
      <w:r>
        <w:t xml:space="preserve">. Alternatively,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μiii</m:t>
            </m:r>
          </m:sub>
        </m:sSub>
      </m:oMath>
      <w:r>
        <w:t xml:space="preserve"> can be determined by taking the mean of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μi</m:t>
            </m:r>
          </m:sub>
        </m:sSub>
      </m:oMath>
      <w:r>
        <w:t xml:space="preserve"> calculated for Specimen 4 at locus A, only for specimens that are identical to Specimen 1</w:t>
      </w:r>
      <w:r w:rsidR="009F2F49">
        <w:t xml:space="preserve"> at locus B and C</w:t>
      </w:r>
      <w:r w:rsidR="00D17F68">
        <w:t xml:space="preserve"> (or </w:t>
      </w:r>
      <w:r w:rsidR="00362649">
        <w:t xml:space="preserve">identical at </w:t>
      </w:r>
      <w:r w:rsidR="00D17F68">
        <w:t>one of these if B or C</w:t>
      </w:r>
      <w:r w:rsidR="009022D8">
        <w:t xml:space="preserve"> is also absent</w:t>
      </w:r>
      <w:r w:rsidR="00D17F68">
        <w:t>)</w:t>
      </w:r>
      <w:r w:rsidR="009F2F49">
        <w:t>. The value of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μiii</m:t>
            </m:r>
          </m:sub>
        </m:sSub>
      </m:oMath>
      <w:r>
        <w:t xml:space="preserve"> should be the same regardless.</w:t>
      </w:r>
      <w:r w:rsidR="00A17E2E">
        <w:t xml:space="preserve"> If Specimen 1 and/or Specimen 4 possess a unique B and C genotype,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μii</m:t>
            </m:r>
          </m:sub>
        </m:sSub>
      </m:oMath>
      <w:r w:rsidR="00A17E2E">
        <w:t xml:space="preserve"> </w:t>
      </w:r>
      <w:r w:rsidR="009022D8">
        <w:t>is</w:t>
      </w:r>
      <w:r w:rsidR="00A17E2E">
        <w:t xml:space="preserve"> considered in the calculation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μiii</m:t>
            </m:r>
          </m:sub>
        </m:sSub>
      </m:oMath>
      <w:r w:rsidR="00A17E2E">
        <w:t>.</w:t>
      </w:r>
      <w:r w:rsidR="009F2F49">
        <w:t xml:space="preserve"> </w:t>
      </w:r>
    </w:p>
    <w:p w:rsidR="000E679D" w:rsidRPr="00B61D68" w:rsidRDefault="000E7FE9" w:rsidP="00B61D68">
      <w:pPr>
        <w:pStyle w:val="ListParagraph"/>
        <w:numPr>
          <w:ilvl w:val="0"/>
          <w:numId w:val="15"/>
        </w:numPr>
      </w:pPr>
      <w:r w:rsidRPr="00B61D68">
        <w:t xml:space="preserve">When calculating </w:t>
      </w:r>
      <w:r w:rsidR="00841C40">
        <w:t>a</w:t>
      </w:r>
      <w:r w:rsidR="00B61D68">
        <w:t xml:space="preserve"> </w:t>
      </w:r>
      <w:r w:rsidRPr="00B61D68">
        <w:t>self-</w:t>
      </w:r>
      <w:r w:rsidR="005F65AC">
        <w:t xml:space="preserve">to-self </w:t>
      </w:r>
      <w:r w:rsidRPr="00B61D68">
        <w:t xml:space="preserve">distance </w:t>
      </w:r>
      <w:r w:rsidR="00841C40">
        <w:t xml:space="preserve">for Specimen 1 (i.e., comparing Specimen 1 to </w:t>
      </w:r>
      <w:r w:rsidR="00D663C1">
        <w:t>itself</w:t>
      </w:r>
      <w:r w:rsidR="00841C40">
        <w:t>)</w:t>
      </w:r>
      <w:r w:rsidR="00D663C1">
        <w:t xml:space="preserve"> </w:t>
      </w:r>
      <w:r w:rsidR="00362649">
        <w:t>with</w:t>
      </w:r>
      <w:r w:rsidR="00D663C1">
        <w:t xml:space="preserve"> locus A</w:t>
      </w:r>
      <w:r w:rsidR="00362649">
        <w:t xml:space="preserve"> missing</w:t>
      </w:r>
      <w:r w:rsidR="00B61D6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μiv</m:t>
            </m:r>
          </m:sub>
        </m:sSub>
      </m:oMath>
      <w:r w:rsidRPr="00B61D68">
        <w:t xml:space="preserve"> </w:t>
      </w:r>
      <w:r w:rsidR="00B61D68">
        <w:t xml:space="preserve">is used.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μiv</m:t>
            </m:r>
          </m:sub>
        </m:sSub>
      </m:oMath>
      <w:r w:rsidR="00B61D68" w:rsidRPr="00B61D68">
        <w:t xml:space="preserve"> </w:t>
      </w:r>
      <w:r w:rsidR="00B61D68">
        <w:t xml:space="preserve">is </w:t>
      </w:r>
      <w:r w:rsidR="00D663C1">
        <w:t>taken as</w:t>
      </w:r>
      <w:r w:rsidR="00B61D68">
        <w:t xml:space="preserve"> </w:t>
      </w:r>
      <w:r w:rsidRPr="00B61D68">
        <w:t xml:space="preserve">the mean of </w:t>
      </w:r>
      <w:r w:rsidR="00B61D68">
        <w:t>all</w:t>
      </w:r>
      <w:r w:rsidRPr="00B61D68">
        <w:t xml:space="preserve"> self-</w:t>
      </w:r>
      <w:r w:rsidR="009F2F49">
        <w:t>to-self distances</w:t>
      </w:r>
      <w:r w:rsidRPr="00B61D68">
        <w:t xml:space="preserve"> for </w:t>
      </w:r>
      <w:r w:rsidR="00841C40">
        <w:t>specimens</w:t>
      </w:r>
      <w:r w:rsidRPr="00B61D68">
        <w:t xml:space="preserve"> </w:t>
      </w:r>
      <w:r w:rsidR="009F2F49">
        <w:t>with</w:t>
      </w:r>
      <w:r w:rsidR="00D663C1">
        <w:t xml:space="preserve"> a </w:t>
      </w:r>
      <w:r w:rsidR="00362649">
        <w:t xml:space="preserve">B and C genotype </w:t>
      </w:r>
      <w:r w:rsidR="00841C40">
        <w:t>identical to Specimen 1</w:t>
      </w:r>
      <w:r w:rsidR="00362649">
        <w:t xml:space="preserve"> (or identical to one of these if B or C is also absent in Specimen 1)</w:t>
      </w:r>
      <w:r w:rsidR="00D663C1">
        <w:t>, excluding specimens with missing data for locus A.</w:t>
      </w:r>
    </w:p>
    <w:p w:rsidR="005834D6" w:rsidRDefault="00D663C1" w:rsidP="001A342C">
      <w:pPr>
        <w:pStyle w:val="ListParagraph"/>
        <w:numPr>
          <w:ilvl w:val="0"/>
          <w:numId w:val="15"/>
        </w:numPr>
      </w:pPr>
      <w:r>
        <w:t>If</w:t>
      </w:r>
      <w:r w:rsidR="007D1CCC">
        <w:t xml:space="preserve"> </w:t>
      </w:r>
      <w:r>
        <w:t>S</w:t>
      </w:r>
      <w:r w:rsidR="007D1CCC">
        <w:t xml:space="preserve">pecimen </w:t>
      </w:r>
      <w:r>
        <w:t>1</w:t>
      </w:r>
      <w:r w:rsidR="005F65AC">
        <w:t>,</w:t>
      </w:r>
      <w:r>
        <w:t xml:space="preserve"> </w:t>
      </w:r>
      <w:r w:rsidR="005F65AC">
        <w:t xml:space="preserve">which is missing data for locus A, </w:t>
      </w:r>
      <w:r>
        <w:t xml:space="preserve">has a B </w:t>
      </w:r>
      <w:r w:rsidR="00362649">
        <w:t xml:space="preserve">and </w:t>
      </w:r>
      <w:r>
        <w:t>C genotype that is unique</w:t>
      </w:r>
      <w:r w:rsidR="007D1CCC">
        <w:t xml:space="preserve"> </w:t>
      </w:r>
      <w:r>
        <w:t>and a self-distance is to be calculated</w:t>
      </w:r>
      <w:r w:rsidR="001A342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μv</m:t>
            </m:r>
          </m:sub>
        </m:sSub>
      </m:oMath>
      <w:r w:rsidR="001A342C">
        <w:t xml:space="preserve"> is</w:t>
      </w:r>
      <w:r w:rsidR="007D1CCC">
        <w:t xml:space="preserve"> </w:t>
      </w:r>
      <w:r w:rsidR="005F65AC">
        <w:t>used</w:t>
      </w:r>
      <w:r w:rsidR="00EF1558">
        <w:t xml:space="preserve">. This is </w:t>
      </w:r>
      <w:r w:rsidR="007D1CCC">
        <w:t>taken as t</w:t>
      </w:r>
      <w:r w:rsidR="001A342C">
        <w:t>he</w:t>
      </w:r>
      <w:r w:rsidR="00463705">
        <w:t xml:space="preserve"> mean of </w:t>
      </w:r>
      <w:r w:rsidR="001A342C">
        <w:t>all self-to-self distances</w:t>
      </w:r>
      <w:r w:rsidR="00463705">
        <w:t xml:space="preserve"> only </w:t>
      </w:r>
      <w:r w:rsidR="00EF1558">
        <w:t>considering</w:t>
      </w:r>
      <w:r w:rsidR="00463705">
        <w:t xml:space="preserve"> specimens that have sequence data </w:t>
      </w:r>
      <w:r w:rsidR="001A342C">
        <w:t xml:space="preserve">available </w:t>
      </w:r>
      <w:r w:rsidR="00463705">
        <w:t xml:space="preserve">for locus </w:t>
      </w:r>
      <w:r w:rsidR="00EF1558">
        <w:t>A</w:t>
      </w:r>
      <w:r w:rsidR="00A754EB">
        <w:t>.</w:t>
      </w:r>
      <w:r w:rsidR="00697F78">
        <w:t xml:space="preserve"> If data is only available for locus C for example and its sequence is unique,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μv</m:t>
            </m:r>
          </m:sub>
        </m:sSub>
      </m:oMath>
      <w:r w:rsidR="00697F78">
        <w:t xml:space="preserve"> is calculated in this way for locus A and B.</w:t>
      </w:r>
    </w:p>
    <w:p w:rsidR="00362649" w:rsidRDefault="00362649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5834D6" w:rsidRDefault="00B81D87" w:rsidP="00AD3CC4">
      <w:pPr>
        <w:pStyle w:val="Heading1"/>
      </w:pPr>
      <w:bookmarkStart w:id="6" w:name="_Toc3221403"/>
      <w:r>
        <w:lastRenderedPageBreak/>
        <w:t xml:space="preserve">Description of the </w:t>
      </w:r>
      <w:r w:rsidR="005834D6">
        <w:t xml:space="preserve">Bayesian </w:t>
      </w:r>
      <w:r w:rsidR="00981A1D">
        <w:t>Algorithm</w:t>
      </w:r>
      <w:bookmarkEnd w:id="6"/>
    </w:p>
    <w:p w:rsidR="005834D6" w:rsidRDefault="005834D6" w:rsidP="005834D6">
      <w:r>
        <w:t>A Bayesian approach was used to calculate the posterior probability of a pair of specimens sharing 0, 1, or 2 common ancestors</w:t>
      </w:r>
      <w:r w:rsidR="004B4E35">
        <w:t xml:space="preserve">. </w:t>
      </w:r>
      <w:r>
        <w:t>The likelihood of observing the data assuming two isolates share 0 ancestors, signifying full independence, can be calculated directly as the product of the frequencies of the observed alleles at each locus.</w:t>
      </w:r>
    </w:p>
    <w:p w:rsidR="005834D6" w:rsidRDefault="005834D6" w:rsidP="005834D6"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=0)=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m=1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m=1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d>
            </m:e>
          </m:nary>
        </m:oMath>
      </m:oMathPara>
    </w:p>
    <w:p w:rsidR="005834D6" w:rsidRDefault="005834D6" w:rsidP="005834D6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observed data for isolate </w:t>
      </w:r>
      <w:proofErr w:type="spellStart"/>
      <w:r>
        <w:rPr>
          <w:i/>
        </w:rPr>
        <w:t>i</w:t>
      </w:r>
      <w:proofErr w:type="spellEnd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number of ancestors shared by isolate </w:t>
      </w:r>
      <w:proofErr w:type="spellStart"/>
      <w:r w:rsidRPr="00101115">
        <w:rPr>
          <w:i/>
        </w:rPr>
        <w:t>i</w:t>
      </w:r>
      <w:proofErr w:type="spellEnd"/>
      <w:r>
        <w:t xml:space="preserve"> and </w:t>
      </w:r>
      <w:r w:rsidRPr="00101115">
        <w:rPr>
          <w:i/>
        </w:rPr>
        <w:t>j</w:t>
      </w:r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i,m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t xml:space="preserve"> is the </w:t>
      </w:r>
      <w:proofErr w:type="spellStart"/>
      <w:r w:rsidRPr="00FF0EA6">
        <w:rPr>
          <w:i/>
        </w:rPr>
        <w:t>m</w:t>
      </w:r>
      <w:r>
        <w:t>th</w:t>
      </w:r>
      <w:proofErr w:type="spellEnd"/>
      <w:r>
        <w:t xml:space="preserve"> observed allele at locus </w:t>
      </w:r>
      <w:r w:rsidRPr="00FF0EA6">
        <w:rPr>
          <w:i/>
        </w:rPr>
        <w:t>k</w:t>
      </w:r>
      <w:r>
        <w:t xml:space="preserve"> for isolate </w:t>
      </w:r>
      <w:proofErr w:type="spellStart"/>
      <w:r w:rsidRPr="00FF0EA6">
        <w:rPr>
          <w:i/>
        </w:rPr>
        <w:t>i</w:t>
      </w:r>
      <w:proofErr w:type="spellEnd"/>
      <w:r>
        <w:t xml:space="preserve">, </w:t>
      </w:r>
      <w:r w:rsidRPr="00FF0EA6">
        <w:rPr>
          <w:i/>
        </w:rPr>
        <w:t>N</w:t>
      </w:r>
      <w:r>
        <w:t xml:space="preserve"> is the total number of loci,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t xml:space="preserve"> is the number of alleles at locus </w:t>
      </w:r>
      <w:r w:rsidRPr="00FF0EA6">
        <w:rPr>
          <w:i/>
        </w:rPr>
        <w:t>k</w:t>
      </w:r>
      <w:r>
        <w:t xml:space="preserve"> for isolate </w:t>
      </w:r>
      <w:proofErr w:type="spellStart"/>
      <w:r w:rsidRPr="00FF0EA6">
        <w:rPr>
          <w:i/>
        </w:rPr>
        <w:t>i</w:t>
      </w:r>
      <w:proofErr w:type="spellEnd"/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is a function that returns the empiric frequency of allele </w:t>
      </w:r>
      <w:r w:rsidRPr="005671AA">
        <w:rPr>
          <w:i/>
        </w:rPr>
        <w:t>x</w:t>
      </w:r>
      <w:r>
        <w:rPr>
          <w:i/>
        </w:rPr>
        <w:t xml:space="preserve"> </w:t>
      </w:r>
      <w:r>
        <w:t xml:space="preserve">at locus </w:t>
      </w:r>
      <w:r>
        <w:rPr>
          <w:i/>
        </w:rPr>
        <w:t>k.</w:t>
      </w:r>
    </w:p>
    <w:p w:rsidR="005834D6" w:rsidRDefault="005834D6" w:rsidP="005834D6">
      <w:r>
        <w:t>The probability of observing the alleles conditional on the isolates sharing one common ancestor is:</w:t>
      </w:r>
    </w:p>
    <w:p w:rsidR="005834D6" w:rsidRDefault="005834D6" w:rsidP="005834D6"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=1)=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x=1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y=1</m:t>
                          </m:r>
                        </m:sub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bSup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{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j,y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}</m:t>
                              </m:r>
                            </m:sub>
                          </m:sSub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m≠x</m:t>
                              </m:r>
                            </m:sub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bSup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nary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m=1</m:t>
                              </m:r>
                            </m:sub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bSup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j,m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nary>
                        </m:e>
                      </m:nary>
                    </m:e>
                  </m:nary>
                </m:e>
              </m:d>
            </m:e>
          </m:nary>
        </m:oMath>
      </m:oMathPara>
    </w:p>
    <w:p w:rsidR="005834D6" w:rsidRDefault="005834D6" w:rsidP="005834D6">
      <w:r>
        <w:t>Finally, the likelihood of observing the allele data assuming that both isolates share the exact same strain is:</w:t>
      </w:r>
    </w:p>
    <w:p w:rsidR="005834D6" w:rsidRPr="00903AE4" w:rsidRDefault="005834D6" w:rsidP="005834D6"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=2)=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(2)k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(2)k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x=1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(2)k</m:t>
                          </m:r>
                        </m:sup>
                      </m:sSubSup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y=1</m:t>
                          </m:r>
                        </m:sub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bSup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{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(2)k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j,y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(2)k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}</m:t>
                              </m:r>
                            </m:sub>
                          </m:sSub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m∉x</m:t>
                              </m:r>
                            </m:sub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bSup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nary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m=1</m:t>
                              </m:r>
                            </m:sub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bSup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j,m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nary>
                        </m:e>
                      </m:nary>
                    </m:e>
                  </m:nary>
                </m:e>
              </m:d>
            </m:e>
          </m:nary>
        </m:oMath>
      </m:oMathPara>
    </w:p>
    <w:p w:rsidR="005834D6" w:rsidRPr="005671AA" w:rsidRDefault="005834D6" w:rsidP="005834D6">
      <w: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(2)k</m:t>
            </m:r>
          </m:sup>
        </m:sSubSup>
      </m:oMath>
      <w:r>
        <w:t xml:space="preserve"> is the number of all possible pairs of alleles at locus </w:t>
      </w:r>
      <w:r w:rsidRPr="00FF0EA6">
        <w:rPr>
          <w:i/>
        </w:rPr>
        <w:t>k</w:t>
      </w:r>
      <w:r>
        <w:t xml:space="preserve"> for isolate </w:t>
      </w:r>
      <w:proofErr w:type="spellStart"/>
      <w:r w:rsidRPr="00FF0EA6">
        <w:rPr>
          <w:i/>
        </w:rPr>
        <w:t>i</w:t>
      </w:r>
      <w:proofErr w:type="spellEnd"/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i,x</m:t>
            </m:r>
          </m:sub>
          <m:sup>
            <m:r>
              <w:rPr>
                <w:rFonts w:ascii="Cambria Math" w:hAnsi="Cambria Math"/>
              </w:rPr>
              <m:t>(2)k</m:t>
            </m:r>
          </m:sup>
        </m:sSubSup>
      </m:oMath>
      <w:r>
        <w:t xml:space="preserve"> is the </w:t>
      </w:r>
      <w:proofErr w:type="spellStart"/>
      <w:r w:rsidRPr="00BB730F">
        <w:rPr>
          <w:i/>
        </w:rPr>
        <w:t>x</w:t>
      </w:r>
      <w:r>
        <w:t>th</w:t>
      </w:r>
      <w:proofErr w:type="spellEnd"/>
      <w:r>
        <w:t xml:space="preserve"> set of all possible pairs of alleles for isolate </w:t>
      </w:r>
      <w:proofErr w:type="spellStart"/>
      <w:r w:rsidRPr="00BB730F">
        <w:rPr>
          <w:i/>
        </w:rPr>
        <w:t>i</w:t>
      </w:r>
      <w:proofErr w:type="spellEnd"/>
      <w:r>
        <w:t xml:space="preserve"> at locus </w:t>
      </w:r>
      <w:r w:rsidRPr="00BB730F">
        <w:rPr>
          <w:i/>
        </w:rPr>
        <w:t>k</w:t>
      </w:r>
      <w:r>
        <w:rPr>
          <w:i/>
        </w:rPr>
        <w:t>.</w:t>
      </w:r>
    </w:p>
    <w:p w:rsidR="00362649" w:rsidRDefault="00362649" w:rsidP="005834D6"/>
    <w:p w:rsidR="00362649" w:rsidRDefault="00362649" w:rsidP="005834D6"/>
    <w:p w:rsidR="005834D6" w:rsidRDefault="005834D6" w:rsidP="005834D6">
      <w:r>
        <w:lastRenderedPageBreak/>
        <w:t>The posterior probability of each hypothesis can be calculated from Bayes' formula:</w:t>
      </w:r>
    </w:p>
    <w:p w:rsidR="005834D6" w:rsidRDefault="005834D6" w:rsidP="005834D6"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=x|D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=x)P(A_ij=x)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=y)</m:t>
                  </m:r>
                </m:e>
              </m:nary>
            </m:den>
          </m:f>
        </m:oMath>
      </m:oMathPara>
    </w:p>
    <w:p w:rsidR="005834D6" w:rsidRDefault="005834D6" w:rsidP="005834D6">
      <w:r>
        <w:t xml:space="preserve">An uninformative prior was chosen such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=2</m:t>
            </m:r>
          </m:e>
        </m:d>
        <m:r>
          <w:rPr>
            <w:rFonts w:ascii="Cambria Math" w:hAnsi="Cambria Math"/>
          </w:rPr>
          <m:t>=1/3</m:t>
        </m:r>
      </m:oMath>
      <w:r>
        <w:t>.</w:t>
      </w:r>
    </w:p>
    <w:p w:rsidR="005834D6" w:rsidRDefault="005834D6" w:rsidP="005834D6">
      <w:r>
        <w:t>The pairwise distance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) between any pair of </w:t>
      </w:r>
      <w:r w:rsidR="00397724">
        <w:t>specimens</w:t>
      </w:r>
      <w:r>
        <w:t xml:space="preserve"> was defined as a function of the expected number of common ancestors, calculated from the estimated posterior probabilities:</w:t>
      </w:r>
    </w:p>
    <w:p w:rsidR="00572A92" w:rsidRDefault="00414814" w:rsidP="000B596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=2-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0×P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=0|D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+1×P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=1|D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+2×P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=2|D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:rsidR="00572A92" w:rsidRDefault="00572A92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FF5602" w:rsidRPr="00C37F8B" w:rsidRDefault="00FF5602" w:rsidP="00697F78">
      <w:pPr>
        <w:pStyle w:val="Heading1"/>
      </w:pPr>
      <w:bookmarkStart w:id="7" w:name="_Toc3221404"/>
      <w:r>
        <w:lastRenderedPageBreak/>
        <w:t>Concordance of Genetic Clustering and Epidemiological Data (</w:t>
      </w:r>
      <w:r w:rsidRPr="009B17EE">
        <w:rPr>
          <w:i/>
        </w:rPr>
        <w:t>P</w:t>
      </w:r>
      <w:r>
        <w:t>-value calculation)</w:t>
      </w:r>
      <w:bookmarkEnd w:id="7"/>
    </w:p>
    <w:p w:rsidR="009B17EE" w:rsidRDefault="009B17EE" w:rsidP="009B17EE">
      <w:r>
        <w:t>The script below was used to calculate the probability that the concordance between the ensemble-assigned links and the epidemiologically assigned links arose due to random chance rather than a true association.</w:t>
      </w:r>
    </w:p>
    <w:p w:rsidR="00AD3CC4" w:rsidRDefault="00AD3CC4" w:rsidP="00AD3CC4"/>
    <w:p w:rsidR="00AD3CC4" w:rsidRPr="00AD3CC4" w:rsidRDefault="00AD3CC4" w:rsidP="00AD3CC4">
      <w:pPr>
        <w:pStyle w:val="Heading2"/>
      </w:pPr>
      <w:bookmarkStart w:id="8" w:name="_Toc3221405"/>
      <w:r w:rsidRPr="00FF5602">
        <w:t>Figure S1.</w:t>
      </w:r>
      <w:r>
        <w:t xml:space="preserve"> Example R script for</w:t>
      </w:r>
      <w:r w:rsidRPr="00FF5602">
        <w:t xml:space="preserve"> </w:t>
      </w:r>
      <w:r w:rsidRPr="00FF5602">
        <w:rPr>
          <w:i/>
        </w:rPr>
        <w:t>P-</w:t>
      </w:r>
      <w:r>
        <w:t>value calculation.</w:t>
      </w:r>
      <w:bookmarkEnd w:id="8"/>
    </w:p>
    <w:p w:rsidR="00FF5602" w:rsidRPr="00FF5602" w:rsidRDefault="00FF5602" w:rsidP="00C37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8"/>
        </w:rPr>
      </w:pPr>
      <w:r w:rsidRPr="00FF5602">
        <w:rPr>
          <w:rFonts w:ascii="Courier New" w:hAnsi="Courier New" w:cs="Courier New"/>
          <w:sz w:val="18"/>
        </w:rPr>
        <w:t>#ENSEMBLE P-VALUE CALCULATION</w:t>
      </w:r>
    </w:p>
    <w:p w:rsidR="00FF5602" w:rsidRPr="00FF5602" w:rsidRDefault="00FF5602" w:rsidP="00C37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8"/>
        </w:rPr>
      </w:pPr>
      <w:r w:rsidRPr="00FF5602">
        <w:rPr>
          <w:rFonts w:ascii="Courier New" w:hAnsi="Courier New" w:cs="Courier New"/>
          <w:sz w:val="18"/>
        </w:rPr>
        <w:t>#Size of each genetic cluster – 16 clusters total</w:t>
      </w:r>
    </w:p>
    <w:p w:rsidR="00FF5602" w:rsidRPr="00FF5602" w:rsidRDefault="00FF5602" w:rsidP="00C37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8"/>
        </w:rPr>
      </w:pPr>
      <w:proofErr w:type="spellStart"/>
      <w:r w:rsidRPr="00FF5602">
        <w:rPr>
          <w:rFonts w:ascii="Courier New" w:hAnsi="Courier New" w:cs="Courier New"/>
          <w:sz w:val="18"/>
        </w:rPr>
        <w:t>geneticclustersizes</w:t>
      </w:r>
      <w:proofErr w:type="spellEnd"/>
      <w:r w:rsidRPr="00FF5602">
        <w:rPr>
          <w:rFonts w:ascii="Courier New" w:hAnsi="Courier New" w:cs="Courier New"/>
          <w:sz w:val="18"/>
        </w:rPr>
        <w:t>= c(1,2,1,4,1,3,2,9,9,14,13,5,4,10,6,4)</w:t>
      </w:r>
    </w:p>
    <w:p w:rsidR="00FF5602" w:rsidRPr="00FF5602" w:rsidRDefault="00FF5602" w:rsidP="00C37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8"/>
        </w:rPr>
      </w:pPr>
    </w:p>
    <w:p w:rsidR="00FF5602" w:rsidRPr="00FF5602" w:rsidRDefault="00FF5602" w:rsidP="00C37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8"/>
        </w:rPr>
      </w:pPr>
      <w:r w:rsidRPr="00FF5602">
        <w:rPr>
          <w:rFonts w:ascii="Courier New" w:hAnsi="Courier New" w:cs="Courier New"/>
          <w:sz w:val="18"/>
        </w:rPr>
        <w:t>#probability that any two random specimens will be in the same genetic cluster by chance</w:t>
      </w:r>
    </w:p>
    <w:p w:rsidR="00FF5602" w:rsidRPr="00FF5602" w:rsidRDefault="00FF5602" w:rsidP="00C37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8"/>
        </w:rPr>
      </w:pPr>
      <w:proofErr w:type="spellStart"/>
      <w:r w:rsidRPr="00FF5602">
        <w:rPr>
          <w:rFonts w:ascii="Courier New" w:hAnsi="Courier New" w:cs="Courier New"/>
          <w:sz w:val="18"/>
        </w:rPr>
        <w:t>null_p</w:t>
      </w:r>
      <w:proofErr w:type="spellEnd"/>
      <w:r w:rsidRPr="00FF5602">
        <w:rPr>
          <w:rFonts w:ascii="Courier New" w:hAnsi="Courier New" w:cs="Courier New"/>
          <w:sz w:val="18"/>
        </w:rPr>
        <w:t xml:space="preserve"> = sum(</w:t>
      </w:r>
      <w:proofErr w:type="spellStart"/>
      <w:r w:rsidRPr="00FF5602">
        <w:rPr>
          <w:rFonts w:ascii="Courier New" w:hAnsi="Courier New" w:cs="Courier New"/>
          <w:sz w:val="18"/>
        </w:rPr>
        <w:t>sapply</w:t>
      </w:r>
      <w:proofErr w:type="spellEnd"/>
      <w:r w:rsidRPr="00FF5602">
        <w:rPr>
          <w:rFonts w:ascii="Courier New" w:hAnsi="Courier New" w:cs="Courier New"/>
          <w:sz w:val="18"/>
        </w:rPr>
        <w:t>(</w:t>
      </w:r>
      <w:proofErr w:type="gramStart"/>
      <w:r w:rsidRPr="00FF5602">
        <w:rPr>
          <w:rFonts w:ascii="Courier New" w:hAnsi="Courier New" w:cs="Courier New"/>
          <w:sz w:val="18"/>
        </w:rPr>
        <w:t>1:length</w:t>
      </w:r>
      <w:proofErr w:type="gramEnd"/>
      <w:r w:rsidRPr="00FF5602">
        <w:rPr>
          <w:rFonts w:ascii="Courier New" w:hAnsi="Courier New" w:cs="Courier New"/>
          <w:sz w:val="18"/>
        </w:rPr>
        <w:t>(</w:t>
      </w:r>
      <w:proofErr w:type="spellStart"/>
      <w:r w:rsidRPr="00FF5602">
        <w:rPr>
          <w:rFonts w:ascii="Courier New" w:hAnsi="Courier New" w:cs="Courier New"/>
          <w:sz w:val="18"/>
        </w:rPr>
        <w:t>geneticclustersizes</w:t>
      </w:r>
      <w:proofErr w:type="spellEnd"/>
      <w:r w:rsidRPr="00FF5602">
        <w:rPr>
          <w:rFonts w:ascii="Courier New" w:hAnsi="Courier New" w:cs="Courier New"/>
          <w:sz w:val="18"/>
        </w:rPr>
        <w:t>), function (x) geneticclustersizes[x]/sum(geneticclustersizes)*(geneticclustersizes[x]-1)/(sum(geneticclustersizes)-1)))</w:t>
      </w:r>
    </w:p>
    <w:p w:rsidR="00FF5602" w:rsidRPr="00FF5602" w:rsidRDefault="00FF5602" w:rsidP="00C37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8"/>
        </w:rPr>
      </w:pPr>
    </w:p>
    <w:p w:rsidR="00FF5602" w:rsidRPr="00FF5602" w:rsidRDefault="00FF5602" w:rsidP="00C37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8"/>
        </w:rPr>
      </w:pPr>
      <w:r w:rsidRPr="00FF5602">
        <w:rPr>
          <w:rFonts w:ascii="Courier New" w:hAnsi="Courier New" w:cs="Courier New"/>
          <w:sz w:val="18"/>
        </w:rPr>
        <w:t>#sizes of each epidemiologically-defined clusters</w:t>
      </w:r>
    </w:p>
    <w:p w:rsidR="00FF5602" w:rsidRPr="00FF5602" w:rsidRDefault="00FF5602" w:rsidP="00C37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8"/>
        </w:rPr>
      </w:pPr>
      <w:proofErr w:type="spellStart"/>
      <w:r w:rsidRPr="00FF5602">
        <w:rPr>
          <w:rFonts w:ascii="Courier New" w:hAnsi="Courier New" w:cs="Courier New"/>
          <w:sz w:val="18"/>
        </w:rPr>
        <w:t>epiclustersizes</w:t>
      </w:r>
      <w:proofErr w:type="spellEnd"/>
      <w:r w:rsidRPr="00FF5602">
        <w:rPr>
          <w:rFonts w:ascii="Courier New" w:hAnsi="Courier New" w:cs="Courier New"/>
          <w:sz w:val="18"/>
        </w:rPr>
        <w:t xml:space="preserve"> = c(4,7,2,3,3,4,2,4,2,5)</w:t>
      </w:r>
    </w:p>
    <w:p w:rsidR="00FF5602" w:rsidRPr="00FF5602" w:rsidRDefault="00FF5602" w:rsidP="00C37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8"/>
        </w:rPr>
      </w:pPr>
    </w:p>
    <w:p w:rsidR="00FF5602" w:rsidRPr="00FF5602" w:rsidRDefault="00FF5602" w:rsidP="00C37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8"/>
        </w:rPr>
      </w:pPr>
      <w:r w:rsidRPr="00FF5602">
        <w:rPr>
          <w:rFonts w:ascii="Courier New" w:hAnsi="Courier New" w:cs="Courier New"/>
          <w:sz w:val="18"/>
        </w:rPr>
        <w:t>#count total number of epidemiological links</w:t>
      </w:r>
    </w:p>
    <w:p w:rsidR="00FF5602" w:rsidRPr="00FF5602" w:rsidRDefault="00FF5602" w:rsidP="00C37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8"/>
        </w:rPr>
      </w:pPr>
      <w:proofErr w:type="spellStart"/>
      <w:r w:rsidRPr="00FF5602">
        <w:rPr>
          <w:rFonts w:ascii="Courier New" w:hAnsi="Courier New" w:cs="Courier New"/>
          <w:sz w:val="18"/>
        </w:rPr>
        <w:t>nepilinks</w:t>
      </w:r>
      <w:proofErr w:type="spellEnd"/>
      <w:r w:rsidRPr="00FF5602">
        <w:rPr>
          <w:rFonts w:ascii="Courier New" w:hAnsi="Courier New" w:cs="Courier New"/>
          <w:sz w:val="18"/>
        </w:rPr>
        <w:t xml:space="preserve"> = sum(</w:t>
      </w:r>
      <w:proofErr w:type="spellStart"/>
      <w:r w:rsidRPr="00FF5602">
        <w:rPr>
          <w:rFonts w:ascii="Courier New" w:hAnsi="Courier New" w:cs="Courier New"/>
          <w:sz w:val="18"/>
        </w:rPr>
        <w:t>sapply</w:t>
      </w:r>
      <w:proofErr w:type="spellEnd"/>
      <w:r w:rsidRPr="00FF5602">
        <w:rPr>
          <w:rFonts w:ascii="Courier New" w:hAnsi="Courier New" w:cs="Courier New"/>
          <w:sz w:val="18"/>
        </w:rPr>
        <w:t>(</w:t>
      </w:r>
      <w:proofErr w:type="gramStart"/>
      <w:r w:rsidRPr="00FF5602">
        <w:rPr>
          <w:rFonts w:ascii="Courier New" w:hAnsi="Courier New" w:cs="Courier New"/>
          <w:sz w:val="18"/>
        </w:rPr>
        <w:t>1:length</w:t>
      </w:r>
      <w:proofErr w:type="gramEnd"/>
      <w:r w:rsidRPr="00FF5602">
        <w:rPr>
          <w:rFonts w:ascii="Courier New" w:hAnsi="Courier New" w:cs="Courier New"/>
          <w:sz w:val="18"/>
        </w:rPr>
        <w:t>(</w:t>
      </w:r>
      <w:proofErr w:type="spellStart"/>
      <w:r w:rsidRPr="00FF5602">
        <w:rPr>
          <w:rFonts w:ascii="Courier New" w:hAnsi="Courier New" w:cs="Courier New"/>
          <w:sz w:val="18"/>
        </w:rPr>
        <w:t>epiclustersizes</w:t>
      </w:r>
      <w:proofErr w:type="spellEnd"/>
      <w:r w:rsidRPr="00FF5602">
        <w:rPr>
          <w:rFonts w:ascii="Courier New" w:hAnsi="Courier New" w:cs="Courier New"/>
          <w:sz w:val="18"/>
        </w:rPr>
        <w:t xml:space="preserve">), function (x) </w:t>
      </w:r>
      <w:proofErr w:type="spellStart"/>
      <w:r w:rsidRPr="00FF5602">
        <w:rPr>
          <w:rFonts w:ascii="Courier New" w:hAnsi="Courier New" w:cs="Courier New"/>
          <w:sz w:val="18"/>
        </w:rPr>
        <w:t>epiclustersizes</w:t>
      </w:r>
      <w:proofErr w:type="spellEnd"/>
      <w:r w:rsidRPr="00FF5602">
        <w:rPr>
          <w:rFonts w:ascii="Courier New" w:hAnsi="Courier New" w:cs="Courier New"/>
          <w:sz w:val="18"/>
        </w:rPr>
        <w:t>[x]*(</w:t>
      </w:r>
      <w:proofErr w:type="spellStart"/>
      <w:r w:rsidRPr="00FF5602">
        <w:rPr>
          <w:rFonts w:ascii="Courier New" w:hAnsi="Courier New" w:cs="Courier New"/>
          <w:sz w:val="18"/>
        </w:rPr>
        <w:t>epiclustersizes</w:t>
      </w:r>
      <w:proofErr w:type="spellEnd"/>
      <w:r w:rsidRPr="00FF5602">
        <w:rPr>
          <w:rFonts w:ascii="Courier New" w:hAnsi="Courier New" w:cs="Courier New"/>
          <w:sz w:val="18"/>
        </w:rPr>
        <w:t>[x]-1)/2)) ##Sum of all epi-links in each cluster (number of links = (n(n-1))/2)</w:t>
      </w:r>
    </w:p>
    <w:p w:rsidR="00FF5602" w:rsidRPr="00FF5602" w:rsidRDefault="00FF5602" w:rsidP="00C37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8"/>
        </w:rPr>
      </w:pPr>
    </w:p>
    <w:p w:rsidR="00FF5602" w:rsidRPr="00FF5602" w:rsidRDefault="00FF5602" w:rsidP="00C37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8"/>
        </w:rPr>
      </w:pPr>
      <w:r w:rsidRPr="00FF5602">
        <w:rPr>
          <w:rFonts w:ascii="Courier New" w:hAnsi="Courier New" w:cs="Courier New"/>
          <w:sz w:val="18"/>
        </w:rPr>
        <w:t>#plot null distribution of expected number of epi links in genetic map</w:t>
      </w:r>
    </w:p>
    <w:p w:rsidR="00FF5602" w:rsidRPr="00FF5602" w:rsidRDefault="00FF5602" w:rsidP="00C37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8"/>
        </w:rPr>
      </w:pPr>
      <w:proofErr w:type="spellStart"/>
      <w:r w:rsidRPr="00FF5602">
        <w:rPr>
          <w:rFonts w:ascii="Courier New" w:hAnsi="Courier New" w:cs="Courier New"/>
          <w:sz w:val="18"/>
        </w:rPr>
        <w:t>barplot</w:t>
      </w:r>
      <w:proofErr w:type="spellEnd"/>
      <w:r w:rsidRPr="00FF5602">
        <w:rPr>
          <w:rFonts w:ascii="Courier New" w:hAnsi="Courier New" w:cs="Courier New"/>
          <w:sz w:val="18"/>
        </w:rPr>
        <w:t>(</w:t>
      </w:r>
      <w:proofErr w:type="spellStart"/>
      <w:proofErr w:type="gramStart"/>
      <w:r w:rsidRPr="00FF5602">
        <w:rPr>
          <w:rFonts w:ascii="Courier New" w:hAnsi="Courier New" w:cs="Courier New"/>
          <w:sz w:val="18"/>
        </w:rPr>
        <w:t>dbinom</w:t>
      </w:r>
      <w:proofErr w:type="spellEnd"/>
      <w:r w:rsidRPr="00FF5602">
        <w:rPr>
          <w:rFonts w:ascii="Courier New" w:hAnsi="Courier New" w:cs="Courier New"/>
          <w:sz w:val="18"/>
        </w:rPr>
        <w:t>(</w:t>
      </w:r>
      <w:proofErr w:type="gramEnd"/>
      <w:r w:rsidRPr="00FF5602">
        <w:rPr>
          <w:rFonts w:ascii="Courier New" w:hAnsi="Courier New" w:cs="Courier New"/>
          <w:sz w:val="18"/>
        </w:rPr>
        <w:t>1:40,nepilinks,null_p),</w:t>
      </w:r>
      <w:proofErr w:type="spellStart"/>
      <w:r w:rsidRPr="00FF5602">
        <w:rPr>
          <w:rFonts w:ascii="Courier New" w:hAnsi="Courier New" w:cs="Courier New"/>
          <w:sz w:val="18"/>
        </w:rPr>
        <w:t>names.arg</w:t>
      </w:r>
      <w:proofErr w:type="spellEnd"/>
      <w:r w:rsidRPr="00FF5602">
        <w:rPr>
          <w:rFonts w:ascii="Courier New" w:hAnsi="Courier New" w:cs="Courier New"/>
          <w:sz w:val="18"/>
        </w:rPr>
        <w:t>=1:40)</w:t>
      </w:r>
    </w:p>
    <w:p w:rsidR="00FF5602" w:rsidRPr="00FF5602" w:rsidRDefault="00FF5602" w:rsidP="00C37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8"/>
        </w:rPr>
      </w:pPr>
    </w:p>
    <w:p w:rsidR="00FF5602" w:rsidRPr="00FF5602" w:rsidRDefault="00FF5602" w:rsidP="00C37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8"/>
        </w:rPr>
      </w:pPr>
      <w:r w:rsidRPr="00FF5602">
        <w:rPr>
          <w:rFonts w:ascii="Courier New" w:hAnsi="Courier New" w:cs="Courier New"/>
          <w:sz w:val="18"/>
        </w:rPr>
        <w:t>#observed epi-links that are concordant with the genetic links</w:t>
      </w:r>
    </w:p>
    <w:p w:rsidR="00FF5602" w:rsidRPr="00FF5602" w:rsidRDefault="00FF5602" w:rsidP="00C37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8"/>
        </w:rPr>
      </w:pPr>
      <w:proofErr w:type="spellStart"/>
      <w:r w:rsidRPr="00FF5602">
        <w:rPr>
          <w:rFonts w:ascii="Courier New" w:hAnsi="Courier New" w:cs="Courier New"/>
          <w:sz w:val="18"/>
        </w:rPr>
        <w:t>observedepilinks</w:t>
      </w:r>
      <w:proofErr w:type="spellEnd"/>
      <w:r w:rsidRPr="00FF5602">
        <w:rPr>
          <w:rFonts w:ascii="Courier New" w:hAnsi="Courier New" w:cs="Courier New"/>
          <w:sz w:val="18"/>
        </w:rPr>
        <w:t xml:space="preserve"> = sum(1,6,3,1,1,3,3,1,6)</w:t>
      </w:r>
    </w:p>
    <w:p w:rsidR="00FF5602" w:rsidRPr="00FF5602" w:rsidRDefault="00FF5602" w:rsidP="00C37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8"/>
        </w:rPr>
      </w:pPr>
    </w:p>
    <w:p w:rsidR="00FF5602" w:rsidRPr="00FF5602" w:rsidRDefault="00FF5602" w:rsidP="00C37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8"/>
        </w:rPr>
      </w:pPr>
      <w:r w:rsidRPr="00FF5602">
        <w:rPr>
          <w:rFonts w:ascii="Courier New" w:hAnsi="Courier New" w:cs="Courier New"/>
          <w:sz w:val="18"/>
        </w:rPr>
        <w:t>#p-value</w:t>
      </w:r>
    </w:p>
    <w:p w:rsidR="00FF5602" w:rsidRPr="00FF5602" w:rsidRDefault="00FF5602" w:rsidP="00C37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8"/>
        </w:rPr>
      </w:pPr>
      <w:r w:rsidRPr="00FF5602">
        <w:rPr>
          <w:rFonts w:ascii="Courier New" w:hAnsi="Courier New" w:cs="Courier New"/>
          <w:sz w:val="18"/>
        </w:rPr>
        <w:t>1-</w:t>
      </w:r>
      <w:proofErr w:type="gramStart"/>
      <w:r w:rsidRPr="00FF5602">
        <w:rPr>
          <w:rFonts w:ascii="Courier New" w:hAnsi="Courier New" w:cs="Courier New"/>
          <w:sz w:val="18"/>
        </w:rPr>
        <w:t>pbinom(</w:t>
      </w:r>
      <w:proofErr w:type="spellStart"/>
      <w:proofErr w:type="gramEnd"/>
      <w:r w:rsidRPr="00FF5602">
        <w:rPr>
          <w:rFonts w:ascii="Courier New" w:hAnsi="Courier New" w:cs="Courier New"/>
          <w:sz w:val="18"/>
        </w:rPr>
        <w:t>observedepilinks</w:t>
      </w:r>
      <w:proofErr w:type="spellEnd"/>
      <w:r w:rsidRPr="00FF5602">
        <w:rPr>
          <w:rFonts w:ascii="Courier New" w:hAnsi="Courier New" w:cs="Courier New"/>
          <w:sz w:val="18"/>
        </w:rPr>
        <w:t xml:space="preserve">, </w:t>
      </w:r>
      <w:proofErr w:type="spellStart"/>
      <w:r w:rsidRPr="00FF5602">
        <w:rPr>
          <w:rFonts w:ascii="Courier New" w:hAnsi="Courier New" w:cs="Courier New"/>
          <w:sz w:val="18"/>
        </w:rPr>
        <w:t>nepilinks,null_p</w:t>
      </w:r>
      <w:proofErr w:type="spellEnd"/>
      <w:r w:rsidRPr="00FF5602">
        <w:rPr>
          <w:rFonts w:ascii="Courier New" w:hAnsi="Courier New" w:cs="Courier New"/>
          <w:sz w:val="18"/>
        </w:rPr>
        <w:t>)</w:t>
      </w:r>
    </w:p>
    <w:p w:rsidR="002531AE" w:rsidRDefault="002531AE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6E2430" w:rsidRPr="00220C10" w:rsidRDefault="006E2430" w:rsidP="00AD3CC4">
      <w:pPr>
        <w:pStyle w:val="Heading1"/>
      </w:pPr>
      <w:bookmarkStart w:id="9" w:name="_Toc3221406"/>
      <w:r>
        <w:lastRenderedPageBreak/>
        <w:t>Genome assemblies and SNP calling</w:t>
      </w:r>
      <w:bookmarkEnd w:id="9"/>
    </w:p>
    <w:p w:rsidR="00AD3CC4" w:rsidRDefault="006E2430" w:rsidP="00AD3CC4">
      <w:pPr>
        <w:ind w:firstLine="720"/>
        <w:rPr>
          <w:bCs/>
          <w:color w:val="000000"/>
        </w:rPr>
      </w:pPr>
      <w:r>
        <w:rPr>
          <w:color w:val="000000"/>
        </w:rPr>
        <w:t xml:space="preserve">Eleven high quality </w:t>
      </w:r>
      <w:r w:rsidRPr="00292D53">
        <w:rPr>
          <w:i/>
          <w:color w:val="000000"/>
        </w:rPr>
        <w:t>C. cayetanensis</w:t>
      </w:r>
      <w:r>
        <w:rPr>
          <w:color w:val="000000"/>
        </w:rPr>
        <w:t xml:space="preserve"> genomes were successfully sequenced and assembled (</w:t>
      </w:r>
      <w:r w:rsidRPr="00220C10">
        <w:rPr>
          <w:color w:val="000000"/>
        </w:rPr>
        <w:t>Table 1</w:t>
      </w:r>
      <w:r>
        <w:rPr>
          <w:color w:val="000000"/>
        </w:rPr>
        <w:t>)</w:t>
      </w:r>
      <w:r w:rsidRPr="00220C10">
        <w:rPr>
          <w:color w:val="000000"/>
        </w:rPr>
        <w:t xml:space="preserve">. </w:t>
      </w:r>
      <w:r>
        <w:rPr>
          <w:color w:val="000000"/>
        </w:rPr>
        <w:t>T</w:t>
      </w:r>
      <w:r w:rsidRPr="00220C10">
        <w:rPr>
          <w:color w:val="000000"/>
        </w:rPr>
        <w:t xml:space="preserve">he </w:t>
      </w:r>
      <w:r>
        <w:rPr>
          <w:color w:val="000000"/>
        </w:rPr>
        <w:t xml:space="preserve">NY </w:t>
      </w:r>
      <w:r w:rsidRPr="00220C10">
        <w:rPr>
          <w:color w:val="000000"/>
        </w:rPr>
        <w:t xml:space="preserve">2001 genome assembly </w:t>
      </w:r>
      <w:r>
        <w:rPr>
          <w:color w:val="000000"/>
        </w:rPr>
        <w:t>was</w:t>
      </w:r>
      <w:r w:rsidRPr="00220C10">
        <w:rPr>
          <w:color w:val="000000"/>
        </w:rPr>
        <w:t xml:space="preserve"> of </w:t>
      </w:r>
      <w:r>
        <w:rPr>
          <w:color w:val="000000"/>
        </w:rPr>
        <w:t xml:space="preserve">the highest </w:t>
      </w:r>
      <w:r w:rsidRPr="00220C10">
        <w:rPr>
          <w:color w:val="000000"/>
        </w:rPr>
        <w:t xml:space="preserve">quality and length. </w:t>
      </w:r>
      <w:r>
        <w:rPr>
          <w:color w:val="000000"/>
        </w:rPr>
        <w:t>The</w:t>
      </w:r>
      <w:r w:rsidRPr="00220C10">
        <w:rPr>
          <w:color w:val="000000"/>
        </w:rPr>
        <w:t xml:space="preserve"> </w:t>
      </w:r>
      <w:r>
        <w:rPr>
          <w:color w:val="000000"/>
        </w:rPr>
        <w:t xml:space="preserve">assembled </w:t>
      </w:r>
      <w:r w:rsidRPr="00220C10">
        <w:rPr>
          <w:color w:val="000000"/>
        </w:rPr>
        <w:t xml:space="preserve">nuclear genome </w:t>
      </w:r>
      <w:r>
        <w:rPr>
          <w:color w:val="000000"/>
        </w:rPr>
        <w:t xml:space="preserve">of </w:t>
      </w:r>
      <w:r w:rsidRPr="00292D53">
        <w:rPr>
          <w:i/>
          <w:color w:val="000000"/>
        </w:rPr>
        <w:t>C. cayetanensis</w:t>
      </w:r>
      <w:r>
        <w:rPr>
          <w:color w:val="000000"/>
        </w:rPr>
        <w:t xml:space="preserve"> </w:t>
      </w:r>
      <w:r w:rsidRPr="00220C10">
        <w:rPr>
          <w:color w:val="000000"/>
        </w:rPr>
        <w:t xml:space="preserve">consisted of 486 contigs (mean coverage 233.33), </w:t>
      </w:r>
      <w:r>
        <w:rPr>
          <w:color w:val="000000"/>
        </w:rPr>
        <w:t>comprising</w:t>
      </w:r>
      <w:r w:rsidRPr="00220C10">
        <w:rPr>
          <w:color w:val="000000"/>
        </w:rPr>
        <w:t xml:space="preserve"> 45,493,142</w:t>
      </w:r>
      <w:r>
        <w:rPr>
          <w:color w:val="000000"/>
        </w:rPr>
        <w:t xml:space="preserve"> </w:t>
      </w:r>
      <w:r w:rsidRPr="00220C10">
        <w:rPr>
          <w:color w:val="000000"/>
        </w:rPr>
        <w:t>bp, with a N</w:t>
      </w:r>
      <w:r w:rsidRPr="00220C10">
        <w:rPr>
          <w:color w:val="000000"/>
          <w:vertAlign w:val="subscript"/>
        </w:rPr>
        <w:t xml:space="preserve">50 </w:t>
      </w:r>
      <w:r w:rsidRPr="00220C10">
        <w:rPr>
          <w:color w:val="000000"/>
        </w:rPr>
        <w:t xml:space="preserve">of 343,466 bp. The largest contig was 1,703,124 </w:t>
      </w:r>
      <w:r>
        <w:rPr>
          <w:color w:val="000000"/>
        </w:rPr>
        <w:t>bp.</w:t>
      </w:r>
      <w:r w:rsidRPr="00220C10">
        <w:rPr>
          <w:color w:val="000000"/>
        </w:rPr>
        <w:t xml:space="preserve"> In comparison, </w:t>
      </w:r>
      <w:r>
        <w:rPr>
          <w:color w:val="000000"/>
        </w:rPr>
        <w:t xml:space="preserve">TXT1 </w:t>
      </w:r>
      <w:r w:rsidRPr="00220C10">
        <w:rPr>
          <w:color w:val="000000"/>
        </w:rPr>
        <w:t xml:space="preserve">2015 </w:t>
      </w:r>
      <w:r>
        <w:rPr>
          <w:color w:val="000000"/>
        </w:rPr>
        <w:t xml:space="preserve">was of the lowest quality, with a </w:t>
      </w:r>
      <w:r w:rsidRPr="00220C10">
        <w:rPr>
          <w:color w:val="000000"/>
        </w:rPr>
        <w:t>n</w:t>
      </w:r>
      <w:r>
        <w:rPr>
          <w:color w:val="000000"/>
        </w:rPr>
        <w:t>uclear genome assembly consisting of</w:t>
      </w:r>
      <w:r w:rsidRPr="00220C10">
        <w:rPr>
          <w:color w:val="000000"/>
        </w:rPr>
        <w:t xml:space="preserve"> 2,688</w:t>
      </w:r>
      <w:r>
        <w:rPr>
          <w:color w:val="000000"/>
        </w:rPr>
        <w:t xml:space="preserve"> </w:t>
      </w:r>
      <w:r w:rsidRPr="00220C10">
        <w:rPr>
          <w:color w:val="000000"/>
        </w:rPr>
        <w:t xml:space="preserve">contigs (mean coverage, </w:t>
      </w:r>
      <w:r>
        <w:rPr>
          <w:color w:val="000000"/>
        </w:rPr>
        <w:t>3.22</w:t>
      </w:r>
      <w:r w:rsidRPr="00220C10">
        <w:rPr>
          <w:color w:val="000000"/>
        </w:rPr>
        <w:t xml:space="preserve">), </w:t>
      </w:r>
      <w:r>
        <w:rPr>
          <w:color w:val="000000"/>
        </w:rPr>
        <w:t>comprising</w:t>
      </w:r>
      <w:r w:rsidRPr="00220C10">
        <w:rPr>
          <w:color w:val="000000"/>
        </w:rPr>
        <w:t xml:space="preserve"> 43,735,863 bp, with a N</w:t>
      </w:r>
      <w:r w:rsidRPr="00220C10">
        <w:rPr>
          <w:color w:val="000000"/>
          <w:vertAlign w:val="subscript"/>
        </w:rPr>
        <w:t xml:space="preserve">50 </w:t>
      </w:r>
      <w:r w:rsidRPr="00220C10">
        <w:rPr>
          <w:color w:val="000000"/>
        </w:rPr>
        <w:t>of 20,473 bp. The largest contig was 293,917 bp. The median length of all nuc</w:t>
      </w:r>
      <w:r>
        <w:rPr>
          <w:color w:val="000000"/>
        </w:rPr>
        <w:t>lear genomes was 44,520,949 bp.</w:t>
      </w:r>
      <w:r w:rsidRPr="00220C10">
        <w:rPr>
          <w:color w:val="000000"/>
        </w:rPr>
        <w:t xml:space="preserve"> The </w:t>
      </w:r>
      <w:r>
        <w:rPr>
          <w:color w:val="000000"/>
        </w:rPr>
        <w:t>complete</w:t>
      </w:r>
      <w:r w:rsidRPr="00220C10">
        <w:rPr>
          <w:color w:val="000000"/>
        </w:rPr>
        <w:t xml:space="preserve"> mitochondrial genome for all isola</w:t>
      </w:r>
      <w:r>
        <w:rPr>
          <w:color w:val="000000"/>
        </w:rPr>
        <w:t xml:space="preserve">tes was assembled to </w:t>
      </w:r>
      <w:r w:rsidRPr="00220C10">
        <w:rPr>
          <w:color w:val="000000"/>
        </w:rPr>
        <w:t xml:space="preserve">a size of 6400 bp </w:t>
      </w:r>
      <w:r>
        <w:rPr>
          <w:color w:val="000000"/>
        </w:rPr>
        <w:t>with a</w:t>
      </w:r>
      <w:r w:rsidRPr="00220C10">
        <w:rPr>
          <w:color w:val="000000"/>
        </w:rPr>
        <w:t xml:space="preserve"> mean coverage of 208.24</w:t>
      </w:r>
      <w:r>
        <w:rPr>
          <w:color w:val="000000"/>
        </w:rPr>
        <w:t>.</w:t>
      </w:r>
      <w:r w:rsidRPr="00CB5F37">
        <w:rPr>
          <w:bCs/>
          <w:color w:val="000000"/>
        </w:rPr>
        <w:t xml:space="preserve"> </w:t>
      </w:r>
      <w:r>
        <w:rPr>
          <w:bCs/>
          <w:color w:val="000000"/>
        </w:rPr>
        <w:t>A</w:t>
      </w:r>
      <w:r w:rsidRPr="00220C10">
        <w:rPr>
          <w:bCs/>
          <w:color w:val="000000"/>
        </w:rPr>
        <w:t xml:space="preserve"> total of 27,109 </w:t>
      </w:r>
      <w:r>
        <w:rPr>
          <w:bCs/>
          <w:color w:val="000000"/>
        </w:rPr>
        <w:t xml:space="preserve">and 14 </w:t>
      </w:r>
      <w:r w:rsidRPr="00220C10">
        <w:rPr>
          <w:bCs/>
          <w:color w:val="000000"/>
        </w:rPr>
        <w:t xml:space="preserve">informative </w:t>
      </w:r>
      <w:r>
        <w:rPr>
          <w:bCs/>
          <w:color w:val="000000"/>
        </w:rPr>
        <w:t xml:space="preserve">SNPs were identified using </w:t>
      </w:r>
      <w:proofErr w:type="spellStart"/>
      <w:r>
        <w:rPr>
          <w:bCs/>
          <w:color w:val="000000"/>
        </w:rPr>
        <w:t>kSNP</w:t>
      </w:r>
      <w:proofErr w:type="spellEnd"/>
      <w:r>
        <w:rPr>
          <w:bCs/>
          <w:color w:val="000000"/>
        </w:rPr>
        <w:t xml:space="preserve"> within the Nu and Mt genomes of </w:t>
      </w:r>
      <w:r w:rsidRPr="005C4ADB">
        <w:rPr>
          <w:bCs/>
          <w:i/>
          <w:color w:val="000000"/>
        </w:rPr>
        <w:t>C. cayetanensis</w:t>
      </w:r>
      <w:r>
        <w:rPr>
          <w:bCs/>
          <w:color w:val="000000"/>
        </w:rPr>
        <w:t xml:space="preserve">, respectively. Following WGS, four of the 11 sequenced specimens had insufficient DNA remaining for downstream PCR, leaving 88 DNA extracts available for </w:t>
      </w:r>
      <w:r w:rsidR="00572646">
        <w:rPr>
          <w:bCs/>
          <w:color w:val="000000"/>
        </w:rPr>
        <w:t>genotyping</w:t>
      </w:r>
      <w:r w:rsidR="00AD3CC4">
        <w:rPr>
          <w:bCs/>
          <w:color w:val="000000"/>
        </w:rPr>
        <w:t>.</w:t>
      </w:r>
    </w:p>
    <w:p w:rsidR="00AD3CC4" w:rsidRDefault="00AD3CC4" w:rsidP="00AD3CC4">
      <w:pPr>
        <w:sectPr w:rsidR="00AD3CC4" w:rsidSect="00376A5F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CC1086" w:rsidRPr="00AD3CC4" w:rsidRDefault="00AD3CC4" w:rsidP="00AD3CC4">
      <w:pPr>
        <w:pStyle w:val="Heading2"/>
      </w:pPr>
      <w:bookmarkStart w:id="10" w:name="_Toc3221407"/>
      <w:r>
        <w:lastRenderedPageBreak/>
        <w:t>T</w:t>
      </w:r>
      <w:r w:rsidR="00CC1086" w:rsidRPr="00AD3CC4">
        <w:t xml:space="preserve">able </w:t>
      </w:r>
      <w:r w:rsidR="00FF5602" w:rsidRPr="00AD3CC4">
        <w:t>S</w:t>
      </w:r>
      <w:r w:rsidR="00CC1086" w:rsidRPr="00AD3CC4">
        <w:t xml:space="preserve">1. Identities and QUAST statistics for each of the 11 </w:t>
      </w:r>
      <w:r w:rsidR="00CC1086" w:rsidRPr="00AD3CC4">
        <w:rPr>
          <w:i/>
        </w:rPr>
        <w:t>Cyclospora cayetanensis</w:t>
      </w:r>
      <w:r w:rsidR="00CC1086" w:rsidRPr="00AD3CC4">
        <w:t xml:space="preserve"> genomes</w:t>
      </w:r>
      <w:bookmarkEnd w:id="10"/>
    </w:p>
    <w:tbl>
      <w:tblPr>
        <w:tblStyle w:val="TableGrid"/>
        <w:tblW w:w="13569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6"/>
        <w:gridCol w:w="1701"/>
        <w:gridCol w:w="1644"/>
        <w:gridCol w:w="1576"/>
        <w:gridCol w:w="1237"/>
        <w:gridCol w:w="992"/>
        <w:gridCol w:w="1276"/>
        <w:gridCol w:w="1276"/>
        <w:gridCol w:w="850"/>
        <w:gridCol w:w="992"/>
        <w:gridCol w:w="709"/>
      </w:tblGrid>
      <w:tr w:rsidR="00CC1086" w:rsidRPr="002A6942" w:rsidTr="00147CA3">
        <w:trPr>
          <w:trHeight w:val="170"/>
        </w:trPr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:rsidR="00CC1086" w:rsidRPr="002A6942" w:rsidRDefault="00CC1086" w:rsidP="00981A1D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Genome </w:t>
            </w:r>
            <w:r w:rsidRPr="002A6942">
              <w:rPr>
                <w:b/>
                <w:sz w:val="22"/>
                <w:szCs w:val="22"/>
              </w:rPr>
              <w:t>Alias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C1086" w:rsidRPr="002A6942" w:rsidRDefault="00CC1086" w:rsidP="00981A1D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Specimen</w:t>
            </w:r>
            <w:r w:rsidRPr="002A6942">
              <w:rPr>
                <w:b/>
                <w:sz w:val="22"/>
                <w:szCs w:val="22"/>
              </w:rPr>
              <w:t xml:space="preserve"> Origin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</w:tcPr>
          <w:p w:rsidR="00CC1086" w:rsidRPr="002A6942" w:rsidRDefault="00CC1086" w:rsidP="00981A1D">
            <w:pPr>
              <w:spacing w:line="360" w:lineRule="auto"/>
              <w:rPr>
                <w:b/>
                <w:sz w:val="22"/>
                <w:szCs w:val="22"/>
              </w:rPr>
            </w:pPr>
            <w:r w:rsidRPr="002A6942">
              <w:rPr>
                <w:b/>
                <w:sz w:val="22"/>
                <w:szCs w:val="22"/>
              </w:rPr>
              <w:t>Gen</w:t>
            </w:r>
            <w:r>
              <w:rPr>
                <w:b/>
                <w:sz w:val="22"/>
                <w:szCs w:val="22"/>
              </w:rPr>
              <w:t>B</w:t>
            </w:r>
            <w:r w:rsidRPr="002A6942">
              <w:rPr>
                <w:b/>
                <w:sz w:val="22"/>
                <w:szCs w:val="22"/>
              </w:rPr>
              <w:t xml:space="preserve">ank </w:t>
            </w:r>
            <w:proofErr w:type="spellStart"/>
            <w:r w:rsidRPr="002A6942">
              <w:rPr>
                <w:b/>
                <w:sz w:val="22"/>
                <w:szCs w:val="22"/>
              </w:rPr>
              <w:t>Bio</w:t>
            </w:r>
            <w:r>
              <w:rPr>
                <w:b/>
                <w:sz w:val="22"/>
                <w:szCs w:val="22"/>
              </w:rPr>
              <w:t>Specimen</w:t>
            </w:r>
            <w:proofErr w:type="spellEnd"/>
          </w:p>
        </w:tc>
        <w:tc>
          <w:tcPr>
            <w:tcW w:w="1576" w:type="dxa"/>
            <w:tcBorders>
              <w:top w:val="single" w:sz="4" w:space="0" w:color="auto"/>
              <w:bottom w:val="single" w:sz="4" w:space="0" w:color="auto"/>
            </w:tcBorders>
          </w:tcPr>
          <w:p w:rsidR="00CC1086" w:rsidRPr="002A6942" w:rsidRDefault="00CC1086" w:rsidP="00981A1D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Specimen</w:t>
            </w:r>
            <w:r w:rsidRPr="002A6942">
              <w:rPr>
                <w:b/>
                <w:sz w:val="22"/>
                <w:szCs w:val="22"/>
              </w:rPr>
              <w:t xml:space="preserve"> ID</w:t>
            </w:r>
            <w:r>
              <w:rPr>
                <w:b/>
                <w:sz w:val="22"/>
                <w:szCs w:val="22"/>
              </w:rPr>
              <w:t>/Strain</w:t>
            </w: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</w:tcPr>
          <w:p w:rsidR="00CC1086" w:rsidRPr="002A6942" w:rsidRDefault="00CC1086" w:rsidP="00981A1D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 Reads</w:t>
            </w:r>
            <w:r>
              <w:rPr>
                <w:b/>
                <w:sz w:val="22"/>
                <w:szCs w:val="22"/>
                <w:vertAlign w:val="superscript"/>
              </w:rPr>
              <w:t>α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CC1086" w:rsidRPr="002A6942" w:rsidRDefault="00CC1086" w:rsidP="00981A1D">
            <w:pPr>
              <w:spacing w:line="360" w:lineRule="auto"/>
              <w:rPr>
                <w:b/>
                <w:sz w:val="22"/>
                <w:szCs w:val="22"/>
              </w:rPr>
            </w:pPr>
            <w:r w:rsidRPr="002A6942">
              <w:rPr>
                <w:b/>
                <w:sz w:val="22"/>
                <w:szCs w:val="22"/>
              </w:rPr>
              <w:t>#contigs (≥1 kb)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C1086" w:rsidRPr="002A6942" w:rsidRDefault="00CC1086" w:rsidP="00981A1D">
            <w:pPr>
              <w:spacing w:line="360" w:lineRule="auto"/>
              <w:rPr>
                <w:b/>
                <w:sz w:val="22"/>
                <w:szCs w:val="22"/>
              </w:rPr>
            </w:pPr>
            <w:r w:rsidRPr="002A6942">
              <w:rPr>
                <w:b/>
                <w:sz w:val="22"/>
                <w:szCs w:val="22"/>
              </w:rPr>
              <w:t>Total length (bp)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C1086" w:rsidRPr="002A6942" w:rsidRDefault="00CC1086" w:rsidP="00981A1D">
            <w:pPr>
              <w:spacing w:line="360" w:lineRule="auto"/>
              <w:rPr>
                <w:b/>
                <w:sz w:val="22"/>
                <w:szCs w:val="22"/>
              </w:rPr>
            </w:pPr>
            <w:r w:rsidRPr="002A6942">
              <w:rPr>
                <w:b/>
                <w:sz w:val="22"/>
                <w:szCs w:val="22"/>
              </w:rPr>
              <w:t>Largest contig (bp)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C1086" w:rsidRPr="002A6942" w:rsidRDefault="00CC1086" w:rsidP="00981A1D">
            <w:pPr>
              <w:spacing w:line="360" w:lineRule="auto"/>
              <w:rPr>
                <w:b/>
                <w:sz w:val="22"/>
                <w:szCs w:val="22"/>
              </w:rPr>
            </w:pPr>
            <w:r w:rsidRPr="002A6942">
              <w:rPr>
                <w:b/>
                <w:sz w:val="22"/>
                <w:szCs w:val="22"/>
              </w:rPr>
              <w:t>GC (%)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CC1086" w:rsidRPr="002A6942" w:rsidRDefault="00CC1086" w:rsidP="00981A1D">
            <w:pPr>
              <w:spacing w:line="360" w:lineRule="auto"/>
              <w:rPr>
                <w:b/>
                <w:sz w:val="22"/>
                <w:szCs w:val="22"/>
              </w:rPr>
            </w:pPr>
            <w:r w:rsidRPr="002A6942">
              <w:rPr>
                <w:b/>
                <w:sz w:val="22"/>
                <w:szCs w:val="22"/>
              </w:rPr>
              <w:t>N</w:t>
            </w:r>
            <w:r w:rsidRPr="00CD0ED9">
              <w:rPr>
                <w:b/>
                <w:sz w:val="22"/>
                <w:szCs w:val="22"/>
                <w:vertAlign w:val="subscript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CC1086" w:rsidRPr="002A6942" w:rsidRDefault="00CC1086" w:rsidP="00981A1D">
            <w:pPr>
              <w:spacing w:line="360" w:lineRule="auto"/>
              <w:rPr>
                <w:b/>
                <w:sz w:val="22"/>
                <w:szCs w:val="22"/>
              </w:rPr>
            </w:pPr>
            <w:r w:rsidRPr="002A6942">
              <w:rPr>
                <w:b/>
                <w:sz w:val="22"/>
                <w:szCs w:val="22"/>
              </w:rPr>
              <w:t>L</w:t>
            </w:r>
            <w:r w:rsidRPr="00CD0ED9">
              <w:rPr>
                <w:b/>
                <w:sz w:val="22"/>
                <w:szCs w:val="22"/>
                <w:vertAlign w:val="subscript"/>
              </w:rPr>
              <w:t>50</w:t>
            </w:r>
          </w:p>
        </w:tc>
      </w:tr>
      <w:tr w:rsidR="00CC1086" w:rsidRPr="002A6942" w:rsidTr="00147CA3">
        <w:trPr>
          <w:trHeight w:val="170"/>
        </w:trPr>
        <w:tc>
          <w:tcPr>
            <w:tcW w:w="1316" w:type="dxa"/>
            <w:tcBorders>
              <w:top w:val="single" w:sz="4" w:space="0" w:color="auto"/>
            </w:tcBorders>
          </w:tcPr>
          <w:p w:rsidR="00CC1086" w:rsidRPr="002A6942" w:rsidRDefault="00CC1086" w:rsidP="00981A1D">
            <w:pPr>
              <w:spacing w:before="120"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NY</w:t>
            </w:r>
            <w:r>
              <w:rPr>
                <w:sz w:val="22"/>
                <w:szCs w:val="22"/>
              </w:rPr>
              <w:t xml:space="preserve"> </w:t>
            </w:r>
            <w:r w:rsidRPr="002A6942">
              <w:rPr>
                <w:sz w:val="22"/>
                <w:szCs w:val="22"/>
              </w:rPr>
              <w:t>2001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C1086" w:rsidRPr="002A6942" w:rsidRDefault="00CC1086" w:rsidP="00981A1D">
            <w:pPr>
              <w:spacing w:before="120"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New York, USA</w:t>
            </w:r>
          </w:p>
        </w:tc>
        <w:tc>
          <w:tcPr>
            <w:tcW w:w="1644" w:type="dxa"/>
            <w:tcBorders>
              <w:top w:val="single" w:sz="4" w:space="0" w:color="auto"/>
            </w:tcBorders>
          </w:tcPr>
          <w:p w:rsidR="00CC1086" w:rsidRPr="002A6942" w:rsidRDefault="00CC1086" w:rsidP="00981A1D">
            <w:pPr>
              <w:spacing w:before="120"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SAMN7377742</w:t>
            </w:r>
          </w:p>
        </w:tc>
        <w:tc>
          <w:tcPr>
            <w:tcW w:w="1576" w:type="dxa"/>
            <w:tcBorders>
              <w:top w:val="single" w:sz="4" w:space="0" w:color="auto"/>
            </w:tcBorders>
          </w:tcPr>
          <w:p w:rsidR="00CC1086" w:rsidRPr="002A6942" w:rsidRDefault="00147CA3" w:rsidP="00981A1D">
            <w:pPr>
              <w:spacing w:before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HC</w:t>
            </w:r>
            <w:r w:rsidR="00CC1086">
              <w:rPr>
                <w:sz w:val="22"/>
                <w:szCs w:val="22"/>
              </w:rPr>
              <w:t>NY16:01</w:t>
            </w:r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CC1086" w:rsidRPr="002A6942" w:rsidRDefault="00CC1086" w:rsidP="00981A1D">
            <w:pPr>
              <w:spacing w:before="120" w:line="360" w:lineRule="auto"/>
              <w:rPr>
                <w:sz w:val="22"/>
                <w:szCs w:val="22"/>
              </w:rPr>
            </w:pPr>
            <w:r w:rsidRPr="002A6942">
              <w:rPr>
                <w:color w:val="000000"/>
                <w:sz w:val="22"/>
                <w:szCs w:val="22"/>
              </w:rPr>
              <w:t>92,455,630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CC1086" w:rsidRPr="002A6942" w:rsidRDefault="00CC1086" w:rsidP="00981A1D">
            <w:pPr>
              <w:spacing w:before="120"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486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C1086" w:rsidRPr="002A6942" w:rsidRDefault="00CC1086" w:rsidP="00981A1D">
            <w:pPr>
              <w:spacing w:before="120"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44,808,213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C1086" w:rsidRPr="002A6942" w:rsidRDefault="00CC1086" w:rsidP="00981A1D">
            <w:pPr>
              <w:spacing w:before="120"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1,703,114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C1086" w:rsidRPr="002A6942" w:rsidRDefault="00CC1086" w:rsidP="00981A1D">
            <w:pPr>
              <w:spacing w:before="120"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51.87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CC1086" w:rsidRPr="002A6942" w:rsidRDefault="00CC1086" w:rsidP="00981A1D">
            <w:pPr>
              <w:spacing w:before="120"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344,083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C1086" w:rsidRPr="002A6942" w:rsidRDefault="00CC1086" w:rsidP="00981A1D">
            <w:pPr>
              <w:spacing w:before="120"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39</w:t>
            </w:r>
          </w:p>
        </w:tc>
      </w:tr>
      <w:tr w:rsidR="00CC1086" w:rsidRPr="002A6942" w:rsidTr="00147CA3">
        <w:trPr>
          <w:trHeight w:val="170"/>
        </w:trPr>
        <w:tc>
          <w:tcPr>
            <w:tcW w:w="131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TX</w:t>
            </w:r>
            <w:r>
              <w:rPr>
                <w:sz w:val="22"/>
                <w:szCs w:val="22"/>
              </w:rPr>
              <w:t xml:space="preserve"> </w:t>
            </w:r>
            <w:r w:rsidRPr="002A6942">
              <w:rPr>
                <w:sz w:val="22"/>
                <w:szCs w:val="22"/>
              </w:rPr>
              <w:t>2014</w:t>
            </w:r>
          </w:p>
        </w:tc>
        <w:tc>
          <w:tcPr>
            <w:tcW w:w="1701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Texas, USA</w:t>
            </w:r>
          </w:p>
        </w:tc>
        <w:tc>
          <w:tcPr>
            <w:tcW w:w="1644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SAMN7377743</w:t>
            </w:r>
          </w:p>
        </w:tc>
        <w:tc>
          <w:tcPr>
            <w:tcW w:w="1576" w:type="dxa"/>
          </w:tcPr>
          <w:p w:rsidR="00CC1086" w:rsidRPr="002A6942" w:rsidRDefault="00147CA3" w:rsidP="00981A1D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HC</w:t>
            </w:r>
            <w:r w:rsidR="00CC1086" w:rsidRPr="00326626">
              <w:rPr>
                <w:sz w:val="22"/>
                <w:szCs w:val="22"/>
              </w:rPr>
              <w:t>TX4</w:t>
            </w:r>
            <w:r w:rsidR="00CC1086" w:rsidRPr="00984553">
              <w:rPr>
                <w:sz w:val="22"/>
                <w:szCs w:val="22"/>
              </w:rPr>
              <w:t>8</w:t>
            </w:r>
            <w:r w:rsidR="00CC1086">
              <w:rPr>
                <w:sz w:val="22"/>
                <w:szCs w:val="22"/>
              </w:rPr>
              <w:t>:14</w:t>
            </w:r>
            <w:r w:rsidR="00CC1086" w:rsidRPr="00984553">
              <w:rPr>
                <w:sz w:val="22"/>
                <w:szCs w:val="22"/>
                <w:vertAlign w:val="superscript"/>
              </w:rPr>
              <w:t>β</w:t>
            </w:r>
          </w:p>
        </w:tc>
        <w:tc>
          <w:tcPr>
            <w:tcW w:w="1237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color w:val="000000"/>
                <w:sz w:val="22"/>
                <w:szCs w:val="22"/>
              </w:rPr>
              <w:t>4,277,817</w:t>
            </w:r>
          </w:p>
        </w:tc>
        <w:tc>
          <w:tcPr>
            <w:tcW w:w="992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567</w:t>
            </w:r>
          </w:p>
        </w:tc>
        <w:tc>
          <w:tcPr>
            <w:tcW w:w="127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44,449,911</w:t>
            </w:r>
          </w:p>
        </w:tc>
        <w:tc>
          <w:tcPr>
            <w:tcW w:w="127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1,191,273</w:t>
            </w:r>
          </w:p>
        </w:tc>
        <w:tc>
          <w:tcPr>
            <w:tcW w:w="850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51.90</w:t>
            </w:r>
          </w:p>
        </w:tc>
        <w:tc>
          <w:tcPr>
            <w:tcW w:w="992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278,301</w:t>
            </w:r>
          </w:p>
        </w:tc>
        <w:tc>
          <w:tcPr>
            <w:tcW w:w="709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48</w:t>
            </w:r>
          </w:p>
        </w:tc>
      </w:tr>
      <w:tr w:rsidR="00CC1086" w:rsidRPr="002A6942" w:rsidTr="00147CA3">
        <w:trPr>
          <w:trHeight w:val="170"/>
        </w:trPr>
        <w:tc>
          <w:tcPr>
            <w:tcW w:w="131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FL</w:t>
            </w:r>
            <w:r>
              <w:rPr>
                <w:sz w:val="22"/>
                <w:szCs w:val="22"/>
              </w:rPr>
              <w:t xml:space="preserve"> </w:t>
            </w:r>
            <w:r w:rsidRPr="002A6942">
              <w:rPr>
                <w:sz w:val="22"/>
                <w:szCs w:val="22"/>
              </w:rPr>
              <w:t>2013</w:t>
            </w:r>
          </w:p>
        </w:tc>
        <w:tc>
          <w:tcPr>
            <w:tcW w:w="1701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Florida, USA</w:t>
            </w:r>
          </w:p>
        </w:tc>
        <w:tc>
          <w:tcPr>
            <w:tcW w:w="1644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SAMN7377744</w:t>
            </w:r>
          </w:p>
        </w:tc>
        <w:tc>
          <w:tcPr>
            <w:tcW w:w="1576" w:type="dxa"/>
          </w:tcPr>
          <w:p w:rsidR="00CC1086" w:rsidRPr="002A6942" w:rsidRDefault="00147CA3" w:rsidP="00981A1D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HC</w:t>
            </w:r>
            <w:r w:rsidR="00CC1086">
              <w:rPr>
                <w:sz w:val="22"/>
                <w:szCs w:val="22"/>
              </w:rPr>
              <w:t>FL47:13</w:t>
            </w:r>
          </w:p>
        </w:tc>
        <w:tc>
          <w:tcPr>
            <w:tcW w:w="1237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color w:val="000000"/>
                <w:sz w:val="22"/>
                <w:szCs w:val="22"/>
              </w:rPr>
              <w:t>5,567,424</w:t>
            </w:r>
          </w:p>
        </w:tc>
        <w:tc>
          <w:tcPr>
            <w:tcW w:w="992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719</w:t>
            </w:r>
          </w:p>
        </w:tc>
        <w:tc>
          <w:tcPr>
            <w:tcW w:w="127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45,345,321</w:t>
            </w:r>
          </w:p>
        </w:tc>
        <w:tc>
          <w:tcPr>
            <w:tcW w:w="127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1,162,148</w:t>
            </w:r>
          </w:p>
        </w:tc>
        <w:tc>
          <w:tcPr>
            <w:tcW w:w="850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51.87</w:t>
            </w:r>
          </w:p>
        </w:tc>
        <w:tc>
          <w:tcPr>
            <w:tcW w:w="992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244,493</w:t>
            </w:r>
          </w:p>
        </w:tc>
        <w:tc>
          <w:tcPr>
            <w:tcW w:w="709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56</w:t>
            </w:r>
          </w:p>
        </w:tc>
      </w:tr>
      <w:tr w:rsidR="00CC1086" w:rsidRPr="002A6942" w:rsidTr="00147CA3">
        <w:trPr>
          <w:trHeight w:val="170"/>
        </w:trPr>
        <w:tc>
          <w:tcPr>
            <w:tcW w:w="131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VA</w:t>
            </w:r>
            <w:r>
              <w:rPr>
                <w:sz w:val="22"/>
                <w:szCs w:val="22"/>
              </w:rPr>
              <w:t xml:space="preserve"> </w:t>
            </w:r>
            <w:r w:rsidRPr="002A6942">
              <w:rPr>
                <w:sz w:val="22"/>
                <w:szCs w:val="22"/>
              </w:rPr>
              <w:t>2015</w:t>
            </w:r>
          </w:p>
        </w:tc>
        <w:tc>
          <w:tcPr>
            <w:tcW w:w="1701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Virginia, USA</w:t>
            </w:r>
          </w:p>
        </w:tc>
        <w:tc>
          <w:tcPr>
            <w:tcW w:w="1644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SAMN7377745</w:t>
            </w:r>
          </w:p>
        </w:tc>
        <w:tc>
          <w:tcPr>
            <w:tcW w:w="1576" w:type="dxa"/>
          </w:tcPr>
          <w:p w:rsidR="00CC1086" w:rsidRPr="002A6942" w:rsidRDefault="00147CA3" w:rsidP="00981A1D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HC</w:t>
            </w:r>
            <w:r w:rsidR="00CC1086" w:rsidRPr="00326626">
              <w:rPr>
                <w:sz w:val="22"/>
                <w:szCs w:val="22"/>
              </w:rPr>
              <w:t>VA</w:t>
            </w:r>
            <w:r w:rsidR="00CC1086">
              <w:rPr>
                <w:sz w:val="22"/>
                <w:szCs w:val="22"/>
              </w:rPr>
              <w:t>02:</w:t>
            </w:r>
            <w:r w:rsidR="00CC1086" w:rsidRPr="00326626">
              <w:rPr>
                <w:sz w:val="22"/>
                <w:szCs w:val="22"/>
              </w:rPr>
              <w:t>15</w:t>
            </w:r>
            <w:r w:rsidR="00CC1086" w:rsidRPr="00984553">
              <w:rPr>
                <w:sz w:val="22"/>
                <w:szCs w:val="22"/>
                <w:vertAlign w:val="superscript"/>
              </w:rPr>
              <w:t>β</w:t>
            </w:r>
          </w:p>
        </w:tc>
        <w:tc>
          <w:tcPr>
            <w:tcW w:w="1237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color w:val="000000"/>
                <w:sz w:val="22"/>
                <w:szCs w:val="22"/>
              </w:rPr>
              <w:t>2,319,171</w:t>
            </w:r>
          </w:p>
        </w:tc>
        <w:tc>
          <w:tcPr>
            <w:tcW w:w="992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2,725</w:t>
            </w:r>
          </w:p>
        </w:tc>
        <w:tc>
          <w:tcPr>
            <w:tcW w:w="127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32,009,723</w:t>
            </w:r>
          </w:p>
        </w:tc>
        <w:tc>
          <w:tcPr>
            <w:tcW w:w="127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400,228</w:t>
            </w:r>
          </w:p>
        </w:tc>
        <w:tc>
          <w:tcPr>
            <w:tcW w:w="850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53.27</w:t>
            </w:r>
          </w:p>
        </w:tc>
        <w:tc>
          <w:tcPr>
            <w:tcW w:w="992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11,399</w:t>
            </w:r>
          </w:p>
        </w:tc>
        <w:tc>
          <w:tcPr>
            <w:tcW w:w="709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545</w:t>
            </w:r>
          </w:p>
        </w:tc>
      </w:tr>
      <w:tr w:rsidR="00CC1086" w:rsidRPr="002A6942" w:rsidTr="00147CA3">
        <w:trPr>
          <w:trHeight w:val="170"/>
        </w:trPr>
        <w:tc>
          <w:tcPr>
            <w:tcW w:w="131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TXC1 201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701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Texas, USA</w:t>
            </w:r>
          </w:p>
        </w:tc>
        <w:tc>
          <w:tcPr>
            <w:tcW w:w="1644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SAMN7377746</w:t>
            </w:r>
          </w:p>
        </w:tc>
        <w:tc>
          <w:tcPr>
            <w:tcW w:w="1576" w:type="dxa"/>
          </w:tcPr>
          <w:p w:rsidR="00CC1086" w:rsidRPr="00984553" w:rsidRDefault="00147CA3" w:rsidP="00981A1D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HC</w:t>
            </w:r>
            <w:r w:rsidR="00CC1086" w:rsidRPr="00984553">
              <w:rPr>
                <w:sz w:val="22"/>
                <w:szCs w:val="22"/>
              </w:rPr>
              <w:t>TX</w:t>
            </w:r>
            <w:r w:rsidR="00CC1086">
              <w:rPr>
                <w:sz w:val="22"/>
                <w:szCs w:val="22"/>
              </w:rPr>
              <w:t>2</w:t>
            </w:r>
            <w:r w:rsidR="00CC1086" w:rsidRPr="00984553">
              <w:rPr>
                <w:sz w:val="22"/>
                <w:szCs w:val="22"/>
              </w:rPr>
              <w:t>04</w:t>
            </w:r>
            <w:r w:rsidR="00CC1086">
              <w:rPr>
                <w:sz w:val="22"/>
                <w:szCs w:val="22"/>
              </w:rPr>
              <w:t>:15</w:t>
            </w:r>
            <w:r w:rsidR="00CC1086" w:rsidRPr="00984553">
              <w:rPr>
                <w:sz w:val="22"/>
                <w:szCs w:val="22"/>
                <w:vertAlign w:val="superscript"/>
              </w:rPr>
              <w:t>β</w:t>
            </w:r>
          </w:p>
        </w:tc>
        <w:tc>
          <w:tcPr>
            <w:tcW w:w="1237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color w:val="000000"/>
                <w:sz w:val="22"/>
                <w:szCs w:val="22"/>
              </w:rPr>
              <w:t>5,705,130</w:t>
            </w:r>
          </w:p>
        </w:tc>
        <w:tc>
          <w:tcPr>
            <w:tcW w:w="992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1,732</w:t>
            </w:r>
          </w:p>
        </w:tc>
        <w:tc>
          <w:tcPr>
            <w:tcW w:w="127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43,987,511</w:t>
            </w:r>
          </w:p>
        </w:tc>
        <w:tc>
          <w:tcPr>
            <w:tcW w:w="127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307,457</w:t>
            </w:r>
          </w:p>
        </w:tc>
        <w:tc>
          <w:tcPr>
            <w:tcW w:w="850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51.93</w:t>
            </w:r>
          </w:p>
        </w:tc>
        <w:tc>
          <w:tcPr>
            <w:tcW w:w="992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63,489</w:t>
            </w:r>
          </w:p>
        </w:tc>
        <w:tc>
          <w:tcPr>
            <w:tcW w:w="709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211</w:t>
            </w:r>
          </w:p>
        </w:tc>
      </w:tr>
      <w:tr w:rsidR="00CC1086" w:rsidRPr="002A6942" w:rsidTr="00147CA3">
        <w:trPr>
          <w:trHeight w:val="170"/>
        </w:trPr>
        <w:tc>
          <w:tcPr>
            <w:tcW w:w="131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TXC2 201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701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Texas, USA</w:t>
            </w:r>
          </w:p>
        </w:tc>
        <w:tc>
          <w:tcPr>
            <w:tcW w:w="1644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SAMN7377747</w:t>
            </w:r>
          </w:p>
        </w:tc>
        <w:tc>
          <w:tcPr>
            <w:tcW w:w="1576" w:type="dxa"/>
          </w:tcPr>
          <w:p w:rsidR="00CC1086" w:rsidRPr="002A6942" w:rsidRDefault="00147CA3" w:rsidP="00981A1D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HC</w:t>
            </w:r>
            <w:r w:rsidR="00CC1086">
              <w:rPr>
                <w:sz w:val="22"/>
                <w:szCs w:val="22"/>
              </w:rPr>
              <w:t>TX205:15</w:t>
            </w:r>
          </w:p>
        </w:tc>
        <w:tc>
          <w:tcPr>
            <w:tcW w:w="1237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color w:val="000000"/>
                <w:sz w:val="22"/>
                <w:szCs w:val="22"/>
              </w:rPr>
              <w:t>3,952,855</w:t>
            </w:r>
          </w:p>
        </w:tc>
        <w:tc>
          <w:tcPr>
            <w:tcW w:w="992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965</w:t>
            </w:r>
          </w:p>
        </w:tc>
        <w:tc>
          <w:tcPr>
            <w:tcW w:w="127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47,105,559</w:t>
            </w:r>
          </w:p>
        </w:tc>
        <w:tc>
          <w:tcPr>
            <w:tcW w:w="127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746,765</w:t>
            </w:r>
          </w:p>
        </w:tc>
        <w:tc>
          <w:tcPr>
            <w:tcW w:w="850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51.68</w:t>
            </w:r>
          </w:p>
        </w:tc>
        <w:tc>
          <w:tcPr>
            <w:tcW w:w="992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108,591</w:t>
            </w:r>
          </w:p>
        </w:tc>
        <w:tc>
          <w:tcPr>
            <w:tcW w:w="709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134</w:t>
            </w:r>
          </w:p>
        </w:tc>
      </w:tr>
      <w:tr w:rsidR="00CC1086" w:rsidRPr="002A6942" w:rsidTr="00147CA3">
        <w:trPr>
          <w:trHeight w:val="170"/>
        </w:trPr>
        <w:tc>
          <w:tcPr>
            <w:tcW w:w="131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TXT1 2015</w:t>
            </w:r>
          </w:p>
        </w:tc>
        <w:tc>
          <w:tcPr>
            <w:tcW w:w="1701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Texas, USA</w:t>
            </w:r>
          </w:p>
        </w:tc>
        <w:tc>
          <w:tcPr>
            <w:tcW w:w="1644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 xml:space="preserve">SAMN7377749 </w:t>
            </w:r>
          </w:p>
        </w:tc>
        <w:tc>
          <w:tcPr>
            <w:tcW w:w="1576" w:type="dxa"/>
          </w:tcPr>
          <w:p w:rsidR="00CC1086" w:rsidRPr="002A6942" w:rsidRDefault="00147CA3" w:rsidP="00981A1D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HC</w:t>
            </w:r>
            <w:r w:rsidR="00CC1086">
              <w:rPr>
                <w:sz w:val="22"/>
                <w:szCs w:val="22"/>
              </w:rPr>
              <w:t>TX208:15</w:t>
            </w:r>
          </w:p>
        </w:tc>
        <w:tc>
          <w:tcPr>
            <w:tcW w:w="1237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color w:val="000000"/>
                <w:sz w:val="22"/>
                <w:szCs w:val="22"/>
              </w:rPr>
              <w:t>4,280,160</w:t>
            </w:r>
          </w:p>
        </w:tc>
        <w:tc>
          <w:tcPr>
            <w:tcW w:w="992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2,688</w:t>
            </w:r>
          </w:p>
        </w:tc>
        <w:tc>
          <w:tcPr>
            <w:tcW w:w="127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43,735,863</w:t>
            </w:r>
          </w:p>
        </w:tc>
        <w:tc>
          <w:tcPr>
            <w:tcW w:w="127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293,917</w:t>
            </w:r>
          </w:p>
        </w:tc>
        <w:tc>
          <w:tcPr>
            <w:tcW w:w="850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51.31</w:t>
            </w:r>
          </w:p>
        </w:tc>
        <w:tc>
          <w:tcPr>
            <w:tcW w:w="992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20,473</w:t>
            </w:r>
          </w:p>
        </w:tc>
        <w:tc>
          <w:tcPr>
            <w:tcW w:w="709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624</w:t>
            </w:r>
          </w:p>
        </w:tc>
      </w:tr>
      <w:tr w:rsidR="00CC1086" w:rsidRPr="002A6942" w:rsidTr="00147CA3">
        <w:trPr>
          <w:trHeight w:val="170"/>
        </w:trPr>
        <w:tc>
          <w:tcPr>
            <w:tcW w:w="131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TXT2 2015</w:t>
            </w:r>
          </w:p>
        </w:tc>
        <w:tc>
          <w:tcPr>
            <w:tcW w:w="1701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Texas, USA</w:t>
            </w:r>
          </w:p>
        </w:tc>
        <w:tc>
          <w:tcPr>
            <w:tcW w:w="1644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 xml:space="preserve">SAMN7377750 </w:t>
            </w:r>
          </w:p>
        </w:tc>
        <w:tc>
          <w:tcPr>
            <w:tcW w:w="1576" w:type="dxa"/>
          </w:tcPr>
          <w:p w:rsidR="00CC1086" w:rsidRPr="002A6942" w:rsidRDefault="00147CA3" w:rsidP="00981A1D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HC</w:t>
            </w:r>
            <w:r w:rsidR="00CC1086">
              <w:rPr>
                <w:sz w:val="22"/>
                <w:szCs w:val="22"/>
              </w:rPr>
              <w:t>TX227:15</w:t>
            </w:r>
          </w:p>
        </w:tc>
        <w:tc>
          <w:tcPr>
            <w:tcW w:w="1237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color w:val="000000"/>
                <w:sz w:val="22"/>
                <w:szCs w:val="22"/>
              </w:rPr>
              <w:t>9,791,641</w:t>
            </w:r>
          </w:p>
        </w:tc>
        <w:tc>
          <w:tcPr>
            <w:tcW w:w="992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626</w:t>
            </w:r>
          </w:p>
        </w:tc>
        <w:tc>
          <w:tcPr>
            <w:tcW w:w="127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42,776,694</w:t>
            </w:r>
          </w:p>
        </w:tc>
        <w:tc>
          <w:tcPr>
            <w:tcW w:w="127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1,472,454</w:t>
            </w:r>
          </w:p>
        </w:tc>
        <w:tc>
          <w:tcPr>
            <w:tcW w:w="850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51.87</w:t>
            </w:r>
          </w:p>
        </w:tc>
        <w:tc>
          <w:tcPr>
            <w:tcW w:w="992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248,541</w:t>
            </w:r>
          </w:p>
        </w:tc>
        <w:tc>
          <w:tcPr>
            <w:tcW w:w="709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53</w:t>
            </w:r>
          </w:p>
        </w:tc>
      </w:tr>
      <w:tr w:rsidR="00CC1086" w:rsidRPr="002A6942" w:rsidTr="00147CA3">
        <w:trPr>
          <w:trHeight w:val="170"/>
        </w:trPr>
        <w:tc>
          <w:tcPr>
            <w:tcW w:w="131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TXT3 2015</w:t>
            </w:r>
          </w:p>
        </w:tc>
        <w:tc>
          <w:tcPr>
            <w:tcW w:w="1701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Texas, USA</w:t>
            </w:r>
          </w:p>
        </w:tc>
        <w:tc>
          <w:tcPr>
            <w:tcW w:w="1644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 xml:space="preserve">SAMN7377751 </w:t>
            </w:r>
          </w:p>
        </w:tc>
        <w:tc>
          <w:tcPr>
            <w:tcW w:w="1576" w:type="dxa"/>
          </w:tcPr>
          <w:p w:rsidR="00CC1086" w:rsidRPr="002A6942" w:rsidRDefault="00147CA3" w:rsidP="00981A1D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HC</w:t>
            </w:r>
            <w:r w:rsidR="00CC1086">
              <w:rPr>
                <w:sz w:val="22"/>
                <w:szCs w:val="22"/>
              </w:rPr>
              <w:t>TX230:15</w:t>
            </w:r>
          </w:p>
        </w:tc>
        <w:tc>
          <w:tcPr>
            <w:tcW w:w="1237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color w:val="000000"/>
                <w:sz w:val="22"/>
                <w:szCs w:val="22"/>
              </w:rPr>
              <w:t>3,444,066</w:t>
            </w:r>
          </w:p>
        </w:tc>
        <w:tc>
          <w:tcPr>
            <w:tcW w:w="992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2,002</w:t>
            </w:r>
          </w:p>
        </w:tc>
        <w:tc>
          <w:tcPr>
            <w:tcW w:w="127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46,800,813</w:t>
            </w:r>
          </w:p>
        </w:tc>
        <w:tc>
          <w:tcPr>
            <w:tcW w:w="127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643,039</w:t>
            </w:r>
          </w:p>
        </w:tc>
        <w:tc>
          <w:tcPr>
            <w:tcW w:w="850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51.86</w:t>
            </w:r>
          </w:p>
        </w:tc>
        <w:tc>
          <w:tcPr>
            <w:tcW w:w="992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54,290</w:t>
            </w:r>
          </w:p>
        </w:tc>
        <w:tc>
          <w:tcPr>
            <w:tcW w:w="709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235</w:t>
            </w:r>
          </w:p>
        </w:tc>
      </w:tr>
      <w:tr w:rsidR="00CC1086" w:rsidRPr="002A6942" w:rsidTr="00147CA3">
        <w:trPr>
          <w:trHeight w:val="170"/>
        </w:trPr>
        <w:tc>
          <w:tcPr>
            <w:tcW w:w="131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CH</w:t>
            </w:r>
            <w:r>
              <w:rPr>
                <w:sz w:val="22"/>
                <w:szCs w:val="22"/>
              </w:rPr>
              <w:t xml:space="preserve"> </w:t>
            </w:r>
            <w:r w:rsidRPr="002A6942">
              <w:rPr>
                <w:sz w:val="22"/>
                <w:szCs w:val="22"/>
              </w:rPr>
              <w:t>2011</w:t>
            </w:r>
          </w:p>
        </w:tc>
        <w:tc>
          <w:tcPr>
            <w:tcW w:w="1701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China</w:t>
            </w:r>
          </w:p>
        </w:tc>
        <w:tc>
          <w:tcPr>
            <w:tcW w:w="1644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 xml:space="preserve">SAMN7377752 </w:t>
            </w:r>
          </w:p>
        </w:tc>
        <w:tc>
          <w:tcPr>
            <w:tcW w:w="157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CHN_HEN01</w:t>
            </w:r>
          </w:p>
        </w:tc>
        <w:tc>
          <w:tcPr>
            <w:tcW w:w="1237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color w:val="000000"/>
                <w:sz w:val="22"/>
                <w:szCs w:val="22"/>
              </w:rPr>
              <w:t>7,241,205</w:t>
            </w:r>
          </w:p>
        </w:tc>
        <w:tc>
          <w:tcPr>
            <w:tcW w:w="992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631</w:t>
            </w:r>
          </w:p>
        </w:tc>
        <w:tc>
          <w:tcPr>
            <w:tcW w:w="127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44,326,258</w:t>
            </w:r>
          </w:p>
        </w:tc>
        <w:tc>
          <w:tcPr>
            <w:tcW w:w="1276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816,169</w:t>
            </w:r>
          </w:p>
        </w:tc>
        <w:tc>
          <w:tcPr>
            <w:tcW w:w="850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51.91</w:t>
            </w:r>
          </w:p>
        </w:tc>
        <w:tc>
          <w:tcPr>
            <w:tcW w:w="992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248,371</w:t>
            </w:r>
          </w:p>
        </w:tc>
        <w:tc>
          <w:tcPr>
            <w:tcW w:w="709" w:type="dxa"/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55</w:t>
            </w:r>
          </w:p>
        </w:tc>
      </w:tr>
      <w:tr w:rsidR="00CC1086" w:rsidRPr="002A6942" w:rsidTr="00147CA3">
        <w:trPr>
          <w:trHeight w:val="170"/>
        </w:trPr>
        <w:tc>
          <w:tcPr>
            <w:tcW w:w="1316" w:type="dxa"/>
            <w:tcBorders>
              <w:bottom w:val="single" w:sz="4" w:space="0" w:color="auto"/>
            </w:tcBorders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GM</w:t>
            </w:r>
            <w:r>
              <w:rPr>
                <w:sz w:val="22"/>
                <w:szCs w:val="22"/>
              </w:rPr>
              <w:t xml:space="preserve"> </w:t>
            </w:r>
            <w:r w:rsidRPr="002A6942">
              <w:rPr>
                <w:sz w:val="22"/>
                <w:szCs w:val="22"/>
              </w:rPr>
              <w:t>1997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Guatemala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 xml:space="preserve">SAMN7377753 </w:t>
            </w:r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:rsidR="00CC1086" w:rsidRPr="002A6942" w:rsidRDefault="00147CA3" w:rsidP="00981A1D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HC</w:t>
            </w:r>
            <w:r w:rsidR="00CC1086" w:rsidRPr="00326626">
              <w:rPr>
                <w:sz w:val="22"/>
                <w:szCs w:val="22"/>
              </w:rPr>
              <w:t>GM</w:t>
            </w:r>
            <w:r w:rsidR="00CC1086">
              <w:rPr>
                <w:sz w:val="22"/>
                <w:szCs w:val="22"/>
              </w:rPr>
              <w:t>11:97</w:t>
            </w:r>
            <w:r w:rsidR="00CC1086" w:rsidRPr="00984553">
              <w:rPr>
                <w:sz w:val="22"/>
                <w:szCs w:val="22"/>
                <w:vertAlign w:val="superscript"/>
              </w:rPr>
              <w:t>β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color w:val="000000"/>
                <w:sz w:val="22"/>
                <w:szCs w:val="22"/>
              </w:rPr>
              <w:t>3,079,603 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583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44,425,195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1,019,316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51.90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252,491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C1086" w:rsidRPr="002A6942" w:rsidRDefault="00CC1086" w:rsidP="00981A1D">
            <w:pPr>
              <w:spacing w:line="360" w:lineRule="auto"/>
              <w:rPr>
                <w:sz w:val="22"/>
                <w:szCs w:val="22"/>
              </w:rPr>
            </w:pPr>
            <w:r w:rsidRPr="002A6942">
              <w:rPr>
                <w:sz w:val="22"/>
                <w:szCs w:val="22"/>
              </w:rPr>
              <w:t>58</w:t>
            </w:r>
          </w:p>
        </w:tc>
      </w:tr>
    </w:tbl>
    <w:p w:rsidR="00CC1086" w:rsidRDefault="00CC1086" w:rsidP="00CC1086">
      <w:r>
        <w:rPr>
          <w:vertAlign w:val="superscript"/>
        </w:rPr>
        <w:t xml:space="preserve">α </w:t>
      </w:r>
      <w:r w:rsidRPr="00166931">
        <w:t>Number of</w:t>
      </w:r>
      <w:r>
        <w:rPr>
          <w:vertAlign w:val="superscript"/>
        </w:rPr>
        <w:t xml:space="preserve"> </w:t>
      </w:r>
      <w:r>
        <w:t xml:space="preserve">Illumina </w:t>
      </w:r>
      <w:proofErr w:type="spellStart"/>
      <w:r>
        <w:t>MiSeq</w:t>
      </w:r>
      <w:proofErr w:type="spellEnd"/>
      <w:r>
        <w:t xml:space="preserve"> 500 cycle V2 kit reads generated (250 by 250 bp paired end).</w:t>
      </w:r>
    </w:p>
    <w:p w:rsidR="00F71AE0" w:rsidRDefault="00CC1086" w:rsidP="004B4E35">
      <w:r w:rsidRPr="00326626">
        <w:rPr>
          <w:sz w:val="22"/>
          <w:szCs w:val="22"/>
          <w:vertAlign w:val="superscript"/>
        </w:rPr>
        <w:t>β</w:t>
      </w:r>
      <w:r>
        <w:rPr>
          <w:sz w:val="22"/>
          <w:szCs w:val="22"/>
          <w:vertAlign w:val="superscript"/>
        </w:rPr>
        <w:t xml:space="preserve"> </w:t>
      </w:r>
      <w:r>
        <w:t xml:space="preserve">These specimens were not subjected to </w:t>
      </w:r>
      <w:r w:rsidR="00E51D03">
        <w:t>genotyping</w:t>
      </w:r>
      <w:r>
        <w:t xml:space="preserve"> due to insufficient DNA following genome sequencing or amplification failures.</w:t>
      </w:r>
      <w:bookmarkEnd w:id="0"/>
    </w:p>
    <w:sectPr w:rsidR="00F71AE0" w:rsidSect="00376A5F"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814" w:rsidRDefault="00414814" w:rsidP="001A4F78">
      <w:pPr>
        <w:spacing w:line="240" w:lineRule="auto"/>
      </w:pPr>
      <w:r>
        <w:separator/>
      </w:r>
    </w:p>
  </w:endnote>
  <w:endnote w:type="continuationSeparator" w:id="0">
    <w:p w:rsidR="00414814" w:rsidRDefault="00414814" w:rsidP="001A4F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vOT762a0142.B">
    <w:altName w:val="Angsana New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68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74B9" w:rsidRDefault="002574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5AD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574B9" w:rsidRDefault="00257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814" w:rsidRDefault="00414814" w:rsidP="001A4F78">
      <w:pPr>
        <w:spacing w:line="240" w:lineRule="auto"/>
      </w:pPr>
      <w:r>
        <w:separator/>
      </w:r>
    </w:p>
  </w:footnote>
  <w:footnote w:type="continuationSeparator" w:id="0">
    <w:p w:rsidR="00414814" w:rsidRDefault="00414814" w:rsidP="001A4F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218E"/>
    <w:multiLevelType w:val="hybridMultilevel"/>
    <w:tmpl w:val="7EC8267C"/>
    <w:lvl w:ilvl="0" w:tplc="4B36AB92">
      <w:start w:val="1"/>
      <w:numFmt w:val="decimal"/>
      <w:lvlText w:val="(%1)"/>
      <w:lvlJc w:val="left"/>
      <w:pPr>
        <w:ind w:left="720" w:hanging="360"/>
      </w:pPr>
      <w:rPr>
        <w:rFonts w:ascii="AdvOT762a0142.B" w:hAnsi="AdvOT762a0142.B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F32EF"/>
    <w:multiLevelType w:val="hybridMultilevel"/>
    <w:tmpl w:val="E03632BE"/>
    <w:lvl w:ilvl="0" w:tplc="3B76A65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755A4"/>
    <w:multiLevelType w:val="hybridMultilevel"/>
    <w:tmpl w:val="D1CE4DAA"/>
    <w:lvl w:ilvl="0" w:tplc="DBE6A97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A2D8D"/>
    <w:multiLevelType w:val="hybridMultilevel"/>
    <w:tmpl w:val="8160C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C47F8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C822A8"/>
    <w:multiLevelType w:val="multilevel"/>
    <w:tmpl w:val="8ADA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A32AA"/>
    <w:multiLevelType w:val="hybridMultilevel"/>
    <w:tmpl w:val="8C1CA0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12B2B"/>
    <w:multiLevelType w:val="multilevel"/>
    <w:tmpl w:val="81B4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73B92"/>
    <w:multiLevelType w:val="hybridMultilevel"/>
    <w:tmpl w:val="B2364EA8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4347D"/>
    <w:multiLevelType w:val="hybridMultilevel"/>
    <w:tmpl w:val="8D323BB8"/>
    <w:lvl w:ilvl="0" w:tplc="83B657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75EA5"/>
    <w:multiLevelType w:val="hybridMultilevel"/>
    <w:tmpl w:val="33361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CF07A7"/>
    <w:multiLevelType w:val="hybridMultilevel"/>
    <w:tmpl w:val="2C287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428CD"/>
    <w:multiLevelType w:val="hybridMultilevel"/>
    <w:tmpl w:val="0114DB2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25E79"/>
    <w:multiLevelType w:val="multilevel"/>
    <w:tmpl w:val="4228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A4797B"/>
    <w:multiLevelType w:val="hybridMultilevel"/>
    <w:tmpl w:val="B484D558"/>
    <w:lvl w:ilvl="0" w:tplc="D52EE182">
      <w:start w:val="1"/>
      <w:numFmt w:val="decimal"/>
      <w:lvlText w:val="(%1)"/>
      <w:lvlJc w:val="left"/>
      <w:pPr>
        <w:ind w:left="720" w:hanging="360"/>
      </w:pPr>
      <w:rPr>
        <w:rFonts w:ascii="AdvOT762a0142.B" w:hAnsi="AdvOT762a0142.B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BC3F12"/>
    <w:multiLevelType w:val="hybridMultilevel"/>
    <w:tmpl w:val="CB5E735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B647D"/>
    <w:multiLevelType w:val="multilevel"/>
    <w:tmpl w:val="A10AA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13"/>
  </w:num>
  <w:num w:numId="7">
    <w:abstractNumId w:val="9"/>
  </w:num>
  <w:num w:numId="8">
    <w:abstractNumId w:val="1"/>
  </w:num>
  <w:num w:numId="9">
    <w:abstractNumId w:val="10"/>
  </w:num>
  <w:num w:numId="10">
    <w:abstractNumId w:val="11"/>
  </w:num>
  <w:num w:numId="11">
    <w:abstractNumId w:val="3"/>
  </w:num>
  <w:num w:numId="12">
    <w:abstractNumId w:val="6"/>
  </w:num>
  <w:num w:numId="13">
    <w:abstractNumId w:val="4"/>
  </w:num>
  <w:num w:numId="14">
    <w:abstractNumId w:val="16"/>
  </w:num>
  <w:num w:numId="15">
    <w:abstractNumId w:val="8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Layout" w:val="&lt;ENLayout&gt;&lt;Style&gt;PLo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vwp02vp6rtasqetev1przpdexp2d29ffpa0&quot;&gt;cyclospora&lt;record-ids&gt;&lt;item&gt;26&lt;/item&gt;&lt;item&gt;644&lt;/item&gt;&lt;item&gt;666&lt;/item&gt;&lt;item&gt;668&lt;/item&gt;&lt;item&gt;673&lt;/item&gt;&lt;item&gt;691&lt;/item&gt;&lt;item&gt;784&lt;/item&gt;&lt;item&gt;960&lt;/item&gt;&lt;item&gt;961&lt;/item&gt;&lt;item&gt;962&lt;/item&gt;&lt;item&gt;988&lt;/item&gt;&lt;/record-ids&gt;&lt;/item&gt;&lt;/Libraries&gt;"/>
  </w:docVars>
  <w:rsids>
    <w:rsidRoot w:val="005B5BCB"/>
    <w:rsid w:val="00027692"/>
    <w:rsid w:val="00043EF3"/>
    <w:rsid w:val="000671D1"/>
    <w:rsid w:val="00070A20"/>
    <w:rsid w:val="000B5969"/>
    <w:rsid w:val="000E679D"/>
    <w:rsid w:val="000E7FE9"/>
    <w:rsid w:val="001030C9"/>
    <w:rsid w:val="00104614"/>
    <w:rsid w:val="00147CA3"/>
    <w:rsid w:val="001601B2"/>
    <w:rsid w:val="001723DE"/>
    <w:rsid w:val="001A0993"/>
    <w:rsid w:val="001A342C"/>
    <w:rsid w:val="001A4F78"/>
    <w:rsid w:val="00200E3D"/>
    <w:rsid w:val="002531AE"/>
    <w:rsid w:val="002574B9"/>
    <w:rsid w:val="002663D1"/>
    <w:rsid w:val="00294141"/>
    <w:rsid w:val="002D28E0"/>
    <w:rsid w:val="002D3290"/>
    <w:rsid w:val="00322E51"/>
    <w:rsid w:val="003438B4"/>
    <w:rsid w:val="00362649"/>
    <w:rsid w:val="00376A5F"/>
    <w:rsid w:val="0039106E"/>
    <w:rsid w:val="00397724"/>
    <w:rsid w:val="003E71E6"/>
    <w:rsid w:val="00414814"/>
    <w:rsid w:val="004263A0"/>
    <w:rsid w:val="00442901"/>
    <w:rsid w:val="00463705"/>
    <w:rsid w:val="00463DCB"/>
    <w:rsid w:val="00486650"/>
    <w:rsid w:val="004B4E35"/>
    <w:rsid w:val="004C0FF1"/>
    <w:rsid w:val="004C1B64"/>
    <w:rsid w:val="004C2469"/>
    <w:rsid w:val="004C5FC4"/>
    <w:rsid w:val="004C683F"/>
    <w:rsid w:val="004E7BE1"/>
    <w:rsid w:val="00517447"/>
    <w:rsid w:val="00517514"/>
    <w:rsid w:val="00536543"/>
    <w:rsid w:val="00541878"/>
    <w:rsid w:val="005434DA"/>
    <w:rsid w:val="00572646"/>
    <w:rsid w:val="00572A92"/>
    <w:rsid w:val="005834D6"/>
    <w:rsid w:val="0058584A"/>
    <w:rsid w:val="00590139"/>
    <w:rsid w:val="005A46AC"/>
    <w:rsid w:val="005B5BCB"/>
    <w:rsid w:val="005D4684"/>
    <w:rsid w:val="005F1D30"/>
    <w:rsid w:val="005F65AC"/>
    <w:rsid w:val="006063BF"/>
    <w:rsid w:val="006078CF"/>
    <w:rsid w:val="00616DA5"/>
    <w:rsid w:val="006219F3"/>
    <w:rsid w:val="00656A74"/>
    <w:rsid w:val="006706EB"/>
    <w:rsid w:val="00697F78"/>
    <w:rsid w:val="006C529D"/>
    <w:rsid w:val="006D1830"/>
    <w:rsid w:val="006E0136"/>
    <w:rsid w:val="006E2430"/>
    <w:rsid w:val="006E3E9B"/>
    <w:rsid w:val="006F3E36"/>
    <w:rsid w:val="0070492C"/>
    <w:rsid w:val="007861CF"/>
    <w:rsid w:val="007B11CE"/>
    <w:rsid w:val="007C7EEF"/>
    <w:rsid w:val="007D1CCC"/>
    <w:rsid w:val="007D5D83"/>
    <w:rsid w:val="00805232"/>
    <w:rsid w:val="00833271"/>
    <w:rsid w:val="00841C40"/>
    <w:rsid w:val="00851098"/>
    <w:rsid w:val="008A136A"/>
    <w:rsid w:val="008C5DE2"/>
    <w:rsid w:val="008F038A"/>
    <w:rsid w:val="009022D8"/>
    <w:rsid w:val="00913A3C"/>
    <w:rsid w:val="009602FC"/>
    <w:rsid w:val="00970A2F"/>
    <w:rsid w:val="00981A1D"/>
    <w:rsid w:val="009B17EE"/>
    <w:rsid w:val="009C3A44"/>
    <w:rsid w:val="009D2880"/>
    <w:rsid w:val="009D449C"/>
    <w:rsid w:val="009F1E14"/>
    <w:rsid w:val="009F2F49"/>
    <w:rsid w:val="00A05DA9"/>
    <w:rsid w:val="00A15C84"/>
    <w:rsid w:val="00A17E2E"/>
    <w:rsid w:val="00A3544D"/>
    <w:rsid w:val="00A43757"/>
    <w:rsid w:val="00A659E4"/>
    <w:rsid w:val="00A754EB"/>
    <w:rsid w:val="00AC1335"/>
    <w:rsid w:val="00AD3CC4"/>
    <w:rsid w:val="00AE6B59"/>
    <w:rsid w:val="00AF10B0"/>
    <w:rsid w:val="00B302DE"/>
    <w:rsid w:val="00B37631"/>
    <w:rsid w:val="00B51233"/>
    <w:rsid w:val="00B61D68"/>
    <w:rsid w:val="00B659B1"/>
    <w:rsid w:val="00B81D87"/>
    <w:rsid w:val="00BA456F"/>
    <w:rsid w:val="00BB3F71"/>
    <w:rsid w:val="00BB4DF1"/>
    <w:rsid w:val="00BD27E0"/>
    <w:rsid w:val="00BF1EB8"/>
    <w:rsid w:val="00C13EF0"/>
    <w:rsid w:val="00C16876"/>
    <w:rsid w:val="00C37F8B"/>
    <w:rsid w:val="00C65E37"/>
    <w:rsid w:val="00CA227B"/>
    <w:rsid w:val="00CA3BB9"/>
    <w:rsid w:val="00CC0F21"/>
    <w:rsid w:val="00CC1086"/>
    <w:rsid w:val="00CE3ACE"/>
    <w:rsid w:val="00D17F68"/>
    <w:rsid w:val="00D3502C"/>
    <w:rsid w:val="00D437FC"/>
    <w:rsid w:val="00D64947"/>
    <w:rsid w:val="00D653FA"/>
    <w:rsid w:val="00D663C1"/>
    <w:rsid w:val="00D71BA6"/>
    <w:rsid w:val="00D87B88"/>
    <w:rsid w:val="00D92B62"/>
    <w:rsid w:val="00E45AD9"/>
    <w:rsid w:val="00E51D03"/>
    <w:rsid w:val="00EC15C0"/>
    <w:rsid w:val="00EC2C07"/>
    <w:rsid w:val="00EC5799"/>
    <w:rsid w:val="00EF1558"/>
    <w:rsid w:val="00EF5C37"/>
    <w:rsid w:val="00F11CC8"/>
    <w:rsid w:val="00F34B03"/>
    <w:rsid w:val="00F4484E"/>
    <w:rsid w:val="00F62FA1"/>
    <w:rsid w:val="00F67879"/>
    <w:rsid w:val="00F71AE0"/>
    <w:rsid w:val="00F85145"/>
    <w:rsid w:val="00FB3AEB"/>
    <w:rsid w:val="00FB4EFF"/>
    <w:rsid w:val="00FF3AF3"/>
    <w:rsid w:val="00FF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91B9E-FBDC-4B95-A952-93088F97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430"/>
    <w:pPr>
      <w:spacing w:after="0" w:line="480" w:lineRule="auto"/>
      <w:jc w:val="both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2430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430"/>
    <w:pPr>
      <w:keepNext/>
      <w:keepLines/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4D6"/>
    <w:pPr>
      <w:keepNext/>
      <w:keepLines/>
      <w:spacing w:before="120" w:after="120"/>
      <w:outlineLvl w:val="2"/>
    </w:pPr>
    <w:rPr>
      <w:rFonts w:eastAsiaTheme="majorEastAsia" w:cstheme="majorBidi"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2430"/>
    <w:rPr>
      <w:rFonts w:ascii="Times New Roman" w:eastAsiaTheme="majorEastAsia" w:hAnsi="Times New Roman" w:cstheme="majorBidi"/>
      <w:b/>
      <w:bCs/>
      <w:sz w:val="24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6E243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2430"/>
    <w:rPr>
      <w:rFonts w:ascii="Times New Roman" w:eastAsiaTheme="majorEastAsia" w:hAnsi="Times New Roman" w:cstheme="majorBidi"/>
      <w:b/>
      <w:bCs/>
      <w:sz w:val="24"/>
      <w:szCs w:val="28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6E243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Heading1Char"/>
    <w:link w:val="EndNoteBibliographyTitle"/>
    <w:rsid w:val="006E2430"/>
    <w:rPr>
      <w:rFonts w:ascii="Times New Roman" w:eastAsiaTheme="minorEastAsia" w:hAnsi="Times New Roman" w:cs="Times New Roman"/>
      <w:b w:val="0"/>
      <w:bCs w:val="0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E2430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Heading1Char"/>
    <w:link w:val="EndNoteBibliography"/>
    <w:rsid w:val="006E2430"/>
    <w:rPr>
      <w:rFonts w:ascii="Times New Roman" w:eastAsiaTheme="minorEastAsia" w:hAnsi="Times New Roman" w:cs="Times New Roman"/>
      <w:b w:val="0"/>
      <w:bCs w:val="0"/>
      <w:noProof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C1086"/>
    <w:pPr>
      <w:spacing w:after="0" w:line="240" w:lineRule="auto"/>
    </w:pPr>
    <w:rPr>
      <w:rFonts w:eastAsiaTheme="minorEastAsia"/>
      <w:sz w:val="24"/>
      <w:szCs w:val="24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834D6"/>
    <w:rPr>
      <w:rFonts w:ascii="Times New Roman" w:eastAsiaTheme="majorEastAsia" w:hAnsi="Times New Roman" w:cstheme="majorBidi"/>
      <w:bCs/>
      <w:i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834D6"/>
    <w:pPr>
      <w:spacing w:before="100" w:beforeAutospacing="1" w:after="100" w:afterAutospacing="1"/>
    </w:pPr>
    <w:rPr>
      <w:lang w:eastAsia="ko-KR"/>
    </w:rPr>
  </w:style>
  <w:style w:type="character" w:customStyle="1" w:styleId="apple-tab-span">
    <w:name w:val="apple-tab-span"/>
    <w:basedOn w:val="DefaultParagraphFont"/>
    <w:rsid w:val="005834D6"/>
  </w:style>
  <w:style w:type="character" w:styleId="CommentReference">
    <w:name w:val="annotation reference"/>
    <w:basedOn w:val="DefaultParagraphFont"/>
    <w:uiPriority w:val="99"/>
    <w:semiHidden/>
    <w:unhideWhenUsed/>
    <w:rsid w:val="005834D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834D6"/>
    <w:rPr>
      <w:rFonts w:asciiTheme="minorHAnsi" w:hAnsiTheme="minorHAnsi" w:cstheme="minorBidi"/>
      <w:lang w:eastAsia="ko-KR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34D6"/>
    <w:rPr>
      <w:rFonts w:eastAsiaTheme="minorEastAsia"/>
      <w:sz w:val="24"/>
      <w:szCs w:val="24"/>
      <w:lang w:val="en-US"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4D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4D6"/>
    <w:rPr>
      <w:rFonts w:eastAsiaTheme="minorEastAsia"/>
      <w:b/>
      <w:bCs/>
      <w:sz w:val="20"/>
      <w:szCs w:val="20"/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D6"/>
    <w:rPr>
      <w:sz w:val="18"/>
      <w:szCs w:val="18"/>
      <w:lang w:eastAsia="ko-K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D6"/>
    <w:rPr>
      <w:rFonts w:ascii="Times New Roman" w:eastAsiaTheme="minorEastAsia" w:hAnsi="Times New Roman" w:cs="Times New Roman"/>
      <w:sz w:val="18"/>
      <w:szCs w:val="18"/>
      <w:lang w:val="en-US" w:eastAsia="ko-KR"/>
    </w:rPr>
  </w:style>
  <w:style w:type="character" w:customStyle="1" w:styleId="NoneA">
    <w:name w:val="None A"/>
    <w:rsid w:val="005834D6"/>
    <w:rPr>
      <w:lang w:val="en-US"/>
    </w:rPr>
  </w:style>
  <w:style w:type="paragraph" w:customStyle="1" w:styleId="Default">
    <w:name w:val="Default"/>
    <w:rsid w:val="005834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en-US"/>
    </w:rPr>
  </w:style>
  <w:style w:type="character" w:customStyle="1" w:styleId="apple-converted-space">
    <w:name w:val="apple-converted-space"/>
    <w:basedOn w:val="DefaultParagraphFont"/>
    <w:rsid w:val="005834D6"/>
  </w:style>
  <w:style w:type="character" w:styleId="Strong">
    <w:name w:val="Strong"/>
    <w:basedOn w:val="DefaultParagraphFont"/>
    <w:uiPriority w:val="22"/>
    <w:qFormat/>
    <w:rsid w:val="005834D6"/>
    <w:rPr>
      <w:b/>
      <w:bCs/>
    </w:rPr>
  </w:style>
  <w:style w:type="character" w:styleId="Emphasis">
    <w:name w:val="Emphasis"/>
    <w:basedOn w:val="DefaultParagraphFont"/>
    <w:uiPriority w:val="20"/>
    <w:qFormat/>
    <w:rsid w:val="005834D6"/>
    <w:rPr>
      <w:i/>
      <w:iCs/>
    </w:rPr>
  </w:style>
  <w:style w:type="character" w:customStyle="1" w:styleId="italic">
    <w:name w:val="italic"/>
    <w:basedOn w:val="DefaultParagraphFont"/>
    <w:rsid w:val="005834D6"/>
  </w:style>
  <w:style w:type="paragraph" w:styleId="ListParagraph">
    <w:name w:val="List Paragraph"/>
    <w:basedOn w:val="Normal"/>
    <w:uiPriority w:val="34"/>
    <w:qFormat/>
    <w:rsid w:val="005834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3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4D6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83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4D6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5834D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inline-l2-heading1">
    <w:name w:val="inline-l2-heading1"/>
    <w:basedOn w:val="DefaultParagraphFont"/>
    <w:rsid w:val="005834D6"/>
    <w:rPr>
      <w:b/>
      <w:bCs/>
      <w:vanish w:val="0"/>
      <w:webHidden w:val="0"/>
      <w:specVanish w:val="0"/>
    </w:rPr>
  </w:style>
  <w:style w:type="character" w:customStyle="1" w:styleId="il">
    <w:name w:val="il"/>
    <w:basedOn w:val="DefaultParagraphFont"/>
    <w:rsid w:val="005834D6"/>
  </w:style>
  <w:style w:type="character" w:styleId="LineNumber">
    <w:name w:val="line number"/>
    <w:basedOn w:val="DefaultParagraphFont"/>
    <w:uiPriority w:val="99"/>
    <w:semiHidden/>
    <w:unhideWhenUsed/>
    <w:rsid w:val="005834D6"/>
  </w:style>
  <w:style w:type="character" w:customStyle="1" w:styleId="highlight">
    <w:name w:val="highlight"/>
    <w:basedOn w:val="DefaultParagraphFont"/>
    <w:rsid w:val="005834D6"/>
  </w:style>
  <w:style w:type="paragraph" w:styleId="DocumentMap">
    <w:name w:val="Document Map"/>
    <w:basedOn w:val="Normal"/>
    <w:link w:val="DocumentMapChar"/>
    <w:uiPriority w:val="99"/>
    <w:semiHidden/>
    <w:unhideWhenUsed/>
    <w:rsid w:val="005834D6"/>
    <w:pPr>
      <w:spacing w:line="240" w:lineRule="auto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34D6"/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st">
    <w:name w:val="st"/>
    <w:basedOn w:val="DefaultParagraphFont"/>
    <w:rsid w:val="005834D6"/>
  </w:style>
  <w:style w:type="character" w:styleId="FollowedHyperlink">
    <w:name w:val="FollowedHyperlink"/>
    <w:basedOn w:val="DefaultParagraphFont"/>
    <w:uiPriority w:val="99"/>
    <w:semiHidden/>
    <w:unhideWhenUsed/>
    <w:rsid w:val="005834D6"/>
    <w:rPr>
      <w:color w:val="800080" w:themeColor="followedHyperlink"/>
      <w:u w:val="single"/>
    </w:rPr>
  </w:style>
  <w:style w:type="character" w:customStyle="1" w:styleId="lrdctlblinl">
    <w:name w:val="lr_dct_lbl_inl"/>
    <w:basedOn w:val="DefaultParagraphFont"/>
    <w:rsid w:val="005834D6"/>
  </w:style>
  <w:style w:type="character" w:styleId="PlaceholderText">
    <w:name w:val="Placeholder Text"/>
    <w:basedOn w:val="DefaultParagraphFont"/>
    <w:uiPriority w:val="99"/>
    <w:semiHidden/>
    <w:rsid w:val="005834D6"/>
    <w:rPr>
      <w:color w:val="808080"/>
    </w:rPr>
  </w:style>
  <w:style w:type="character" w:customStyle="1" w:styleId="mi">
    <w:name w:val="mi"/>
    <w:basedOn w:val="DefaultParagraphFont"/>
    <w:rsid w:val="005834D6"/>
  </w:style>
  <w:style w:type="character" w:customStyle="1" w:styleId="mo">
    <w:name w:val="mo"/>
    <w:basedOn w:val="DefaultParagraphFont"/>
    <w:rsid w:val="005834D6"/>
  </w:style>
  <w:style w:type="character" w:customStyle="1" w:styleId="mjxassistivemathml">
    <w:name w:val="mjx_assistive_mathml"/>
    <w:basedOn w:val="DefaultParagraphFont"/>
    <w:rsid w:val="005834D6"/>
  </w:style>
  <w:style w:type="character" w:styleId="HTMLCode">
    <w:name w:val="HTML Code"/>
    <w:basedOn w:val="DefaultParagraphFont"/>
    <w:uiPriority w:val="99"/>
    <w:semiHidden/>
    <w:unhideWhenUsed/>
    <w:rsid w:val="005834D6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A4F78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D3CC4"/>
    <w:pPr>
      <w:ind w:left="240"/>
      <w:jc w:val="left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D3CC4"/>
    <w:pPr>
      <w:spacing w:before="120" w:after="120"/>
      <w:jc w:val="left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D3CC4"/>
    <w:pPr>
      <w:ind w:left="480"/>
      <w:jc w:val="left"/>
    </w:pPr>
    <w:rPr>
      <w:rFonts w:asciiTheme="minorHAnsi" w:hAnsiTheme="minorHAnsi"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4F78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A4F78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A4F78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A4F78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A4F78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A4F78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arratt@cdc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oelbarratt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DD1D7-5F9E-497C-ACB1-3FE31F16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11</Pages>
  <Words>2339</Words>
  <Characters>13335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Technology, Sydney</Company>
  <LinksUpToDate>false</LinksUpToDate>
  <CharactersWithSpaces>15643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Alison Sage</cp:lastModifiedBy>
  <cp:revision>36</cp:revision>
  <dcterms:created xsi:type="dcterms:W3CDTF">2018-12-03T00:37:00Z</dcterms:created>
  <dcterms:modified xsi:type="dcterms:W3CDTF">2019-04-19T14:52:00Z</dcterms:modified>
</cp:coreProperties>
</file>