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commentsIds.xml" ContentType="application/vnd.openxmlformats-officedocument.wordprocessingml.commentsId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E305" w14:textId="2A9C571D" w:rsidR="0093088A" w:rsidRPr="00622DDB" w:rsidRDefault="002827AE" w:rsidP="0093088A">
      <w:pPr>
        <w:spacing w:line="480" w:lineRule="auto"/>
        <w:rPr>
          <w:b/>
          <w:iCs/>
        </w:rPr>
      </w:pPr>
      <w:r>
        <w:rPr>
          <w:b/>
        </w:rPr>
        <w:t>Evaluation of a</w:t>
      </w:r>
      <w:r w:rsidR="009E7805">
        <w:rPr>
          <w:b/>
        </w:rPr>
        <w:t xml:space="preserve"> pooled </w:t>
      </w:r>
      <w:r w:rsidR="0093088A" w:rsidRPr="008A6FB7">
        <w:rPr>
          <w:b/>
        </w:rPr>
        <w:t xml:space="preserve">targeted amplicon deep sequencing </w:t>
      </w:r>
      <w:r w:rsidR="00882596">
        <w:rPr>
          <w:b/>
        </w:rPr>
        <w:t xml:space="preserve">(TADS) </w:t>
      </w:r>
      <w:r>
        <w:rPr>
          <w:b/>
        </w:rPr>
        <w:t>method</w:t>
      </w:r>
      <w:r w:rsidR="0093088A">
        <w:rPr>
          <w:b/>
        </w:rPr>
        <w:t xml:space="preserve"> </w:t>
      </w:r>
      <w:r w:rsidR="00407BCB">
        <w:rPr>
          <w:b/>
        </w:rPr>
        <w:t xml:space="preserve">based on parasitemia levels </w:t>
      </w:r>
      <w:r w:rsidR="0093088A">
        <w:rPr>
          <w:b/>
        </w:rPr>
        <w:t xml:space="preserve">for molecular surveillance </w:t>
      </w:r>
      <w:r w:rsidR="0093088A" w:rsidRPr="008A6FB7">
        <w:rPr>
          <w:b/>
        </w:rPr>
        <w:t xml:space="preserve">of </w:t>
      </w:r>
      <w:r w:rsidR="0093088A" w:rsidRPr="008A6FB7">
        <w:rPr>
          <w:b/>
          <w:i/>
        </w:rPr>
        <w:t xml:space="preserve">P. falciparum </w:t>
      </w:r>
      <w:r w:rsidR="0093088A" w:rsidRPr="008A6FB7">
        <w:rPr>
          <w:b/>
        </w:rPr>
        <w:t>genes</w:t>
      </w:r>
      <w:r w:rsidR="0093088A" w:rsidRPr="008A6FB7">
        <w:rPr>
          <w:b/>
          <w:i/>
        </w:rPr>
        <w:t xml:space="preserve"> </w:t>
      </w:r>
      <w:proofErr w:type="spellStart"/>
      <w:r w:rsidR="0093088A" w:rsidRPr="008A6FB7">
        <w:rPr>
          <w:b/>
          <w:i/>
        </w:rPr>
        <w:t>dhfr</w:t>
      </w:r>
      <w:proofErr w:type="spellEnd"/>
      <w:r w:rsidR="0093088A" w:rsidRPr="008A6FB7">
        <w:rPr>
          <w:b/>
          <w:i/>
        </w:rPr>
        <w:t xml:space="preserve"> </w:t>
      </w:r>
      <w:r w:rsidR="0093088A" w:rsidRPr="008A6FB7">
        <w:rPr>
          <w:b/>
        </w:rPr>
        <w:t xml:space="preserve">and </w:t>
      </w:r>
      <w:r w:rsidR="0093088A" w:rsidRPr="008A6FB7">
        <w:rPr>
          <w:b/>
          <w:i/>
        </w:rPr>
        <w:t>mdr1</w:t>
      </w:r>
      <w:r w:rsidR="00622DDB">
        <w:rPr>
          <w:b/>
          <w:iCs/>
        </w:rPr>
        <w:t xml:space="preserve"> in Haiti </w:t>
      </w:r>
    </w:p>
    <w:p w14:paraId="4A3B2868" w14:textId="2540A6B0" w:rsidR="0093088A" w:rsidRPr="008A6FB7" w:rsidRDefault="0093088A" w:rsidP="0093088A">
      <w:pPr>
        <w:spacing w:line="480" w:lineRule="auto"/>
        <w:rPr>
          <w:rStyle w:val="NoneA"/>
          <w:vertAlign w:val="superscript"/>
        </w:rPr>
      </w:pPr>
      <w:r w:rsidRPr="008A6FB7">
        <w:t xml:space="preserve">Camelia Herman </w:t>
      </w:r>
      <w:r w:rsidRPr="008A6FB7">
        <w:rPr>
          <w:rStyle w:val="NoneA"/>
          <w:vertAlign w:val="superscript"/>
        </w:rPr>
        <w:t>1,3</w:t>
      </w:r>
      <w:r w:rsidRPr="008A6FB7">
        <w:t xml:space="preserve">, </w:t>
      </w:r>
      <w:proofErr w:type="spellStart"/>
      <w:r w:rsidRPr="008A6FB7">
        <w:t>Dhruviben</w:t>
      </w:r>
      <w:proofErr w:type="spellEnd"/>
      <w:r w:rsidRPr="008A6FB7">
        <w:t xml:space="preserve"> Patel </w:t>
      </w:r>
      <w:r w:rsidRPr="008A6FB7">
        <w:rPr>
          <w:vertAlign w:val="superscript"/>
        </w:rPr>
        <w:t>2,3</w:t>
      </w:r>
      <w:r w:rsidRPr="008A6FB7">
        <w:t xml:space="preserve">, </w:t>
      </w:r>
      <w:r w:rsidR="00882596" w:rsidRPr="008A6FB7">
        <w:t xml:space="preserve">Julia Kelley </w:t>
      </w:r>
      <w:r w:rsidR="00882596" w:rsidRPr="008A6FB7">
        <w:rPr>
          <w:rStyle w:val="NoneA"/>
          <w:vertAlign w:val="superscript"/>
        </w:rPr>
        <w:t>1,3</w:t>
      </w:r>
      <w:r w:rsidR="00882596" w:rsidRPr="008A6FB7">
        <w:t xml:space="preserve">, </w:t>
      </w:r>
      <w:r w:rsidR="007C70C5">
        <w:t>Janani Guru</w:t>
      </w:r>
      <w:r w:rsidR="007C70C5" w:rsidRPr="00244AE5">
        <w:rPr>
          <w:vertAlign w:val="superscript"/>
        </w:rPr>
        <w:t>4</w:t>
      </w:r>
      <w:r w:rsidR="007C70C5">
        <w:t xml:space="preserve">, </w:t>
      </w:r>
      <w:r w:rsidRPr="008A6FB7">
        <w:t xml:space="preserve">Michelle A. Chang </w:t>
      </w:r>
      <w:r w:rsidRPr="008A6FB7">
        <w:rPr>
          <w:rStyle w:val="NoneA"/>
          <w:vertAlign w:val="superscript"/>
        </w:rPr>
        <w:t>3</w:t>
      </w:r>
      <w:r w:rsidRPr="008A6FB7">
        <w:t>,</w:t>
      </w:r>
      <w:r w:rsidR="00C8080B">
        <w:t xml:space="preserve"> </w:t>
      </w:r>
      <w:proofErr w:type="spellStart"/>
      <w:r w:rsidR="00057FE5">
        <w:t>Udhayakumar</w:t>
      </w:r>
      <w:proofErr w:type="spellEnd"/>
      <w:r w:rsidR="00057FE5">
        <w:t xml:space="preserve"> Venkatachalam</w:t>
      </w:r>
      <w:r w:rsidR="007C70C5">
        <w:rPr>
          <w:rStyle w:val="NoneA"/>
          <w:vertAlign w:val="superscript"/>
        </w:rPr>
        <w:t>3</w:t>
      </w:r>
      <w:r w:rsidR="00057FE5">
        <w:t>,</w:t>
      </w:r>
      <w:r w:rsidRPr="008A6FB7">
        <w:t xml:space="preserve"> Jean F. Lemoine </w:t>
      </w:r>
      <w:r w:rsidR="007C70C5">
        <w:rPr>
          <w:rStyle w:val="NoneA"/>
          <w:vertAlign w:val="superscript"/>
        </w:rPr>
        <w:t>5</w:t>
      </w:r>
      <w:r w:rsidRPr="008A6FB7">
        <w:t xml:space="preserve">, Eric </w:t>
      </w:r>
      <w:proofErr w:type="spellStart"/>
      <w:r w:rsidRPr="008A6FB7">
        <w:t>Rogier</w:t>
      </w:r>
      <w:proofErr w:type="spellEnd"/>
      <w:r w:rsidRPr="008A6FB7">
        <w:t xml:space="preserve"> </w:t>
      </w:r>
      <w:r w:rsidRPr="008A6FB7">
        <w:rPr>
          <w:rStyle w:val="NoneA"/>
          <w:vertAlign w:val="superscript"/>
        </w:rPr>
        <w:t>3</w:t>
      </w:r>
      <w:r w:rsidRPr="008A6FB7">
        <w:t xml:space="preserve">, Eldin Talundzic </w:t>
      </w:r>
      <w:r w:rsidRPr="008A6FB7">
        <w:rPr>
          <w:rStyle w:val="NoneA"/>
          <w:vertAlign w:val="superscript"/>
        </w:rPr>
        <w:t>3</w:t>
      </w:r>
    </w:p>
    <w:p w14:paraId="5A8A05B5" w14:textId="77777777" w:rsidR="0093088A" w:rsidRPr="008A6FB7" w:rsidRDefault="0093088A" w:rsidP="0093088A">
      <w:pPr>
        <w:spacing w:line="480" w:lineRule="auto"/>
        <w:rPr>
          <w:rStyle w:val="NoneA"/>
          <w:vertAlign w:val="superscript"/>
        </w:rPr>
      </w:pPr>
    </w:p>
    <w:p w14:paraId="7C09C81E" w14:textId="77777777" w:rsidR="0093088A" w:rsidRPr="008A6FB7" w:rsidRDefault="0093088A" w:rsidP="0093088A">
      <w:pPr>
        <w:spacing w:line="480" w:lineRule="auto"/>
        <w:rPr>
          <w:rStyle w:val="NoneA"/>
          <w:vertAlign w:val="superscript"/>
        </w:rPr>
      </w:pPr>
    </w:p>
    <w:p w14:paraId="1E4F1F29" w14:textId="77777777" w:rsidR="0093088A" w:rsidRPr="008A6FB7" w:rsidRDefault="0093088A" w:rsidP="0093088A">
      <w:pPr>
        <w:spacing w:line="480" w:lineRule="auto"/>
        <w:rPr>
          <w:rStyle w:val="NoneA"/>
          <w:vertAlign w:val="superscript"/>
        </w:rPr>
      </w:pPr>
    </w:p>
    <w:p w14:paraId="5C6B2FE6" w14:textId="76234043" w:rsidR="0093088A" w:rsidRPr="008A6FB7" w:rsidRDefault="0093088A" w:rsidP="0093088A">
      <w:pPr>
        <w:spacing w:line="480" w:lineRule="auto"/>
      </w:pPr>
      <w:r w:rsidRPr="008A6FB7">
        <w:rPr>
          <w:vertAlign w:val="superscript"/>
        </w:rPr>
        <w:t>1</w:t>
      </w:r>
      <w:r w:rsidRPr="008A6FB7">
        <w:t>Centers for Disease Control and Prevention Foundation, Atlanta, GA,</w:t>
      </w:r>
      <w:r w:rsidR="00105A4E">
        <w:t xml:space="preserve"> USA</w:t>
      </w:r>
    </w:p>
    <w:p w14:paraId="171979C0" w14:textId="628DB50D" w:rsidR="0093088A" w:rsidRPr="008A6FB7" w:rsidRDefault="0093088A" w:rsidP="0093088A">
      <w:pPr>
        <w:pStyle w:val="BodyB"/>
        <w:spacing w:line="480" w:lineRule="auto"/>
        <w:rPr>
          <w:rStyle w:val="NoneA"/>
          <w:rFonts w:cs="Times New Roman"/>
        </w:rPr>
      </w:pPr>
      <w:r w:rsidRPr="008A6FB7">
        <w:rPr>
          <w:rStyle w:val="NoneA"/>
          <w:rFonts w:cs="Times New Roman"/>
          <w:vertAlign w:val="superscript"/>
        </w:rPr>
        <w:t xml:space="preserve">2 </w:t>
      </w:r>
      <w:r w:rsidRPr="008A6FB7">
        <w:rPr>
          <w:rFonts w:cs="Times New Roman"/>
        </w:rPr>
        <w:t xml:space="preserve">Williams Consulting LLC, </w:t>
      </w:r>
      <w:r w:rsidR="00105A4E">
        <w:rPr>
          <w:rFonts w:cs="Times New Roman"/>
        </w:rPr>
        <w:t>Atlanta, GA</w:t>
      </w:r>
      <w:r w:rsidRPr="008A6FB7">
        <w:rPr>
          <w:rFonts w:cs="Times New Roman"/>
        </w:rPr>
        <w:t xml:space="preserve">, </w:t>
      </w:r>
      <w:r w:rsidR="00105A4E">
        <w:rPr>
          <w:rFonts w:cs="Times New Roman"/>
        </w:rPr>
        <w:t>USA</w:t>
      </w:r>
    </w:p>
    <w:p w14:paraId="47608381" w14:textId="7AE2BDA0" w:rsidR="0093088A" w:rsidRDefault="0093088A" w:rsidP="0093088A">
      <w:pPr>
        <w:pStyle w:val="BodyB"/>
        <w:spacing w:line="480" w:lineRule="auto"/>
        <w:rPr>
          <w:rFonts w:cs="Times New Roman"/>
        </w:rPr>
      </w:pPr>
      <w:r w:rsidRPr="008A6FB7">
        <w:rPr>
          <w:rStyle w:val="NoneA"/>
          <w:rFonts w:cs="Times New Roman"/>
          <w:vertAlign w:val="superscript"/>
        </w:rPr>
        <w:t xml:space="preserve">3 </w:t>
      </w:r>
      <w:r w:rsidRPr="008A6FB7">
        <w:rPr>
          <w:rFonts w:cs="Times New Roman"/>
        </w:rPr>
        <w:t xml:space="preserve">Malaria Branch, Division of Parasitic Diseases and Malaria, Center for Global Health, Centers for Disease Control and Prevention, Atlanta, GA, </w:t>
      </w:r>
      <w:r w:rsidR="00105A4E">
        <w:rPr>
          <w:rFonts w:cs="Times New Roman"/>
        </w:rPr>
        <w:t>USA</w:t>
      </w:r>
    </w:p>
    <w:p w14:paraId="6791905E" w14:textId="35153A54" w:rsidR="007C70C5" w:rsidRPr="008A6FB7" w:rsidRDefault="007C70C5" w:rsidP="007C70C5">
      <w:pPr>
        <w:spacing w:line="480" w:lineRule="auto"/>
        <w:jc w:val="both"/>
      </w:pPr>
      <w:r w:rsidRPr="000E5D81">
        <w:rPr>
          <w:vertAlign w:val="superscript"/>
        </w:rPr>
        <w:t>4</w:t>
      </w:r>
      <w:r>
        <w:t xml:space="preserve">The Wallace H. Coulter Department of Biomedical Engineering, </w:t>
      </w:r>
      <w:r w:rsidRPr="000E5D81">
        <w:t>Georgia</w:t>
      </w:r>
      <w:r>
        <w:t xml:space="preserve"> Institute of Technology, Atlanta, GA, USA</w:t>
      </w:r>
    </w:p>
    <w:p w14:paraId="5CA1D403" w14:textId="55AEDA2F" w:rsidR="0093088A" w:rsidRPr="008A6FB7" w:rsidRDefault="007C70C5" w:rsidP="0093088A">
      <w:pPr>
        <w:pStyle w:val="BodyB"/>
        <w:spacing w:line="480" w:lineRule="auto"/>
        <w:rPr>
          <w:rFonts w:cs="Times New Roman"/>
          <w:vertAlign w:val="superscript"/>
        </w:rPr>
      </w:pPr>
      <w:r>
        <w:rPr>
          <w:rStyle w:val="NoneA"/>
          <w:rFonts w:cs="Times New Roman"/>
          <w:vertAlign w:val="superscript"/>
        </w:rPr>
        <w:t>5</w:t>
      </w:r>
      <w:r w:rsidR="0093088A" w:rsidRPr="008A6FB7">
        <w:rPr>
          <w:rStyle w:val="NoneA"/>
          <w:rFonts w:cs="Times New Roman"/>
          <w:vertAlign w:val="superscript"/>
        </w:rPr>
        <w:t xml:space="preserve"> </w:t>
      </w:r>
      <w:proofErr w:type="spellStart"/>
      <w:r w:rsidR="0093088A" w:rsidRPr="008A6FB7">
        <w:rPr>
          <w:rFonts w:cs="Times New Roman"/>
        </w:rPr>
        <w:t>Programme</w:t>
      </w:r>
      <w:proofErr w:type="spellEnd"/>
      <w:r w:rsidR="0093088A" w:rsidRPr="008A6FB7">
        <w:rPr>
          <w:rFonts w:cs="Times New Roman"/>
        </w:rPr>
        <w:t xml:space="preserve"> National de </w:t>
      </w:r>
      <w:proofErr w:type="spellStart"/>
      <w:r w:rsidR="0093088A" w:rsidRPr="008A6FB7">
        <w:rPr>
          <w:rFonts w:cs="Times New Roman"/>
        </w:rPr>
        <w:t>Contrôle</w:t>
      </w:r>
      <w:proofErr w:type="spellEnd"/>
      <w:r w:rsidR="0093088A" w:rsidRPr="008A6FB7">
        <w:rPr>
          <w:rFonts w:cs="Times New Roman"/>
        </w:rPr>
        <w:t xml:space="preserve"> de la Malaria, MSPP, Port-au-Prince, Haiti</w:t>
      </w:r>
    </w:p>
    <w:p w14:paraId="474F635C" w14:textId="77777777" w:rsidR="0093088A" w:rsidRPr="008A6FB7" w:rsidRDefault="0093088A" w:rsidP="0093088A">
      <w:pPr>
        <w:pStyle w:val="NormalWeb"/>
        <w:spacing w:before="0" w:beforeAutospacing="0" w:after="0" w:afterAutospacing="0" w:line="480" w:lineRule="auto"/>
        <w:rPr>
          <w:rFonts w:eastAsia="Verdana"/>
          <w:b/>
          <w:kern w:val="24"/>
          <w:sz w:val="22"/>
          <w:szCs w:val="22"/>
        </w:rPr>
      </w:pPr>
    </w:p>
    <w:p w14:paraId="539D8E6D" w14:textId="77777777" w:rsidR="00DD5D81" w:rsidRPr="00DD5D81" w:rsidRDefault="00DD5D81" w:rsidP="00DD5D81">
      <w:pPr>
        <w:spacing w:before="100" w:beforeAutospacing="1" w:after="100" w:afterAutospacing="1"/>
      </w:pPr>
      <w:r w:rsidRPr="00DD5D81">
        <w:t xml:space="preserve">*Corresponding author </w:t>
      </w:r>
    </w:p>
    <w:p w14:paraId="5E6DC2BD" w14:textId="77777777" w:rsidR="00DD5D81" w:rsidRPr="00DD5D81" w:rsidRDefault="00DD5D81" w:rsidP="00DD5D81">
      <w:pPr>
        <w:spacing w:before="100" w:beforeAutospacing="1" w:after="100" w:afterAutospacing="1"/>
      </w:pPr>
      <w:r w:rsidRPr="00DD5D81">
        <w:t>Email: wrj5@cdc.gov (Eldin Talundzic, PhD)</w:t>
      </w:r>
    </w:p>
    <w:p w14:paraId="4BA3AC51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61168ED8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3972D221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04F417C8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2340F454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0DE9F57D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637B6E03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11384C5F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37D6A5D7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40A4EDF7" w14:textId="77777777" w:rsidR="0093088A" w:rsidRDefault="0093088A" w:rsidP="0093088A">
      <w:pPr>
        <w:pStyle w:val="NormalWeb"/>
        <w:spacing w:before="0" w:beforeAutospacing="0" w:after="0" w:afterAutospacing="0" w:line="480" w:lineRule="auto"/>
        <w:rPr>
          <w:rFonts w:asciiTheme="minorHAnsi" w:eastAsia="Verdana" w:hAnsiTheme="minorHAnsi" w:cstheme="minorHAnsi"/>
          <w:b/>
          <w:kern w:val="24"/>
          <w:sz w:val="22"/>
          <w:szCs w:val="22"/>
        </w:rPr>
      </w:pPr>
    </w:p>
    <w:p w14:paraId="3C1AAFAE" w14:textId="77777777" w:rsidR="009E559B" w:rsidRDefault="009E559B" w:rsidP="0093088A">
      <w:pPr>
        <w:pStyle w:val="NormalWeb"/>
        <w:spacing w:before="0" w:beforeAutospacing="0" w:after="0" w:afterAutospacing="0" w:line="480" w:lineRule="auto"/>
        <w:rPr>
          <w:rFonts w:eastAsia="Verdana"/>
          <w:b/>
          <w:kern w:val="24"/>
        </w:rPr>
      </w:pPr>
    </w:p>
    <w:p w14:paraId="35BDB66E" w14:textId="77777777" w:rsidR="009E559B" w:rsidRDefault="009E559B" w:rsidP="0093088A">
      <w:pPr>
        <w:pStyle w:val="NormalWeb"/>
        <w:spacing w:before="0" w:beforeAutospacing="0" w:after="0" w:afterAutospacing="0" w:line="480" w:lineRule="auto"/>
        <w:rPr>
          <w:rFonts w:eastAsia="Verdana"/>
          <w:b/>
          <w:kern w:val="24"/>
        </w:rPr>
      </w:pPr>
    </w:p>
    <w:p w14:paraId="1249F3CD" w14:textId="66D28824" w:rsidR="0093088A" w:rsidRPr="00D65598" w:rsidRDefault="0093088A" w:rsidP="0093088A">
      <w:pPr>
        <w:pStyle w:val="NormalWeb"/>
        <w:spacing w:before="0" w:beforeAutospacing="0" w:after="0" w:afterAutospacing="0" w:line="480" w:lineRule="auto"/>
        <w:rPr>
          <w:rFonts w:eastAsia="Verdana"/>
          <w:b/>
          <w:kern w:val="24"/>
        </w:rPr>
      </w:pPr>
      <w:commentRangeStart w:id="0"/>
      <w:r w:rsidRPr="00D65598">
        <w:rPr>
          <w:rFonts w:eastAsia="Verdana"/>
          <w:b/>
          <w:kern w:val="24"/>
        </w:rPr>
        <w:t>Abstract</w:t>
      </w:r>
      <w:commentRangeEnd w:id="0"/>
      <w:r w:rsidR="00C85893">
        <w:rPr>
          <w:rStyle w:val="CommentReference"/>
        </w:rPr>
        <w:commentReference w:id="0"/>
      </w:r>
    </w:p>
    <w:p w14:paraId="2D69860C" w14:textId="44AB58FA" w:rsidR="0093088A" w:rsidRDefault="0093088A" w:rsidP="00907133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D65598">
        <w:t xml:space="preserve">Sequencing large numbers of individual samples, which is often needed for countrywide surveillance-based studies, remains expensive despite the decreasing costs of next generation sequencing (NGS). Pooling of several individual samples is potentially an alternative cost and time effective method. Using 100 individual </w:t>
      </w:r>
      <w:r w:rsidRPr="00D65598">
        <w:rPr>
          <w:i/>
          <w:iCs/>
        </w:rPr>
        <w:t xml:space="preserve">P. falciparum </w:t>
      </w:r>
      <w:r w:rsidRPr="00D65598">
        <w:t xml:space="preserve">samples from a nationwide Haiti drug resistance surveillance study, we </w:t>
      </w:r>
      <w:r>
        <w:t>compared</w:t>
      </w:r>
      <w:r w:rsidRPr="00D65598">
        <w:t xml:space="preserve"> allele frequency</w:t>
      </w:r>
      <w:r>
        <w:t xml:space="preserve"> (AF)</w:t>
      </w:r>
      <w:r w:rsidRPr="00D65598">
        <w:t xml:space="preserve"> calls for </w:t>
      </w:r>
      <w:proofErr w:type="spellStart"/>
      <w:r w:rsidRPr="00D65598">
        <w:rPr>
          <w:i/>
          <w:iCs/>
        </w:rPr>
        <w:t>dhfr</w:t>
      </w:r>
      <w:proofErr w:type="spellEnd"/>
      <w:r w:rsidRPr="00D65598">
        <w:rPr>
          <w:i/>
          <w:iCs/>
        </w:rPr>
        <w:t xml:space="preserve"> </w:t>
      </w:r>
      <w:r w:rsidRPr="00D65598">
        <w:t xml:space="preserve">and </w:t>
      </w:r>
      <w:r w:rsidRPr="00D65598">
        <w:rPr>
          <w:i/>
          <w:iCs/>
        </w:rPr>
        <w:t xml:space="preserve">mdr1 </w:t>
      </w:r>
      <w:r w:rsidRPr="00D65598">
        <w:t>for individual and pooled deep sequenced samples. Samples with similar real-time PCR cycle threshold (</w:t>
      </w:r>
      <w:proofErr w:type="spellStart"/>
      <w:r w:rsidR="005E4171">
        <w:t>ct</w:t>
      </w:r>
      <w:proofErr w:type="spellEnd"/>
      <w:r w:rsidRPr="00D65598">
        <w:t xml:space="preserve">) values (+/- 1.0 </w:t>
      </w:r>
      <w:proofErr w:type="spellStart"/>
      <w:r w:rsidR="005E4171">
        <w:t>ct</w:t>
      </w:r>
      <w:proofErr w:type="spellEnd"/>
      <w:r w:rsidRPr="00D65598">
        <w:t xml:space="preserve"> value) were combined into </w:t>
      </w:r>
      <w:r>
        <w:t xml:space="preserve">1:10 samples per pool. </w:t>
      </w:r>
      <w:r w:rsidRPr="00D65598">
        <w:t>The CT value was used to estimate parasite DNA in each individual</w:t>
      </w:r>
      <w:r w:rsidR="00E162D0">
        <w:t xml:space="preserve"> sample</w:t>
      </w:r>
      <w:r w:rsidRPr="00D65598">
        <w:t xml:space="preserve"> prior to PCR, NGS library preparation and targeted deep amplicon sequencing (TADS) of the </w:t>
      </w:r>
      <w:proofErr w:type="spellStart"/>
      <w:r w:rsidRPr="00D65598">
        <w:rPr>
          <w:i/>
          <w:iCs/>
        </w:rPr>
        <w:t>dhfr</w:t>
      </w:r>
      <w:proofErr w:type="spellEnd"/>
      <w:r w:rsidRPr="00D65598">
        <w:rPr>
          <w:i/>
          <w:iCs/>
        </w:rPr>
        <w:t xml:space="preserve"> </w:t>
      </w:r>
      <w:r w:rsidRPr="00D65598">
        <w:t xml:space="preserve">and </w:t>
      </w:r>
      <w:r w:rsidRPr="00D65598">
        <w:rPr>
          <w:i/>
          <w:iCs/>
        </w:rPr>
        <w:t xml:space="preserve">mdr1 </w:t>
      </w:r>
      <w:r w:rsidRPr="00D65598">
        <w:t xml:space="preserve">genes. In both tests, six of the pooled groups had the expected allele frequency (AF) ratios (e.g., individual AF added together/total pool = </w:t>
      </w:r>
      <w:r>
        <w:t>expected</w:t>
      </w:r>
      <w:r w:rsidRPr="00D65598">
        <w:t xml:space="preserve"> pooled AF). The groups with CT values </w:t>
      </w:r>
      <w:r w:rsidRPr="00D65598">
        <w:rPr>
          <w:color w:val="222222"/>
        </w:rPr>
        <w:t>≥</w:t>
      </w:r>
      <w:r w:rsidRPr="00D65598">
        <w:rPr>
          <w:color w:val="000000"/>
        </w:rPr>
        <w:t>34.0</w:t>
      </w:r>
      <w:r>
        <w:rPr>
          <w:color w:val="000000"/>
        </w:rPr>
        <w:t xml:space="preserve">, equivalent to </w:t>
      </w:r>
      <w:r w:rsidRPr="00D65598">
        <w:rPr>
          <w:color w:val="000000"/>
        </w:rPr>
        <w:t xml:space="preserve">100 parasites per </w:t>
      </w:r>
      <w:proofErr w:type="spellStart"/>
      <w:r w:rsidRPr="00D65598">
        <w:rPr>
          <w:color w:val="000000"/>
        </w:rPr>
        <w:t>uL</w:t>
      </w:r>
      <w:proofErr w:type="spellEnd"/>
      <w:r w:rsidRPr="00D65598">
        <w:rPr>
          <w:color w:val="000000"/>
        </w:rPr>
        <w:t>/blood</w:t>
      </w:r>
      <w:r>
        <w:rPr>
          <w:color w:val="000000"/>
        </w:rPr>
        <w:t>,</w:t>
      </w:r>
      <w:r w:rsidRPr="00D65598">
        <w:rPr>
          <w:color w:val="000000"/>
        </w:rPr>
        <w:t xml:space="preserve"> showed discordant </w:t>
      </w:r>
      <w:r>
        <w:rPr>
          <w:color w:val="000000"/>
        </w:rPr>
        <w:t>AF</w:t>
      </w:r>
      <w:r w:rsidRPr="00D65598">
        <w:rPr>
          <w:color w:val="000000"/>
        </w:rPr>
        <w:t xml:space="preserve"> results for </w:t>
      </w:r>
      <w:proofErr w:type="spellStart"/>
      <w:r w:rsidRPr="00D65598">
        <w:rPr>
          <w:i/>
          <w:iCs/>
          <w:color w:val="000000"/>
        </w:rPr>
        <w:t>dhfr</w:t>
      </w:r>
      <w:proofErr w:type="spellEnd"/>
      <w:r w:rsidRPr="00D65598">
        <w:rPr>
          <w:i/>
          <w:iCs/>
          <w:color w:val="000000"/>
        </w:rPr>
        <w:t xml:space="preserve"> </w:t>
      </w:r>
      <w:r w:rsidRPr="00D65598">
        <w:rPr>
          <w:color w:val="000000"/>
        </w:rPr>
        <w:t xml:space="preserve">and </w:t>
      </w:r>
      <w:r w:rsidRPr="00D65598">
        <w:rPr>
          <w:i/>
          <w:iCs/>
          <w:color w:val="000000"/>
        </w:rPr>
        <w:t xml:space="preserve">mdr1 </w:t>
      </w:r>
      <w:r w:rsidRPr="00D65598">
        <w:rPr>
          <w:color w:val="000000"/>
        </w:rPr>
        <w:t xml:space="preserve">between individual and pooled samples. The discordance in </w:t>
      </w:r>
      <w:r>
        <w:rPr>
          <w:color w:val="000000"/>
        </w:rPr>
        <w:t xml:space="preserve">AF </w:t>
      </w:r>
      <w:r w:rsidRPr="00D65598">
        <w:rPr>
          <w:color w:val="000000"/>
        </w:rPr>
        <w:t>estimation for these groups may have been due to low amounts of parasite DNA</w:t>
      </w:r>
      <w:r>
        <w:rPr>
          <w:color w:val="000000"/>
        </w:rPr>
        <w:t xml:space="preserve">, </w:t>
      </w:r>
      <w:r w:rsidRPr="00D65598">
        <w:rPr>
          <w:color w:val="000000"/>
        </w:rPr>
        <w:t>which can lead to variable PCR amplification efficiencies. Grouping samples with CT values &lt;</w:t>
      </w:r>
      <w:r w:rsidR="00E162D0">
        <w:rPr>
          <w:color w:val="000000"/>
        </w:rPr>
        <w:t xml:space="preserve"> </w:t>
      </w:r>
      <w:r w:rsidRPr="00D65598">
        <w:rPr>
          <w:color w:val="000000"/>
        </w:rPr>
        <w:t>34.0</w:t>
      </w:r>
      <w:r w:rsidR="00E162D0">
        <w:rPr>
          <w:color w:val="000000"/>
        </w:rPr>
        <w:t xml:space="preserve">, or an estimated </w:t>
      </w:r>
      <w:r w:rsidR="0009429E">
        <w:rPr>
          <w:color w:val="000000"/>
        </w:rPr>
        <w:t>more</w:t>
      </w:r>
      <w:r w:rsidR="00E162D0">
        <w:rPr>
          <w:color w:val="000000"/>
        </w:rPr>
        <w:t xml:space="preserve"> than 100 parasites per </w:t>
      </w:r>
      <w:proofErr w:type="spellStart"/>
      <w:r w:rsidR="00E162D0">
        <w:rPr>
          <w:color w:val="000000"/>
        </w:rPr>
        <w:t>uL</w:t>
      </w:r>
      <w:proofErr w:type="spellEnd"/>
      <w:r w:rsidR="00E162D0">
        <w:rPr>
          <w:color w:val="000000"/>
        </w:rPr>
        <w:t xml:space="preserve">/blood, </w:t>
      </w:r>
      <w:r w:rsidRPr="00D65598">
        <w:rPr>
          <w:color w:val="000000"/>
        </w:rPr>
        <w:t xml:space="preserve">prior to pooling and deep sequencing </w:t>
      </w:r>
      <w:r>
        <w:rPr>
          <w:color w:val="000000"/>
        </w:rPr>
        <w:t>yielded</w:t>
      </w:r>
      <w:r w:rsidRPr="00D65598">
        <w:rPr>
          <w:color w:val="000000"/>
        </w:rPr>
        <w:t xml:space="preserve"> </w:t>
      </w:r>
      <w:r>
        <w:rPr>
          <w:color w:val="000000"/>
        </w:rPr>
        <w:t>the expected</w:t>
      </w:r>
      <w:r w:rsidRPr="00D65598">
        <w:rPr>
          <w:color w:val="000000"/>
        </w:rPr>
        <w:t xml:space="preserve"> population level AF for </w:t>
      </w:r>
      <w:proofErr w:type="spellStart"/>
      <w:r w:rsidRPr="00D65598">
        <w:rPr>
          <w:i/>
          <w:iCs/>
          <w:color w:val="000000"/>
        </w:rPr>
        <w:t>dhfr</w:t>
      </w:r>
      <w:proofErr w:type="spellEnd"/>
      <w:r w:rsidRPr="00D65598">
        <w:rPr>
          <w:color w:val="000000"/>
        </w:rPr>
        <w:t xml:space="preserve"> and </w:t>
      </w:r>
      <w:r w:rsidRPr="00D65598">
        <w:rPr>
          <w:i/>
          <w:iCs/>
          <w:color w:val="000000"/>
        </w:rPr>
        <w:t>mdr1</w:t>
      </w:r>
      <w:r w:rsidRPr="00D65598">
        <w:rPr>
          <w:color w:val="000000"/>
        </w:rPr>
        <w:t xml:space="preserve"> genes</w:t>
      </w:r>
      <w:r w:rsidR="0009429E">
        <w:rPr>
          <w:color w:val="000000"/>
        </w:rPr>
        <w:t xml:space="preserve">. </w:t>
      </w:r>
      <w:r>
        <w:rPr>
          <w:color w:val="000000"/>
        </w:rPr>
        <w:t>Pooling samples based on CT values</w:t>
      </w:r>
      <w:r w:rsidR="0009429E">
        <w:rPr>
          <w:color w:val="000000"/>
        </w:rPr>
        <w:t xml:space="preserve"> and/or parasitemia </w:t>
      </w:r>
      <w:r>
        <w:rPr>
          <w:color w:val="000000"/>
        </w:rPr>
        <w:t>prior to deep sequencing</w:t>
      </w:r>
      <w:r w:rsidR="009E7805">
        <w:rPr>
          <w:color w:val="000000"/>
        </w:rPr>
        <w:t xml:space="preserve"> provides</w:t>
      </w:r>
      <w:r w:rsidR="0009429E">
        <w:rPr>
          <w:color w:val="000000"/>
        </w:rPr>
        <w:t xml:space="preserve"> a more</w:t>
      </w:r>
      <w:r w:rsidR="009E7805">
        <w:rPr>
          <w:color w:val="000000"/>
        </w:rPr>
        <w:t xml:space="preserve"> accurate estimate of allele frequencies within </w:t>
      </w:r>
      <w:r w:rsidR="009E7805">
        <w:rPr>
          <w:i/>
          <w:iCs/>
          <w:color w:val="000000"/>
        </w:rPr>
        <w:t>P. falciparum</w:t>
      </w:r>
      <w:r w:rsidR="009E7805">
        <w:rPr>
          <w:color w:val="000000"/>
        </w:rPr>
        <w:t xml:space="preserve"> populations and </w:t>
      </w:r>
      <w:r w:rsidR="0009429E">
        <w:rPr>
          <w:color w:val="000000"/>
        </w:rPr>
        <w:t>can be used</w:t>
      </w:r>
      <w:r w:rsidRPr="00D65598">
        <w:rPr>
          <w:color w:val="000000"/>
        </w:rPr>
        <w:t xml:space="preserve"> for rapid genotyping of large number of samples for drug resistant markers in population-based studies.</w:t>
      </w:r>
    </w:p>
    <w:p w14:paraId="011BD213" w14:textId="77777777" w:rsidR="00907133" w:rsidRPr="00907133" w:rsidRDefault="00907133" w:rsidP="00907133">
      <w:pPr>
        <w:autoSpaceDE w:val="0"/>
        <w:autoSpaceDN w:val="0"/>
        <w:adjustRightInd w:val="0"/>
        <w:spacing w:line="480" w:lineRule="auto"/>
        <w:rPr>
          <w:color w:val="000000"/>
        </w:rPr>
      </w:pPr>
    </w:p>
    <w:p w14:paraId="44484DC1" w14:textId="77777777" w:rsidR="00B91752" w:rsidRDefault="00B91752" w:rsidP="00B91752">
      <w:p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>Introduction</w:t>
      </w:r>
    </w:p>
    <w:p w14:paraId="5BC4C728" w14:textId="54FAB094" w:rsidR="00B91752" w:rsidRDefault="00B91752" w:rsidP="00D00CAE">
      <w:pPr>
        <w:spacing w:line="480" w:lineRule="auto"/>
        <w:rPr>
          <w:rFonts w:cstheme="minorHAnsi"/>
        </w:rPr>
      </w:pPr>
      <w:r w:rsidRPr="00706827">
        <w:rPr>
          <w:rFonts w:cstheme="minorHAnsi"/>
        </w:rPr>
        <w:lastRenderedPageBreak/>
        <w:t>Hispaniola is the only island in the Caribbe</w:t>
      </w:r>
      <w:r>
        <w:rPr>
          <w:rFonts w:cstheme="minorHAnsi"/>
        </w:rPr>
        <w:t>an with reported malaria cases</w:t>
      </w:r>
      <w:r w:rsidR="00C85893">
        <w:rPr>
          <w:rFonts w:cstheme="minorHAnsi"/>
        </w:rPr>
        <w:t>, and</w:t>
      </w:r>
      <w:r w:rsidR="00EB6398">
        <w:rPr>
          <w:rFonts w:cstheme="minorHAnsi"/>
        </w:rPr>
        <w:t xml:space="preserve"> </w:t>
      </w:r>
      <w:r>
        <w:rPr>
          <w:rFonts w:cstheme="minorHAnsi"/>
        </w:rPr>
        <w:t xml:space="preserve">21,430 confirmed malaria cases </w:t>
      </w:r>
      <w:r w:rsidR="00C85893">
        <w:rPr>
          <w:rFonts w:cstheme="minorHAnsi"/>
        </w:rPr>
        <w:t>were reported in Haiti in 2016</w:t>
      </w:r>
      <w:r w:rsidR="00ED09EA">
        <w:rPr>
          <w:rFonts w:cstheme="minorHAnsi"/>
        </w:rPr>
        <w:t xml:space="preserve">. </w:t>
      </w:r>
      <w:r w:rsidR="00ED09EA">
        <w:rPr>
          <w:rFonts w:eastAsiaTheme="minorHAnsi"/>
        </w:rPr>
        <w:t>{Druetz:2018</w:t>
      </w:r>
      <w:proofErr w:type="gramStart"/>
      <w:r w:rsidR="00ED09EA">
        <w:rPr>
          <w:rFonts w:eastAsiaTheme="minorHAnsi"/>
        </w:rPr>
        <w:t>fw}{</w:t>
      </w:r>
      <w:proofErr w:type="gramEnd"/>
      <w:r w:rsidR="00ED09EA">
        <w:rPr>
          <w:rFonts w:eastAsiaTheme="minorHAnsi"/>
        </w:rPr>
        <w:t xml:space="preserve">Vincent:2018fq} </w:t>
      </w:r>
      <w:r w:rsidRPr="00706827">
        <w:rPr>
          <w:rFonts w:cstheme="minorHAnsi"/>
        </w:rPr>
        <w:t xml:space="preserve">The primary vector </w:t>
      </w:r>
      <w:r w:rsidR="00937B0C">
        <w:rPr>
          <w:rFonts w:cstheme="minorHAnsi"/>
        </w:rPr>
        <w:t xml:space="preserve">transmitting </w:t>
      </w:r>
      <w:r w:rsidRPr="00706827">
        <w:rPr>
          <w:rFonts w:cstheme="minorHAnsi"/>
          <w:i/>
          <w:iCs/>
        </w:rPr>
        <w:t>Plasmodium falciparum</w:t>
      </w:r>
      <w:r w:rsidR="00937B0C">
        <w:rPr>
          <w:rFonts w:cstheme="minorHAnsi"/>
          <w:i/>
          <w:iCs/>
        </w:rPr>
        <w:t xml:space="preserve"> </w:t>
      </w:r>
      <w:r w:rsidR="00937B0C" w:rsidRPr="00937B0C">
        <w:rPr>
          <w:rFonts w:cstheme="minorHAnsi"/>
          <w:iCs/>
        </w:rPr>
        <w:t xml:space="preserve">on the island is </w:t>
      </w:r>
      <w:r w:rsidR="00937B0C">
        <w:rPr>
          <w:rFonts w:cstheme="minorHAnsi"/>
          <w:i/>
          <w:iCs/>
        </w:rPr>
        <w:t xml:space="preserve">Anopheles </w:t>
      </w:r>
      <w:proofErr w:type="spellStart"/>
      <w:r w:rsidR="00937B0C">
        <w:rPr>
          <w:rFonts w:cstheme="minorHAnsi"/>
          <w:i/>
          <w:iCs/>
        </w:rPr>
        <w:t>albimanus</w:t>
      </w:r>
      <w:proofErr w:type="spellEnd"/>
      <w:r w:rsidR="00ED09EA">
        <w:rPr>
          <w:rFonts w:cstheme="minorHAnsi"/>
          <w:i/>
          <w:iCs/>
        </w:rPr>
        <w:t xml:space="preserve">. </w:t>
      </w:r>
      <w:r w:rsidR="00ED09EA">
        <w:rPr>
          <w:rFonts w:eastAsiaTheme="minorHAnsi"/>
        </w:rPr>
        <w:t>{WHO:2019ub}</w:t>
      </w:r>
      <w:r w:rsidR="00C85893">
        <w:rPr>
          <w:rFonts w:cstheme="minorHAnsi"/>
        </w:rPr>
        <w:t xml:space="preserve">and approximately </w:t>
      </w:r>
      <w:r>
        <w:rPr>
          <w:rFonts w:cstheme="minorHAnsi"/>
        </w:rPr>
        <w:t xml:space="preserve">98.5% of </w:t>
      </w:r>
      <w:r w:rsidR="00C85893">
        <w:rPr>
          <w:rFonts w:cstheme="minorHAnsi"/>
        </w:rPr>
        <w:t>malaria</w:t>
      </w:r>
      <w:r w:rsidR="00937B0C">
        <w:rPr>
          <w:rFonts w:cstheme="minorHAnsi"/>
        </w:rPr>
        <w:t xml:space="preserve"> in Haiti</w:t>
      </w:r>
      <w:r>
        <w:rPr>
          <w:rFonts w:cstheme="minorHAnsi"/>
        </w:rPr>
        <w:t xml:space="preserve"> </w:t>
      </w:r>
      <w:r w:rsidR="00C85893">
        <w:rPr>
          <w:rFonts w:cstheme="minorHAnsi"/>
        </w:rPr>
        <w:t>is</w:t>
      </w:r>
      <w:r>
        <w:rPr>
          <w:rFonts w:cstheme="minorHAnsi"/>
        </w:rPr>
        <w:t xml:space="preserve"> </w:t>
      </w:r>
      <w:r w:rsidRPr="009051CF">
        <w:rPr>
          <w:rFonts w:cstheme="minorHAnsi"/>
          <w:i/>
        </w:rPr>
        <w:t>Plasmodium falciparum</w:t>
      </w:r>
      <w:r w:rsidR="00ED09EA">
        <w:rPr>
          <w:rFonts w:eastAsiaTheme="minorHAnsi"/>
        </w:rPr>
        <w:t>,</w:t>
      </w:r>
      <w:r w:rsidR="00C85893">
        <w:rPr>
          <w:rFonts w:cstheme="minorHAnsi"/>
        </w:rPr>
        <w:t xml:space="preserve"> with</w:t>
      </w:r>
      <w:r w:rsidR="00937B0C">
        <w:rPr>
          <w:rFonts w:cstheme="minorHAnsi"/>
        </w:rPr>
        <w:t xml:space="preserve"> </w:t>
      </w:r>
      <w:r w:rsidRPr="00732D5F">
        <w:rPr>
          <w:rFonts w:cstheme="minorHAnsi"/>
          <w:i/>
        </w:rPr>
        <w:t>Plasmodium vivax</w:t>
      </w:r>
      <w:r>
        <w:rPr>
          <w:rFonts w:cstheme="minorHAnsi"/>
        </w:rPr>
        <w:t xml:space="preserve"> and </w:t>
      </w:r>
      <w:r w:rsidRPr="00732D5F">
        <w:rPr>
          <w:rFonts w:cstheme="minorHAnsi"/>
          <w:i/>
        </w:rPr>
        <w:t xml:space="preserve">Plasmodium </w:t>
      </w:r>
      <w:proofErr w:type="spellStart"/>
      <w:r w:rsidRPr="00732D5F">
        <w:rPr>
          <w:rFonts w:cstheme="minorHAnsi"/>
          <w:i/>
        </w:rPr>
        <w:t>malariae</w:t>
      </w:r>
      <w:proofErr w:type="spellEnd"/>
      <w:r>
        <w:rPr>
          <w:rFonts w:cstheme="minorHAnsi"/>
        </w:rPr>
        <w:t xml:space="preserve"> </w:t>
      </w:r>
      <w:r w:rsidR="00C85893">
        <w:rPr>
          <w:rFonts w:cstheme="minorHAnsi"/>
        </w:rPr>
        <w:t>reported sporadically</w:t>
      </w:r>
      <w:r w:rsidR="00ED09EA">
        <w:rPr>
          <w:rFonts w:cstheme="minorHAnsi"/>
        </w:rPr>
        <w:t xml:space="preserve">. </w:t>
      </w:r>
      <w:r w:rsidR="00ED09EA">
        <w:rPr>
          <w:rFonts w:eastAsiaTheme="minorHAnsi"/>
        </w:rPr>
        <w:t>{WHO:2019ub}</w:t>
      </w:r>
      <w:r w:rsidR="00A34695">
        <w:rPr>
          <w:rFonts w:cstheme="minorHAnsi"/>
        </w:rPr>
        <w:t>With Haiti’s</w:t>
      </w:r>
      <w:r>
        <w:rPr>
          <w:rFonts w:cstheme="minorHAnsi"/>
        </w:rPr>
        <w:t xml:space="preserve"> national goal of </w:t>
      </w:r>
      <w:r w:rsidR="00C85893">
        <w:rPr>
          <w:rFonts w:cstheme="minorHAnsi"/>
        </w:rPr>
        <w:t>interruption of local transmission of</w:t>
      </w:r>
      <w:r w:rsidR="00A34695">
        <w:rPr>
          <w:rFonts w:cstheme="minorHAnsi"/>
        </w:rPr>
        <w:t xml:space="preserve"> malaria by </w:t>
      </w:r>
      <w:r>
        <w:rPr>
          <w:rFonts w:cstheme="minorHAnsi"/>
        </w:rPr>
        <w:t>202</w:t>
      </w:r>
      <w:r w:rsidR="00DE1064">
        <w:rPr>
          <w:rFonts w:cstheme="minorHAnsi"/>
        </w:rPr>
        <w:t>5</w:t>
      </w:r>
      <w:r w:rsidR="009E559B">
        <w:rPr>
          <w:rFonts w:cstheme="minorHAnsi"/>
        </w:rPr>
        <w:fldChar w:fldCharType="begin"/>
      </w:r>
      <w:r w:rsidR="009E559B">
        <w:rPr>
          <w:rFonts w:cstheme="minorHAnsi"/>
        </w:rPr>
        <w:instrText xml:space="preserve"> ADDIN EN.CITE &lt;EndNote&gt;&lt;Cite&gt;&lt;Author&gt;Paul Jacques Boncy&lt;/Author&gt;&lt;Year&gt;2015&lt;/Year&gt;&lt;RecNum&gt;7&lt;/RecNum&gt;&lt;DisplayText&gt;[6]&lt;/DisplayText&gt;&lt;record&gt;&lt;rec-number&gt;7&lt;/rec-number&gt;&lt;foreign-keys&gt;&lt;key app="EN" db-id="xxexpdtx5tavp8exef3pr5rxvps2fvwzezv5" timestamp="0"&gt;7&lt;/key&gt;&lt;/foreign-keys&gt;&lt;ref-type name="Journal Article"&gt;17&lt;/ref-type&gt;&lt;contributors&gt;&lt;authors&gt;&lt;author&gt;Paul Jacques Boncy, Paul Adrien, Jean Frantz Lemoine, Alexandre Existe, Patricia Jean Henry, Christian Raccurt, Philippe Brasseur, Natael Fenelon, John B Dame, Bernard A Okech, Linda Kaljee, Dwayne Baxa, Eric Prieur, Maha A El Badry, Massimiliano S Tagliamonte, Connie J Mulligan, Tamar E Carter, V Madsen Beau de Rochars, Chelsea Lutz, Dana M Parke, and Marcus J Zervos&lt;/author&gt;&lt;/authors&gt;&lt;/contributors&gt;&lt;titles&gt;&lt;title&gt;Malaria elimination in Haiti by the year 2020: an achievable goal?&lt;/title&gt;&lt;secondary-title&gt;Malaria Journal&lt;/secondary-title&gt;&lt;/titles&gt;&lt;periodical&gt;&lt;full-title&gt;Malaria Journal&lt;/full-title&gt;&lt;/periodical&gt;&lt;volume&gt;14&lt;/volume&gt;&lt;number&gt;237&lt;/number&gt;&lt;dates&gt;&lt;year&gt;2015&lt;/year&gt;&lt;pub-dates&gt;&lt;date&gt;5 June 2015&lt;/date&gt;&lt;/pub-dates&gt;&lt;/dates&gt;&lt;work-type&gt;Malaria Research Article&lt;/work-type&gt;&lt;urls&gt;&lt;related-urls&gt;&lt;url&gt;https://www.ncbi.nlm.nih.gov/pmc/articles/PMC4464116/&lt;/url&gt;&lt;/related-urls&gt;&lt;/urls&gt;&lt;custom2&gt;PMC4464116 &lt;/custom2&gt;&lt;electronic-resource-num&gt;10.1186/s12936-015-0753-9&lt;/electronic-resource-num&gt;&lt;language&gt;English&lt;/language&gt;&lt;/record&gt;&lt;/Cite&gt;&lt;/EndNote&gt;</w:instrText>
      </w:r>
      <w:r w:rsidR="009E559B">
        <w:rPr>
          <w:rFonts w:cstheme="minorHAnsi"/>
        </w:rPr>
        <w:fldChar w:fldCharType="end"/>
      </w:r>
      <w:r>
        <w:rPr>
          <w:rFonts w:cstheme="minorHAnsi"/>
        </w:rPr>
        <w:t>,</w:t>
      </w:r>
      <w:r w:rsidR="00A34695">
        <w:rPr>
          <w:rFonts w:cstheme="minorHAnsi"/>
        </w:rPr>
        <w:t xml:space="preserve"> scale up </w:t>
      </w:r>
      <w:r w:rsidR="00BD0AC6">
        <w:rPr>
          <w:rFonts w:cstheme="minorHAnsi"/>
        </w:rPr>
        <w:t>field diagnostics</w:t>
      </w:r>
      <w:r w:rsidR="0031254E">
        <w:rPr>
          <w:rFonts w:cstheme="minorHAnsi"/>
        </w:rPr>
        <w:t xml:space="preserve">, </w:t>
      </w:r>
      <w:r w:rsidR="00BD0AC6">
        <w:rPr>
          <w:rFonts w:cstheme="minorHAnsi"/>
        </w:rPr>
        <w:t xml:space="preserve">and intervention efforts has recently </w:t>
      </w:r>
      <w:r w:rsidR="00622DDB">
        <w:rPr>
          <w:rFonts w:cstheme="minorHAnsi"/>
        </w:rPr>
        <w:t>occurred</w:t>
      </w:r>
      <w:r w:rsidR="00ED09EA">
        <w:rPr>
          <w:rFonts w:cstheme="minorHAnsi"/>
        </w:rPr>
        <w:t xml:space="preserve">. </w:t>
      </w:r>
      <w:r w:rsidR="00ED09EA">
        <w:rPr>
          <w:rFonts w:eastAsiaTheme="minorHAnsi"/>
        </w:rPr>
        <w:t>{Lemoine:2017cp, Rogier:2020kr}</w:t>
      </w:r>
      <w:r w:rsidR="00ED09EA">
        <w:rPr>
          <w:rFonts w:cstheme="minorHAnsi"/>
        </w:rPr>
        <w:t xml:space="preserve">  </w:t>
      </w:r>
    </w:p>
    <w:p w14:paraId="2779E8BC" w14:textId="4ECC0037" w:rsidR="006D4D8F" w:rsidRDefault="00A34695" w:rsidP="007B2D98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Currently, chloroquine </w:t>
      </w:r>
      <w:r w:rsidR="00D91CE6">
        <w:rPr>
          <w:rFonts w:cstheme="minorHAnsi"/>
        </w:rPr>
        <w:t xml:space="preserve">(CQ) </w:t>
      </w:r>
      <w:r>
        <w:rPr>
          <w:rFonts w:cstheme="minorHAnsi"/>
        </w:rPr>
        <w:t xml:space="preserve">with a single dose of primaquine is the primary treatment for uncomplicated </w:t>
      </w:r>
      <w:r>
        <w:rPr>
          <w:rFonts w:cstheme="minorHAnsi"/>
          <w:i/>
        </w:rPr>
        <w:t xml:space="preserve">P. falciparum </w:t>
      </w:r>
      <w:r w:rsidR="008B2040">
        <w:rPr>
          <w:rFonts w:cstheme="minorHAnsi"/>
        </w:rPr>
        <w:t>malaria in the country</w:t>
      </w:r>
      <w:r w:rsidR="00D91CE6">
        <w:rPr>
          <w:rFonts w:cstheme="minorHAnsi"/>
        </w:rPr>
        <w:t xml:space="preserve"> with second line treatment as </w:t>
      </w:r>
      <w:proofErr w:type="spellStart"/>
      <w:r w:rsidR="00D91CE6">
        <w:rPr>
          <w:rFonts w:cstheme="minorHAnsi"/>
        </w:rPr>
        <w:t>sulfadoxine-pyramethamine</w:t>
      </w:r>
      <w:proofErr w:type="spellEnd"/>
      <w:r w:rsidR="008B2040">
        <w:rPr>
          <w:rFonts w:cstheme="minorHAnsi"/>
        </w:rPr>
        <w:t xml:space="preserve"> </w:t>
      </w:r>
      <w:r w:rsidR="00D91CE6">
        <w:rPr>
          <w:rFonts w:cstheme="minorHAnsi"/>
        </w:rPr>
        <w:t>(SP)</w:t>
      </w:r>
      <w:r w:rsidR="00ED09EA">
        <w:rPr>
          <w:rFonts w:cstheme="minorHAnsi"/>
        </w:rPr>
        <w:t>.</w:t>
      </w:r>
      <w:r w:rsidR="00D91CE6">
        <w:rPr>
          <w:rFonts w:cstheme="minorHAnsi"/>
        </w:rPr>
        <w:t xml:space="preserve"> </w:t>
      </w:r>
      <w:r w:rsidR="00ED09EA">
        <w:rPr>
          <w:rFonts w:eastAsiaTheme="minorHAnsi"/>
        </w:rPr>
        <w:t>{Druetz:2018fw}</w:t>
      </w:r>
      <w:r w:rsidR="00D91CE6">
        <w:rPr>
          <w:rFonts w:cstheme="minorHAnsi"/>
        </w:rPr>
        <w:t xml:space="preserve"> CQ </w:t>
      </w:r>
      <w:r>
        <w:rPr>
          <w:rFonts w:cstheme="minorHAnsi"/>
        </w:rPr>
        <w:t>remain</w:t>
      </w:r>
      <w:r w:rsidR="00D91CE6">
        <w:rPr>
          <w:rFonts w:cstheme="minorHAnsi"/>
        </w:rPr>
        <w:t>ing</w:t>
      </w:r>
      <w:r>
        <w:rPr>
          <w:rFonts w:cstheme="minorHAnsi"/>
        </w:rPr>
        <w:t xml:space="preserve"> efficacious against </w:t>
      </w:r>
      <w:r w:rsidR="00D91CE6">
        <w:rPr>
          <w:rFonts w:cstheme="minorHAnsi"/>
        </w:rPr>
        <w:t>malaria in Haiti</w:t>
      </w:r>
      <w:r w:rsidR="00D63608">
        <w:rPr>
          <w:rFonts w:cstheme="minorHAnsi"/>
        </w:rPr>
        <w:t xml:space="preserve"> and</w:t>
      </w:r>
      <w:r w:rsidR="00D91CE6">
        <w:rPr>
          <w:rFonts w:cstheme="minorHAnsi"/>
        </w:rPr>
        <w:t xml:space="preserve"> offers </w:t>
      </w:r>
      <w:commentRangeStart w:id="1"/>
      <w:r w:rsidR="00D91CE6">
        <w:rPr>
          <w:rFonts w:cstheme="minorHAnsi"/>
        </w:rPr>
        <w:t>many advantages as the country moves towards malaria elimination</w:t>
      </w:r>
      <w:commentRangeEnd w:id="1"/>
      <w:r w:rsidR="00D63608">
        <w:rPr>
          <w:rStyle w:val="CommentReference"/>
        </w:rPr>
        <w:commentReference w:id="1"/>
      </w:r>
      <w:r w:rsidR="00ED09EA">
        <w:rPr>
          <w:rFonts w:cstheme="minorHAnsi"/>
        </w:rPr>
        <w:t>.</w:t>
      </w:r>
      <w:r w:rsidR="00ED09EA" w:rsidRPr="00ED09EA">
        <w:rPr>
          <w:rFonts w:eastAsiaTheme="minorHAnsi"/>
        </w:rPr>
        <w:t xml:space="preserve"> </w:t>
      </w:r>
      <w:r w:rsidR="00ED09EA">
        <w:rPr>
          <w:rFonts w:eastAsiaTheme="minorHAnsi"/>
        </w:rPr>
        <w:t>{WHO:2019ub, Rogier:2020kr}</w:t>
      </w:r>
      <w:r w:rsidR="00126E86">
        <w:rPr>
          <w:rFonts w:cstheme="minorHAnsi"/>
        </w:rPr>
        <w:t xml:space="preserve"> </w:t>
      </w:r>
      <w:r>
        <w:rPr>
          <w:rFonts w:cstheme="minorHAnsi"/>
        </w:rPr>
        <w:t xml:space="preserve">Routine monitoring of the efficacy of the primary and secondary antimalarial treatment is a public health priority for national malaria control </w:t>
      </w:r>
      <w:r w:rsidR="000A59F3">
        <w:rPr>
          <w:rFonts w:cstheme="minorHAnsi"/>
        </w:rPr>
        <w:t>programs</w:t>
      </w:r>
      <w:r w:rsidR="00ED09EA">
        <w:rPr>
          <w:rFonts w:cstheme="minorHAnsi"/>
        </w:rPr>
        <w:t xml:space="preserve">. </w:t>
      </w:r>
      <w:r w:rsidR="00ED09EA">
        <w:rPr>
          <w:rFonts w:eastAsiaTheme="minorHAnsi"/>
        </w:rPr>
        <w:t>{WHO:2019ub}</w:t>
      </w:r>
      <w:r w:rsidR="00D91CE6">
        <w:rPr>
          <w:rFonts w:cstheme="minorHAnsi"/>
        </w:rPr>
        <w:t xml:space="preserve"> Additionally, SP mass-drug administration (MDA) may prove useful for Haiti to clear the parasite reservoir from the population</w:t>
      </w:r>
      <w:r w:rsidR="00DE1064">
        <w:rPr>
          <w:rFonts w:cstheme="minorHAnsi"/>
        </w:rPr>
        <w:t>.</w:t>
      </w:r>
    </w:p>
    <w:p w14:paraId="01C253A5" w14:textId="1E00D854" w:rsidR="00DE1064" w:rsidRPr="00DE1064" w:rsidRDefault="00DE1064" w:rsidP="007B2D98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EC0615">
        <w:rPr>
          <w:rFonts w:cstheme="minorHAnsi"/>
        </w:rPr>
        <w:t>Health facility s</w:t>
      </w:r>
      <w:r w:rsidR="00A34695">
        <w:rPr>
          <w:rFonts w:cstheme="minorHAnsi"/>
        </w:rPr>
        <w:t xml:space="preserve">entinel sites </w:t>
      </w:r>
      <w:r w:rsidR="00EC0615">
        <w:rPr>
          <w:rFonts w:cstheme="minorHAnsi"/>
        </w:rPr>
        <w:t xml:space="preserve">currently </w:t>
      </w:r>
      <w:r w:rsidR="00A34695">
        <w:rPr>
          <w:rFonts w:cstheme="minorHAnsi"/>
        </w:rPr>
        <w:t xml:space="preserve">collect samples for antimalarial drug-resistance </w:t>
      </w:r>
      <w:r w:rsidR="00EC0615">
        <w:rPr>
          <w:rFonts w:cstheme="minorHAnsi"/>
        </w:rPr>
        <w:t>genotyping</w:t>
      </w:r>
      <w:r w:rsidR="006D4D8F">
        <w:rPr>
          <w:rFonts w:cstheme="minorHAnsi"/>
        </w:rPr>
        <w:t xml:space="preserve"> using Sanger sequencing</w:t>
      </w:r>
      <w:r w:rsidR="00EC0615">
        <w:rPr>
          <w:rFonts w:cstheme="minorHAnsi"/>
        </w:rPr>
        <w:t xml:space="preserve"> in Haiti, and to</w:t>
      </w:r>
      <w:r w:rsidR="00A34695">
        <w:rPr>
          <w:rFonts w:cstheme="minorHAnsi"/>
        </w:rPr>
        <w:t xml:space="preserve"> date, no molecular markers for </w:t>
      </w:r>
      <w:r w:rsidR="002F78AC">
        <w:rPr>
          <w:rFonts w:cstheme="minorHAnsi"/>
        </w:rPr>
        <w:t xml:space="preserve">CQ </w:t>
      </w:r>
      <w:r w:rsidR="00A34695">
        <w:rPr>
          <w:rFonts w:cstheme="minorHAnsi"/>
        </w:rPr>
        <w:t xml:space="preserve">resistance have been detected in </w:t>
      </w:r>
      <w:r w:rsidR="00DC0236">
        <w:rPr>
          <w:rFonts w:cstheme="minorHAnsi"/>
        </w:rPr>
        <w:t>the country</w:t>
      </w:r>
      <w:r w:rsidR="007B2D98">
        <w:rPr>
          <w:rFonts w:cstheme="minorHAnsi"/>
        </w:rPr>
        <w:t>.</w:t>
      </w:r>
      <w:r w:rsidR="00DC0236">
        <w:rPr>
          <w:rFonts w:cstheme="minorHAnsi"/>
        </w:rPr>
        <w:t xml:space="preserve"> </w:t>
      </w:r>
      <w:r w:rsidR="007B2D98">
        <w:rPr>
          <w:rFonts w:eastAsiaTheme="minorHAnsi"/>
        </w:rPr>
        <w:t>{Lemoine:2017cp, Rogier:2020kr</w:t>
      </w:r>
      <w:r w:rsidR="007B2D98">
        <w:rPr>
          <w:rFonts w:cstheme="minorHAnsi"/>
        </w:rPr>
        <w:t>}</w:t>
      </w:r>
      <w:r w:rsidR="00A34695">
        <w:rPr>
          <w:rFonts w:cstheme="minorHAnsi"/>
        </w:rPr>
        <w:t xml:space="preserve"> </w:t>
      </w:r>
      <w:r w:rsidR="002F78AC">
        <w:rPr>
          <w:rFonts w:cstheme="minorHAnsi"/>
        </w:rPr>
        <w:t xml:space="preserve">Along with the wild-type CQ genotype, only one triple mutant was found for the pyrimethamine resistance gene </w:t>
      </w:r>
      <w:proofErr w:type="spellStart"/>
      <w:r w:rsidR="002F78AC">
        <w:rPr>
          <w:rFonts w:cstheme="minorHAnsi"/>
          <w:i/>
          <w:iCs/>
        </w:rPr>
        <w:t>dhfr</w:t>
      </w:r>
      <w:proofErr w:type="spellEnd"/>
      <w:r w:rsidR="002F78AC">
        <w:rPr>
          <w:rFonts w:cstheme="minorHAnsi"/>
          <w:i/>
          <w:iCs/>
        </w:rPr>
        <w:t xml:space="preserve">, </w:t>
      </w:r>
      <w:r w:rsidR="002F78AC">
        <w:rPr>
          <w:rFonts w:cstheme="minorHAnsi"/>
        </w:rPr>
        <w:t xml:space="preserve">though </w:t>
      </w:r>
      <w:r w:rsidR="006D4D8F">
        <w:rPr>
          <w:rFonts w:cstheme="minorHAnsi"/>
        </w:rPr>
        <w:t>46% (257/548)</w:t>
      </w:r>
      <w:r w:rsidR="002F78AC">
        <w:rPr>
          <w:rFonts w:cstheme="minorHAnsi"/>
        </w:rPr>
        <w:t xml:space="preserve"> had the S108N point mutation</w:t>
      </w:r>
      <w:r w:rsidR="006D4D8F">
        <w:rPr>
          <w:rFonts w:cstheme="minorHAnsi"/>
        </w:rPr>
        <w:t xml:space="preserve"> </w:t>
      </w:r>
      <w:r w:rsidR="006D4D8F">
        <w:rPr>
          <w:rFonts w:eastAsiaTheme="minorHAnsi"/>
        </w:rPr>
        <w:t>{Rogier:2020kr}</w:t>
      </w:r>
      <w:r w:rsidR="002F78AC">
        <w:rPr>
          <w:rFonts w:cstheme="minorHAnsi"/>
        </w:rPr>
        <w:t xml:space="preserve"> Additionally, only a </w:t>
      </w:r>
      <w:r w:rsidR="00622DDB">
        <w:rPr>
          <w:rFonts w:cstheme="minorHAnsi"/>
        </w:rPr>
        <w:t>single</w:t>
      </w:r>
      <w:r w:rsidR="002F78AC">
        <w:rPr>
          <w:rFonts w:cstheme="minorHAnsi"/>
        </w:rPr>
        <w:t xml:space="preserve"> isolate was found with a mutation </w:t>
      </w:r>
      <w:r w:rsidR="006D4D8F">
        <w:rPr>
          <w:rFonts w:cstheme="minorHAnsi"/>
        </w:rPr>
        <w:t xml:space="preserve">A437G </w:t>
      </w:r>
      <w:r w:rsidR="002F78AC">
        <w:rPr>
          <w:rFonts w:cstheme="minorHAnsi"/>
        </w:rPr>
        <w:t xml:space="preserve">for the </w:t>
      </w:r>
      <w:proofErr w:type="spellStart"/>
      <w:r w:rsidR="002F78AC">
        <w:rPr>
          <w:rFonts w:cstheme="minorHAnsi"/>
        </w:rPr>
        <w:t>sulfadoxine</w:t>
      </w:r>
      <w:proofErr w:type="spellEnd"/>
      <w:r w:rsidR="002F78AC">
        <w:rPr>
          <w:rFonts w:cstheme="minorHAnsi"/>
        </w:rPr>
        <w:t xml:space="preserve"> resistance gene </w:t>
      </w:r>
      <w:proofErr w:type="spellStart"/>
      <w:r w:rsidR="002F78AC">
        <w:rPr>
          <w:rFonts w:cstheme="minorHAnsi"/>
          <w:i/>
          <w:iCs/>
        </w:rPr>
        <w:t>dhps</w:t>
      </w:r>
      <w:proofErr w:type="spellEnd"/>
      <w:r w:rsidR="002F78AC">
        <w:rPr>
          <w:rFonts w:cstheme="minorHAnsi"/>
        </w:rPr>
        <w:t>.</w:t>
      </w:r>
      <w:r w:rsidR="006D4D8F">
        <w:rPr>
          <w:rFonts w:cstheme="minorHAnsi"/>
        </w:rPr>
        <w:t xml:space="preserve"> {</w:t>
      </w:r>
      <w:r w:rsidR="006D4D8F">
        <w:rPr>
          <w:rFonts w:eastAsiaTheme="minorHAnsi"/>
        </w:rPr>
        <w:t>Rogier:2020kr</w:t>
      </w:r>
      <w:r w:rsidR="006D4D8F">
        <w:rPr>
          <w:rFonts w:cstheme="minorHAnsi"/>
        </w:rPr>
        <w:t xml:space="preserve">} </w:t>
      </w:r>
      <w:r w:rsidR="002F78AC">
        <w:rPr>
          <w:rFonts w:cstheme="minorHAnsi"/>
        </w:rPr>
        <w:t xml:space="preserve"> </w:t>
      </w:r>
    </w:p>
    <w:p w14:paraId="72C12C8D" w14:textId="7EA05660" w:rsidR="00A8042C" w:rsidRPr="00EA4B66" w:rsidRDefault="0051751A" w:rsidP="005E4171">
      <w:pPr>
        <w:spacing w:line="480" w:lineRule="auto"/>
        <w:rPr>
          <w:rFonts w:cstheme="minorHAnsi"/>
        </w:rPr>
      </w:pPr>
      <w:r>
        <w:rPr>
          <w:rFonts w:cstheme="minorHAnsi"/>
        </w:rPr>
        <w:tab/>
        <w:t xml:space="preserve">While Sanger sequencing was used previously in drug resistance monitoring in Haiti, </w:t>
      </w:r>
      <w:r w:rsidR="00607EE1">
        <w:rPr>
          <w:rFonts w:cstheme="minorHAnsi"/>
        </w:rPr>
        <w:t xml:space="preserve">future </w:t>
      </w:r>
      <w:r w:rsidR="004606A3">
        <w:rPr>
          <w:rFonts w:cstheme="minorHAnsi"/>
        </w:rPr>
        <w:t xml:space="preserve">work is exploring the utility of using </w:t>
      </w:r>
      <w:r w:rsidR="00607EE1">
        <w:rPr>
          <w:rFonts w:cstheme="minorHAnsi"/>
        </w:rPr>
        <w:t>pooled Targeted Deep Amplicon Sequencing (TADS)</w:t>
      </w:r>
      <w:r w:rsidR="004606A3">
        <w:rPr>
          <w:rFonts w:cstheme="minorHAnsi"/>
        </w:rPr>
        <w:t xml:space="preserve"> for routine population level surveillance</w:t>
      </w:r>
      <w:r w:rsidR="00607EE1">
        <w:rPr>
          <w:rFonts w:cstheme="minorHAnsi"/>
        </w:rPr>
        <w:t>. P</w:t>
      </w:r>
      <w:r>
        <w:rPr>
          <w:rFonts w:cstheme="minorHAnsi"/>
        </w:rPr>
        <w:t xml:space="preserve">ooling of individual samples prior to next generation sequencing </w:t>
      </w:r>
      <w:r w:rsidR="00A8042C">
        <w:rPr>
          <w:rFonts w:cstheme="minorHAnsi"/>
        </w:rPr>
        <w:t>can provide a</w:t>
      </w:r>
      <w:r>
        <w:rPr>
          <w:rFonts w:cstheme="minorHAnsi"/>
        </w:rPr>
        <w:t xml:space="preserve"> more effective strategy for estimation of allele frequencies (AFs).</w:t>
      </w:r>
      <w:r w:rsidR="00A8042C">
        <w:rPr>
          <w:rFonts w:eastAsiaTheme="minorHAnsi"/>
        </w:rPr>
        <w:t xml:space="preserve"> {</w:t>
      </w:r>
      <w:r>
        <w:rPr>
          <w:rFonts w:eastAsiaTheme="minorHAnsi"/>
        </w:rPr>
        <w:t>Taylor:2013fa}</w:t>
      </w:r>
      <w:r>
        <w:rPr>
          <w:rFonts w:cstheme="minorHAnsi"/>
        </w:rPr>
        <w:t xml:space="preserve"> </w:t>
      </w:r>
      <w:r w:rsidR="00A8042C">
        <w:rPr>
          <w:rFonts w:cstheme="minorHAnsi"/>
        </w:rPr>
        <w:t xml:space="preserve">However, SNP discovery and detection using pooled targeted deep amplicon sequencing (TADS) can be </w:t>
      </w:r>
      <w:r w:rsidR="00A8042C">
        <w:rPr>
          <w:rFonts w:cstheme="minorHAnsi"/>
        </w:rPr>
        <w:lastRenderedPageBreak/>
        <w:t xml:space="preserve">accompanied by higher probabilities of sequencing errors, unless </w:t>
      </w:r>
      <w:r w:rsidR="00272FAA">
        <w:rPr>
          <w:rFonts w:cstheme="minorHAnsi"/>
        </w:rPr>
        <w:t xml:space="preserve">read </w:t>
      </w:r>
      <w:r w:rsidR="00A8042C">
        <w:rPr>
          <w:rFonts w:cstheme="minorHAnsi"/>
        </w:rPr>
        <w:t xml:space="preserve">coverage depth used to call SNPs is quite high </w:t>
      </w:r>
      <w:r w:rsidR="00A8042C">
        <w:rPr>
          <w:rFonts w:eastAsiaTheme="minorHAnsi"/>
        </w:rPr>
        <w:t>{Cutler:2010ha} In comparison, TADS of individual samples has lower probabilities of false AF calls</w:t>
      </w:r>
      <w:r w:rsidR="00272FAA">
        <w:rPr>
          <w:rFonts w:eastAsiaTheme="minorHAnsi"/>
        </w:rPr>
        <w:t>{Cutler:2010ha}</w:t>
      </w:r>
      <w:r w:rsidR="00A8042C">
        <w:rPr>
          <w:rFonts w:eastAsiaTheme="minorHAnsi"/>
        </w:rPr>
        <w:t xml:space="preserve">, but </w:t>
      </w:r>
      <w:r w:rsidR="00272FAA">
        <w:rPr>
          <w:rFonts w:eastAsiaTheme="minorHAnsi"/>
        </w:rPr>
        <w:t>is limited to a set number of samples (to obtain sufficient read coverage) and can be prohibitively expensive for large scale population base</w:t>
      </w:r>
      <w:r w:rsidR="002214E3">
        <w:rPr>
          <w:rFonts w:eastAsiaTheme="minorHAnsi"/>
        </w:rPr>
        <w:t>d</w:t>
      </w:r>
      <w:r w:rsidR="00272FAA">
        <w:rPr>
          <w:rFonts w:eastAsiaTheme="minorHAnsi"/>
        </w:rPr>
        <w:t xml:space="preserve"> studies. Thus, pooling can be less efficient when coverage is low and individual sequencing is less efficient with higher expected coverage {Cutler:2010ha}. </w:t>
      </w:r>
    </w:p>
    <w:p w14:paraId="0B0808B2" w14:textId="75B8DE2A" w:rsidR="00A34695" w:rsidRPr="002827AE" w:rsidRDefault="00BA1B16" w:rsidP="005E4171">
      <w:pPr>
        <w:spacing w:line="480" w:lineRule="auto"/>
        <w:rPr>
          <w:color w:val="000000"/>
        </w:rPr>
      </w:pPr>
      <w:r>
        <w:rPr>
          <w:rFonts w:eastAsiaTheme="minorHAnsi"/>
        </w:rPr>
        <w:tab/>
        <w:t xml:space="preserve">To </w:t>
      </w:r>
      <w:r w:rsidR="008A6B2D">
        <w:rPr>
          <w:rFonts w:eastAsiaTheme="minorHAnsi"/>
        </w:rPr>
        <w:t>determine whether</w:t>
      </w:r>
      <w:r w:rsidR="008A6B2D">
        <w:rPr>
          <w:rFonts w:eastAsiaTheme="minorHAnsi"/>
          <w:i/>
          <w:iCs/>
        </w:rPr>
        <w:t xml:space="preserve"> P. falciparum</w:t>
      </w:r>
      <w:r w:rsidR="008A6B2D">
        <w:rPr>
          <w:rFonts w:eastAsiaTheme="minorHAnsi"/>
        </w:rPr>
        <w:t xml:space="preserve"> parasitemia levels also have an effect on</w:t>
      </w:r>
      <w:r w:rsidR="002214E3">
        <w:rPr>
          <w:rFonts w:eastAsiaTheme="minorHAnsi"/>
        </w:rPr>
        <w:t xml:space="preserve"> </w:t>
      </w:r>
      <w:r w:rsidR="004606A3">
        <w:rPr>
          <w:rFonts w:eastAsiaTheme="minorHAnsi"/>
        </w:rPr>
        <w:t xml:space="preserve">final </w:t>
      </w:r>
      <w:r w:rsidR="002214E3">
        <w:rPr>
          <w:rFonts w:eastAsiaTheme="minorHAnsi"/>
        </w:rPr>
        <w:t>AF</w:t>
      </w:r>
      <w:r w:rsidR="000C466A">
        <w:rPr>
          <w:rFonts w:eastAsiaTheme="minorHAnsi"/>
        </w:rPr>
        <w:t xml:space="preserve"> </w:t>
      </w:r>
      <w:r w:rsidR="00D63608">
        <w:rPr>
          <w:rFonts w:eastAsiaTheme="minorHAnsi"/>
        </w:rPr>
        <w:t>estimation</w:t>
      </w:r>
      <w:r w:rsidR="008A6B2D">
        <w:rPr>
          <w:rFonts w:eastAsiaTheme="minorHAnsi"/>
        </w:rPr>
        <w:t xml:space="preserve">, </w:t>
      </w:r>
      <w:r w:rsidRPr="00D65598">
        <w:t>100 samples from a nationwide Haiti drug resistance surveillance study</w:t>
      </w:r>
      <w:r>
        <w:t xml:space="preserve"> were </w:t>
      </w:r>
      <w:r w:rsidR="008A6B2D">
        <w:t xml:space="preserve">sequenced </w:t>
      </w:r>
      <w:r w:rsidR="002214E3">
        <w:t xml:space="preserve">using two </w:t>
      </w:r>
      <w:r w:rsidR="003C755B">
        <w:t xml:space="preserve">TADS </w:t>
      </w:r>
      <w:r w:rsidR="002214E3">
        <w:t>methods</w:t>
      </w:r>
      <w:r w:rsidR="0098493C">
        <w:t xml:space="preserve">: </w:t>
      </w:r>
      <w:r w:rsidR="002214E3">
        <w:t xml:space="preserve">individual </w:t>
      </w:r>
      <w:r w:rsidR="00D63608">
        <w:t>sequenced</w:t>
      </w:r>
      <w:r w:rsidR="0098493C">
        <w:t xml:space="preserve"> samples vs</w:t>
      </w:r>
      <w:r w:rsidR="002214E3">
        <w:t>. pooled</w:t>
      </w:r>
      <w:r w:rsidR="0098493C">
        <w:t xml:space="preserve"> sequenced samples</w:t>
      </w:r>
      <w:r w:rsidR="008A6B2D">
        <w:t xml:space="preserve">. Specifically, the previously published </w:t>
      </w:r>
      <w:r w:rsidR="003C755B">
        <w:t xml:space="preserve">individual patient sample </w:t>
      </w:r>
      <w:r w:rsidR="008A6B2D">
        <w:t>TADS</w:t>
      </w:r>
      <w:r w:rsidR="002214E3">
        <w:t xml:space="preserve"> method</w:t>
      </w:r>
      <w:r w:rsidR="008A6B2D">
        <w:t xml:space="preserve"> </w:t>
      </w:r>
      <w:r w:rsidR="008A6B2D">
        <w:rPr>
          <w:rFonts w:eastAsiaTheme="minorHAnsi"/>
        </w:rPr>
        <w:t>{Talundzic:2018jl}</w:t>
      </w:r>
      <w:r w:rsidR="004606A3">
        <w:rPr>
          <w:rFonts w:eastAsiaTheme="minorHAnsi"/>
        </w:rPr>
        <w:t xml:space="preserve"> </w:t>
      </w:r>
      <w:r w:rsidR="008A6B2D">
        <w:t>was modified to</w:t>
      </w:r>
      <w:r w:rsidR="003C755B">
        <w:t xml:space="preserve"> a pooling strategy </w:t>
      </w:r>
      <w:r w:rsidR="00D63608">
        <w:t>based on parasitemia levels of</w:t>
      </w:r>
      <w:r w:rsidR="008A6B2D">
        <w:t xml:space="preserve"> </w:t>
      </w:r>
      <w:r w:rsidR="00AE4D10">
        <w:t xml:space="preserve">ten </w:t>
      </w:r>
      <w:r w:rsidRPr="00D65598">
        <w:t>samples per pool</w:t>
      </w:r>
      <w:r w:rsidR="00904EF0">
        <w:t xml:space="preserve"> </w:t>
      </w:r>
      <w:r w:rsidR="00AE4D10">
        <w:t>(10:1)</w:t>
      </w:r>
      <w:r w:rsidR="003C755B">
        <w:t xml:space="preserve">. </w:t>
      </w:r>
      <w:r w:rsidR="00607EE1">
        <w:t xml:space="preserve">Our results suggest that </w:t>
      </w:r>
      <w:r w:rsidR="00607EE1">
        <w:rPr>
          <w:color w:val="000000"/>
        </w:rPr>
        <w:t>p</w:t>
      </w:r>
      <w:r w:rsidR="00B778A6">
        <w:rPr>
          <w:color w:val="000000"/>
        </w:rPr>
        <w:t xml:space="preserve">ooling samples based on </w:t>
      </w:r>
      <w:r w:rsidR="00E162D0">
        <w:rPr>
          <w:color w:val="000000"/>
        </w:rPr>
        <w:t xml:space="preserve">estimated </w:t>
      </w:r>
      <w:r w:rsidR="00B778A6">
        <w:rPr>
          <w:color w:val="000000"/>
        </w:rPr>
        <w:t xml:space="preserve">parasitemia </w:t>
      </w:r>
      <w:r w:rsidR="00607EE1">
        <w:rPr>
          <w:color w:val="000000"/>
        </w:rPr>
        <w:t>levels</w:t>
      </w:r>
      <w:r w:rsidR="00E162D0">
        <w:rPr>
          <w:color w:val="000000"/>
        </w:rPr>
        <w:t xml:space="preserve"> </w:t>
      </w:r>
      <w:r w:rsidR="00B778A6">
        <w:rPr>
          <w:color w:val="000000"/>
        </w:rPr>
        <w:t xml:space="preserve">prior to TADS </w:t>
      </w:r>
      <w:r w:rsidR="000C466A">
        <w:rPr>
          <w:color w:val="000000"/>
        </w:rPr>
        <w:t>can improve</w:t>
      </w:r>
      <w:r w:rsidR="002827AE">
        <w:rPr>
          <w:color w:val="000000"/>
        </w:rPr>
        <w:t xml:space="preserve"> final</w:t>
      </w:r>
      <w:r w:rsidR="00DE1064">
        <w:rPr>
          <w:color w:val="000000"/>
        </w:rPr>
        <w:t xml:space="preserve"> </w:t>
      </w:r>
      <w:r w:rsidR="00904EF0">
        <w:rPr>
          <w:color w:val="000000"/>
        </w:rPr>
        <w:t>AFs</w:t>
      </w:r>
      <w:r w:rsidR="000C466A">
        <w:rPr>
          <w:color w:val="000000"/>
        </w:rPr>
        <w:t xml:space="preserve"> </w:t>
      </w:r>
      <w:r w:rsidR="002827AE">
        <w:rPr>
          <w:color w:val="000000"/>
        </w:rPr>
        <w:t>estimations in parasite populations</w:t>
      </w:r>
      <w:r w:rsidR="0098493C">
        <w:rPr>
          <w:color w:val="000000"/>
        </w:rPr>
        <w:t>. However,</w:t>
      </w:r>
      <w:r w:rsidR="000C466A">
        <w:rPr>
          <w:color w:val="000000"/>
        </w:rPr>
        <w:t xml:space="preserve"> at lower parasitemia levels</w:t>
      </w:r>
      <w:r w:rsidR="0098493C">
        <w:rPr>
          <w:color w:val="000000"/>
        </w:rPr>
        <w:t xml:space="preserve"> (less than 40 parasites per </w:t>
      </w:r>
      <w:proofErr w:type="spellStart"/>
      <w:r w:rsidR="0098493C">
        <w:rPr>
          <w:color w:val="000000"/>
        </w:rPr>
        <w:t>uL</w:t>
      </w:r>
      <w:proofErr w:type="spellEnd"/>
      <w:r w:rsidR="0098493C">
        <w:rPr>
          <w:color w:val="000000"/>
        </w:rPr>
        <w:t>) pooled TADS</w:t>
      </w:r>
      <w:r w:rsidR="000C466A">
        <w:rPr>
          <w:color w:val="000000"/>
        </w:rPr>
        <w:t xml:space="preserve"> may over/</w:t>
      </w:r>
      <w:r w:rsidR="0098493C">
        <w:rPr>
          <w:color w:val="000000"/>
        </w:rPr>
        <w:t>underestimate</w:t>
      </w:r>
      <w:r w:rsidR="000C466A">
        <w:rPr>
          <w:color w:val="000000"/>
        </w:rPr>
        <w:t xml:space="preserve"> the true AFs</w:t>
      </w:r>
      <w:r w:rsidR="0098493C">
        <w:rPr>
          <w:color w:val="000000"/>
        </w:rPr>
        <w:t xml:space="preserve"> of drug resistant mutations. In conclusion, pooling samples based on parasitemia </w:t>
      </w:r>
      <w:r w:rsidR="00D63608">
        <w:rPr>
          <w:color w:val="000000"/>
        </w:rPr>
        <w:t xml:space="preserve">levels, as determined by real-time PCR, </w:t>
      </w:r>
      <w:r w:rsidR="0098493C">
        <w:rPr>
          <w:color w:val="000000"/>
        </w:rPr>
        <w:t>prior to sequencing should be</w:t>
      </w:r>
      <w:r w:rsidR="004606A3">
        <w:rPr>
          <w:color w:val="000000"/>
        </w:rPr>
        <w:t xml:space="preserve"> considered </w:t>
      </w:r>
      <w:r w:rsidR="00AE4D10">
        <w:rPr>
          <w:color w:val="000000"/>
        </w:rPr>
        <w:t xml:space="preserve">as </w:t>
      </w:r>
      <w:r w:rsidR="00882596">
        <w:rPr>
          <w:color w:val="000000"/>
        </w:rPr>
        <w:t xml:space="preserve">an </w:t>
      </w:r>
      <w:r w:rsidR="003E50AC">
        <w:rPr>
          <w:color w:val="000000"/>
        </w:rPr>
        <w:t xml:space="preserve">additional </w:t>
      </w:r>
      <w:r w:rsidR="00607EE1">
        <w:rPr>
          <w:color w:val="000000"/>
        </w:rPr>
        <w:t>strategy</w:t>
      </w:r>
      <w:r w:rsidR="00B778A6" w:rsidRPr="00D65598">
        <w:rPr>
          <w:color w:val="000000"/>
        </w:rPr>
        <w:t xml:space="preserve"> for </w:t>
      </w:r>
      <w:r w:rsidR="0031254E">
        <w:rPr>
          <w:color w:val="000000"/>
        </w:rPr>
        <w:t>pre-</w:t>
      </w:r>
      <w:r w:rsidR="00B778A6">
        <w:rPr>
          <w:color w:val="000000"/>
        </w:rPr>
        <w:t xml:space="preserve">screening or </w:t>
      </w:r>
      <w:r w:rsidR="00B778A6" w:rsidRPr="00D65598">
        <w:rPr>
          <w:color w:val="000000"/>
        </w:rPr>
        <w:t xml:space="preserve">genotyping of large number of samples for </w:t>
      </w:r>
      <w:r w:rsidR="00B778A6">
        <w:rPr>
          <w:color w:val="000000"/>
        </w:rPr>
        <w:t>molecular markers of resistance.</w:t>
      </w:r>
    </w:p>
    <w:p w14:paraId="4223A7E1" w14:textId="0C1D7855" w:rsidR="005E4171" w:rsidRPr="00E162D0" w:rsidRDefault="005E4171" w:rsidP="0095562A">
      <w:pPr>
        <w:spacing w:line="480" w:lineRule="auto"/>
        <w:rPr>
          <w:rFonts w:cstheme="minorHAnsi"/>
        </w:rPr>
      </w:pPr>
    </w:p>
    <w:p w14:paraId="33C4DAF5" w14:textId="2B67A4A2" w:rsidR="0095562A" w:rsidRPr="00D65598" w:rsidRDefault="0095562A" w:rsidP="0095562A">
      <w:pPr>
        <w:spacing w:line="480" w:lineRule="auto"/>
        <w:rPr>
          <w:b/>
        </w:rPr>
      </w:pPr>
      <w:r w:rsidRPr="00D65598">
        <w:rPr>
          <w:b/>
        </w:rPr>
        <w:t>Materials and Methods</w:t>
      </w:r>
    </w:p>
    <w:p w14:paraId="2210CA30" w14:textId="6BFC4F10" w:rsidR="0095562A" w:rsidRDefault="0095562A" w:rsidP="0095562A">
      <w:pPr>
        <w:spacing w:line="480" w:lineRule="auto"/>
      </w:pPr>
      <w:r w:rsidRPr="00D65598">
        <w:rPr>
          <w:b/>
        </w:rPr>
        <w:t xml:space="preserve">Human </w:t>
      </w:r>
      <w:r w:rsidR="00882596">
        <w:rPr>
          <w:b/>
        </w:rPr>
        <w:t>s</w:t>
      </w:r>
      <w:r w:rsidRPr="00D65598">
        <w:rPr>
          <w:b/>
        </w:rPr>
        <w:t>ubjects</w:t>
      </w:r>
      <w:r w:rsidR="00882596">
        <w:rPr>
          <w:b/>
        </w:rPr>
        <w:t>.</w:t>
      </w:r>
      <w:r w:rsidRPr="00D65598">
        <w:t xml:space="preserve">  </w:t>
      </w:r>
      <w:r w:rsidR="00C04CF9">
        <w:t xml:space="preserve">Project was approved by Haitian IRB and not considered human subjects research by CDC Human Subjects Office (2015-155). </w:t>
      </w:r>
      <w:r w:rsidR="0076262A">
        <w:t>Dried blood on filter paper was collected</w:t>
      </w:r>
      <w:r w:rsidRPr="00D65598">
        <w:t xml:space="preserve"> </w:t>
      </w:r>
      <w:r w:rsidR="0076262A">
        <w:t xml:space="preserve">from </w:t>
      </w:r>
      <w:r w:rsidRPr="00D65598">
        <w:t xml:space="preserve">March 2016- December 2017 </w:t>
      </w:r>
      <w:r w:rsidR="0076262A">
        <w:t xml:space="preserve">from five health facilities in Haiti </w:t>
      </w:r>
      <w:r w:rsidRPr="00D65598">
        <w:t xml:space="preserve">from </w:t>
      </w:r>
      <w:r w:rsidR="0076262A">
        <w:t xml:space="preserve">persons testing positive to malaria by rapid diagnostic test (RDT, </w:t>
      </w:r>
      <w:proofErr w:type="spellStart"/>
      <w:r w:rsidR="0076262A">
        <w:t>Carestart</w:t>
      </w:r>
      <w:proofErr w:type="spellEnd"/>
      <w:r w:rsidR="0076262A">
        <w:t xml:space="preserve"> </w:t>
      </w:r>
      <w:proofErr w:type="spellStart"/>
      <w:r w:rsidR="0076262A">
        <w:t>Pf</w:t>
      </w:r>
      <w:proofErr w:type="spellEnd"/>
      <w:r w:rsidR="0076262A">
        <w:t xml:space="preserve"> product info)</w:t>
      </w:r>
      <w:r w:rsidRPr="00D65598">
        <w:t xml:space="preserve">. Patients all ages were </w:t>
      </w:r>
      <w:r w:rsidR="0076262A">
        <w:t>enrolled after consenting for testing for molecular markers of malaria</w:t>
      </w:r>
      <w:r w:rsidRPr="00D65598">
        <w:t xml:space="preserve">. </w:t>
      </w:r>
      <w:r w:rsidR="00C04CF9">
        <w:t>Whole blood was collected</w:t>
      </w:r>
      <w:r w:rsidRPr="00D65598">
        <w:t xml:space="preserve"> by </w:t>
      </w:r>
      <w:proofErr w:type="spellStart"/>
      <w:r w:rsidRPr="00D65598">
        <w:t>fingerprick</w:t>
      </w:r>
      <w:proofErr w:type="spellEnd"/>
      <w:r w:rsidRPr="00D65598">
        <w:t xml:space="preserve"> on a Whatman 903 </w:t>
      </w:r>
      <w:r w:rsidR="00C04CF9">
        <w:lastRenderedPageBreak/>
        <w:t xml:space="preserve">Protein </w:t>
      </w:r>
      <w:r w:rsidRPr="00D65598">
        <w:t>Saver card</w:t>
      </w:r>
      <w:r w:rsidR="00C04CF9">
        <w:t>s</w:t>
      </w:r>
      <w:r w:rsidRPr="00D65598">
        <w:t xml:space="preserve"> (GE Healthcare). Each filter paper was air-dried overnight</w:t>
      </w:r>
      <w:r w:rsidR="00C04CF9">
        <w:t>,</w:t>
      </w:r>
      <w:r w:rsidR="00E162D0">
        <w:t xml:space="preserve"> </w:t>
      </w:r>
      <w:r w:rsidRPr="00D65598">
        <w:t>stored in a desiccant containing bag</w:t>
      </w:r>
      <w:r w:rsidR="00C04CF9">
        <w:t xml:space="preserve"> at 4 degrees until shipment to CDC in Atlanta, GA.</w:t>
      </w:r>
      <w:r w:rsidRPr="00D65598">
        <w:t xml:space="preserve"> </w:t>
      </w:r>
    </w:p>
    <w:p w14:paraId="32968141" w14:textId="77777777" w:rsidR="005E4171" w:rsidRDefault="005E4171" w:rsidP="0095562A">
      <w:pPr>
        <w:spacing w:line="480" w:lineRule="auto"/>
      </w:pPr>
    </w:p>
    <w:p w14:paraId="2A3B6865" w14:textId="48DC4BB7" w:rsidR="00882596" w:rsidRDefault="0095562A" w:rsidP="0095562A">
      <w:pPr>
        <w:spacing w:line="480" w:lineRule="auto"/>
      </w:pPr>
      <w:r w:rsidRPr="00D65598">
        <w:rPr>
          <w:b/>
        </w:rPr>
        <w:t xml:space="preserve">DNA </w:t>
      </w:r>
      <w:r w:rsidR="00882596">
        <w:rPr>
          <w:b/>
        </w:rPr>
        <w:t>e</w:t>
      </w:r>
      <w:r w:rsidRPr="00D65598">
        <w:rPr>
          <w:b/>
        </w:rPr>
        <w:t xml:space="preserve">xtraction. </w:t>
      </w:r>
      <w:r w:rsidR="00882596">
        <w:t>T</w:t>
      </w:r>
      <w:r w:rsidR="00C04CF9">
        <w:t>wo</w:t>
      </w:r>
      <w:r w:rsidRPr="00D65598">
        <w:t xml:space="preserve"> 6mm punches </w:t>
      </w:r>
      <w:r w:rsidR="00882596">
        <w:t xml:space="preserve">from dried blood spots (DBS) were used to extract genomic DNA </w:t>
      </w:r>
      <w:r w:rsidRPr="00D65598">
        <w:t>using the Qiagen DNA extraction kit following the manufacturer’s instructions (QIAGEN, Valencia, CA). The DNA was eluted in 150uL of elution buffer aliquoted and stored at -20°C until use.</w:t>
      </w:r>
    </w:p>
    <w:p w14:paraId="71EEC099" w14:textId="77777777" w:rsidR="0028671E" w:rsidRDefault="0028671E" w:rsidP="0095562A">
      <w:pPr>
        <w:spacing w:line="480" w:lineRule="auto"/>
      </w:pPr>
    </w:p>
    <w:p w14:paraId="10376195" w14:textId="2A8562AA" w:rsidR="0028671E" w:rsidRPr="004606A3" w:rsidRDefault="0028671E" w:rsidP="0028671E">
      <w:pPr>
        <w:spacing w:line="480" w:lineRule="auto"/>
        <w:rPr>
          <w:color w:val="000000"/>
          <w:shd w:val="clear" w:color="auto" w:fill="FFFFFF"/>
        </w:rPr>
      </w:pPr>
      <w:r>
        <w:rPr>
          <w:b/>
        </w:rPr>
        <w:t>Parasitemia estimation using PET-PCR</w:t>
      </w:r>
      <w:r w:rsidRPr="00D65598">
        <w:rPr>
          <w:b/>
        </w:rPr>
        <w:t xml:space="preserve">. </w:t>
      </w:r>
      <w:r w:rsidRPr="00D65598">
        <w:t>Following DNA extraction, PET-PCR was performed</w:t>
      </w:r>
      <w:r>
        <w:t xml:space="preserve"> as described previously on 100 samples</w:t>
      </w:r>
      <w:r w:rsidR="004606A3">
        <w:t>.</w:t>
      </w:r>
      <w:r>
        <w:t xml:space="preserve"> </w:t>
      </w:r>
      <w:r w:rsidR="004606A3">
        <w:rPr>
          <w:rFonts w:eastAsiaTheme="minorHAnsi"/>
        </w:rPr>
        <w:t xml:space="preserve">{Talundzic:2014cj, Lucchi:2013gl} </w:t>
      </w:r>
      <w:r w:rsidRPr="00D65598">
        <w:t>Cycle threshold (</w:t>
      </w:r>
      <w:r>
        <w:t>C</w:t>
      </w:r>
      <w:r w:rsidRPr="00D65598">
        <w:t>t) values below 40 considered to be parasitemia positive</w:t>
      </w:r>
      <w:r>
        <w:t xml:space="preserve"> and above 40 </w:t>
      </w:r>
      <w:proofErr w:type="gramStart"/>
      <w:r>
        <w:t>negative</w:t>
      </w:r>
      <w:proofErr w:type="gramEnd"/>
      <w:r w:rsidRPr="00D65598">
        <w:t>.</w:t>
      </w:r>
      <w:r w:rsidR="00691FB7">
        <w:t xml:space="preserve"> </w:t>
      </w:r>
      <w:r w:rsidR="00691FB7" w:rsidRPr="00691FB7">
        <w:rPr>
          <w:color w:val="000000"/>
          <w:shd w:val="clear" w:color="auto" w:fill="FFFFFF"/>
        </w:rPr>
        <w:t>The </w:t>
      </w:r>
      <w:r w:rsidR="004606A3">
        <w:rPr>
          <w:color w:val="000000"/>
          <w:shd w:val="clear" w:color="auto" w:fill="FFFFFF"/>
        </w:rPr>
        <w:t xml:space="preserve">3D7 </w:t>
      </w:r>
      <w:r w:rsidR="00691FB7" w:rsidRPr="00691FB7">
        <w:rPr>
          <w:i/>
          <w:iCs/>
          <w:color w:val="000000"/>
        </w:rPr>
        <w:t>P. falciparum</w:t>
      </w:r>
      <w:r w:rsidR="004606A3">
        <w:rPr>
          <w:i/>
          <w:iCs/>
          <w:color w:val="000000"/>
        </w:rPr>
        <w:t xml:space="preserve"> </w:t>
      </w:r>
      <w:r w:rsidR="004606A3">
        <w:rPr>
          <w:color w:val="000000"/>
        </w:rPr>
        <w:t xml:space="preserve">control </w:t>
      </w:r>
      <w:r w:rsidR="00691FB7" w:rsidRPr="00691FB7">
        <w:rPr>
          <w:color w:val="000000"/>
          <w:shd w:val="clear" w:color="auto" w:fill="FFFFFF"/>
        </w:rPr>
        <w:t>sample was</w:t>
      </w:r>
      <w:r w:rsidR="004606A3">
        <w:rPr>
          <w:color w:val="000000"/>
          <w:shd w:val="clear" w:color="auto" w:fill="FFFFFF"/>
        </w:rPr>
        <w:t xml:space="preserve"> used in a one- and two-fold dilutions (100,000 p/</w:t>
      </w:r>
      <w:proofErr w:type="spellStart"/>
      <w:r w:rsidR="004606A3">
        <w:rPr>
          <w:color w:val="000000"/>
          <w:shd w:val="clear" w:color="auto" w:fill="FFFFFF"/>
        </w:rPr>
        <w:t>uL</w:t>
      </w:r>
      <w:proofErr w:type="spellEnd"/>
      <w:r w:rsidR="004606A3">
        <w:rPr>
          <w:color w:val="000000"/>
          <w:shd w:val="clear" w:color="auto" w:fill="FFFFFF"/>
        </w:rPr>
        <w:t xml:space="preserve"> to 0.1 p/</w:t>
      </w:r>
      <w:proofErr w:type="spellStart"/>
      <w:r w:rsidR="004606A3">
        <w:rPr>
          <w:color w:val="000000"/>
          <w:shd w:val="clear" w:color="auto" w:fill="FFFFFF"/>
        </w:rPr>
        <w:t>uL</w:t>
      </w:r>
      <w:proofErr w:type="spellEnd"/>
      <w:r w:rsidR="004606A3">
        <w:rPr>
          <w:color w:val="000000"/>
          <w:shd w:val="clear" w:color="auto" w:fill="FFFFFF"/>
        </w:rPr>
        <w:t xml:space="preserve"> and 50 p/</w:t>
      </w:r>
      <w:proofErr w:type="spellStart"/>
      <w:r w:rsidR="004606A3">
        <w:rPr>
          <w:color w:val="000000"/>
          <w:shd w:val="clear" w:color="auto" w:fill="FFFFFF"/>
        </w:rPr>
        <w:t>uL</w:t>
      </w:r>
      <w:proofErr w:type="spellEnd"/>
      <w:r w:rsidR="004606A3">
        <w:rPr>
          <w:color w:val="000000"/>
          <w:shd w:val="clear" w:color="auto" w:fill="FFFFFF"/>
        </w:rPr>
        <w:t xml:space="preserve"> to 1.56 p/</w:t>
      </w:r>
      <w:proofErr w:type="spellStart"/>
      <w:r w:rsidR="004606A3">
        <w:rPr>
          <w:color w:val="000000"/>
          <w:shd w:val="clear" w:color="auto" w:fill="FFFFFF"/>
        </w:rPr>
        <w:t>uL</w:t>
      </w:r>
      <w:proofErr w:type="spellEnd"/>
      <w:r w:rsidR="004606A3">
        <w:rPr>
          <w:color w:val="000000"/>
          <w:shd w:val="clear" w:color="auto" w:fill="FFFFFF"/>
        </w:rPr>
        <w:t>, respectively) to estimate parasitemia levels based on PET-PCR CT values</w:t>
      </w:r>
      <w:r w:rsidR="00F509F7">
        <w:rPr>
          <w:color w:val="000000"/>
          <w:shd w:val="clear" w:color="auto" w:fill="FFFFFF"/>
        </w:rPr>
        <w:t xml:space="preserve"> for reach individual sample. </w:t>
      </w:r>
      <w:r w:rsidR="004606A3">
        <w:rPr>
          <w:color w:val="000000"/>
          <w:shd w:val="clear" w:color="auto" w:fill="FFFFFF"/>
        </w:rPr>
        <w:t xml:space="preserve">  </w:t>
      </w:r>
    </w:p>
    <w:p w14:paraId="79295D77" w14:textId="6F5F9043" w:rsidR="0095562A" w:rsidRDefault="0095562A" w:rsidP="0095562A">
      <w:pPr>
        <w:spacing w:line="480" w:lineRule="auto"/>
      </w:pPr>
    </w:p>
    <w:p w14:paraId="728D16F2" w14:textId="0A6851E1" w:rsidR="00443CE3" w:rsidRDefault="0028671E" w:rsidP="0095562A">
      <w:pPr>
        <w:spacing w:line="480" w:lineRule="auto"/>
      </w:pPr>
      <w:r>
        <w:rPr>
          <w:b/>
          <w:bCs/>
        </w:rPr>
        <w:t xml:space="preserve">PCR enrichment of </w:t>
      </w:r>
      <w:proofErr w:type="spellStart"/>
      <w:r>
        <w:rPr>
          <w:b/>
          <w:bCs/>
          <w:i/>
          <w:iCs/>
        </w:rPr>
        <w:t>dhfr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and </w:t>
      </w:r>
      <w:r>
        <w:rPr>
          <w:b/>
          <w:bCs/>
          <w:i/>
          <w:iCs/>
        </w:rPr>
        <w:t xml:space="preserve">mdr1. </w:t>
      </w:r>
      <w:r>
        <w:t xml:space="preserve">PCRs were performed to amplify the full-length </w:t>
      </w:r>
      <w:r>
        <w:rPr>
          <w:i/>
          <w:iCs/>
        </w:rPr>
        <w:t xml:space="preserve">P. falciparum </w:t>
      </w:r>
      <w:proofErr w:type="spellStart"/>
      <w:r>
        <w:rPr>
          <w:i/>
          <w:iCs/>
        </w:rPr>
        <w:t>dhfr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mdr1 </w:t>
      </w:r>
      <w:r>
        <w:t>genes</w:t>
      </w:r>
      <w:r w:rsidR="00443CE3">
        <w:t xml:space="preserve"> for 100 individual DBS patient samples</w:t>
      </w:r>
      <w:r w:rsidR="0093096A">
        <w:t xml:space="preserve">, including the </w:t>
      </w:r>
      <w:r w:rsidR="0093096A">
        <w:rPr>
          <w:i/>
          <w:iCs/>
        </w:rPr>
        <w:t xml:space="preserve">P. falciparum </w:t>
      </w:r>
      <w:r w:rsidR="0093096A">
        <w:t xml:space="preserve">7G7 and HB3 </w:t>
      </w:r>
      <w:r w:rsidR="0093096A">
        <w:rPr>
          <w:i/>
          <w:iCs/>
        </w:rPr>
        <w:t xml:space="preserve">P. falciparum </w:t>
      </w:r>
      <w:r w:rsidR="0093096A">
        <w:t>strains</w:t>
      </w:r>
      <w:r>
        <w:t xml:space="preserve">. </w:t>
      </w:r>
      <w:r w:rsidRPr="0028671E">
        <w:rPr>
          <w:color w:val="000000"/>
          <w:shd w:val="clear" w:color="auto" w:fill="FFFFFF"/>
        </w:rPr>
        <w:t xml:space="preserve">The New England </w:t>
      </w:r>
      <w:proofErr w:type="spellStart"/>
      <w:r w:rsidRPr="0028671E">
        <w:rPr>
          <w:color w:val="000000"/>
          <w:shd w:val="clear" w:color="auto" w:fill="FFFFFF"/>
        </w:rPr>
        <w:t>BioLabs</w:t>
      </w:r>
      <w:proofErr w:type="spellEnd"/>
      <w:r w:rsidRPr="0028671E">
        <w:rPr>
          <w:color w:val="000000"/>
          <w:shd w:val="clear" w:color="auto" w:fill="FFFFFF"/>
        </w:rPr>
        <w:t xml:space="preserve"> (NEB) High Fidelity PCR kit (New England </w:t>
      </w:r>
      <w:proofErr w:type="spellStart"/>
      <w:r w:rsidRPr="0028671E">
        <w:rPr>
          <w:color w:val="000000"/>
          <w:shd w:val="clear" w:color="auto" w:fill="FFFFFF"/>
        </w:rPr>
        <w:t>BioLabs</w:t>
      </w:r>
      <w:proofErr w:type="spellEnd"/>
      <w:r w:rsidRPr="0028671E">
        <w:rPr>
          <w:color w:val="000000"/>
          <w:shd w:val="clear" w:color="auto" w:fill="FFFFFF"/>
        </w:rPr>
        <w:t>, USA; catalog no. 51104) was used to amplify the genes according to the manufacturer's instructions with a 50.0-μl master mix preparation using the 5× GC buffer. </w:t>
      </w:r>
    </w:p>
    <w:p w14:paraId="42BA00F4" w14:textId="77777777" w:rsidR="00F15580" w:rsidRPr="00443CE3" w:rsidRDefault="00F15580" w:rsidP="0095562A">
      <w:pPr>
        <w:spacing w:line="480" w:lineRule="auto"/>
      </w:pPr>
    </w:p>
    <w:p w14:paraId="47B4DF3D" w14:textId="483DC3F0" w:rsidR="0028671E" w:rsidRDefault="00763E44" w:rsidP="0028671E">
      <w:pPr>
        <w:spacing w:line="480" w:lineRule="auto"/>
        <w:rPr>
          <w:color w:val="000000"/>
          <w:shd w:val="clear" w:color="auto" w:fill="FFFFFF"/>
        </w:rPr>
      </w:pPr>
      <w:r>
        <w:rPr>
          <w:b/>
        </w:rPr>
        <w:t xml:space="preserve">Individual patient and pooled patient targeted amplicon deep sequencing </w:t>
      </w:r>
      <w:r w:rsidR="00882596">
        <w:rPr>
          <w:b/>
        </w:rPr>
        <w:t>(TADS)</w:t>
      </w:r>
      <w:r>
        <w:rPr>
          <w:b/>
        </w:rPr>
        <w:t xml:space="preserve">. </w:t>
      </w:r>
      <w:r w:rsidR="005E4171">
        <w:rPr>
          <w:bCs/>
        </w:rPr>
        <w:t xml:space="preserve">The full-length </w:t>
      </w:r>
      <w:proofErr w:type="spellStart"/>
      <w:r w:rsidR="005E4171">
        <w:rPr>
          <w:bCs/>
          <w:i/>
          <w:iCs/>
        </w:rPr>
        <w:t>dhfr</w:t>
      </w:r>
      <w:proofErr w:type="spellEnd"/>
      <w:r w:rsidR="005E4171">
        <w:rPr>
          <w:bCs/>
          <w:i/>
          <w:iCs/>
        </w:rPr>
        <w:t xml:space="preserve"> </w:t>
      </w:r>
      <w:r w:rsidR="005E4171">
        <w:rPr>
          <w:bCs/>
        </w:rPr>
        <w:t xml:space="preserve">and </w:t>
      </w:r>
      <w:r w:rsidR="005E4171">
        <w:rPr>
          <w:bCs/>
          <w:i/>
          <w:iCs/>
        </w:rPr>
        <w:t xml:space="preserve">mdr1 </w:t>
      </w:r>
      <w:r w:rsidR="005E4171">
        <w:rPr>
          <w:bCs/>
        </w:rPr>
        <w:t xml:space="preserve">genes for </w:t>
      </w:r>
      <w:r w:rsidR="0093096A">
        <w:rPr>
          <w:bCs/>
        </w:rPr>
        <w:t xml:space="preserve">the </w:t>
      </w:r>
      <w:r w:rsidR="003E50AC">
        <w:rPr>
          <w:bCs/>
        </w:rPr>
        <w:t>100</w:t>
      </w:r>
      <w:r w:rsidR="0093096A">
        <w:rPr>
          <w:bCs/>
        </w:rPr>
        <w:t xml:space="preserve"> </w:t>
      </w:r>
      <w:proofErr w:type="spellStart"/>
      <w:r w:rsidR="0093096A">
        <w:rPr>
          <w:bCs/>
        </w:rPr>
        <w:t>Haitan</w:t>
      </w:r>
      <w:proofErr w:type="spellEnd"/>
      <w:r w:rsidR="003E50AC">
        <w:rPr>
          <w:bCs/>
        </w:rPr>
        <w:t xml:space="preserve"> </w:t>
      </w:r>
      <w:r w:rsidR="00443CE3">
        <w:rPr>
          <w:bCs/>
        </w:rPr>
        <w:t>samples</w:t>
      </w:r>
      <w:r w:rsidR="005E4171">
        <w:rPr>
          <w:bCs/>
        </w:rPr>
        <w:t xml:space="preserve"> were sequenced using the</w:t>
      </w:r>
      <w:r>
        <w:rPr>
          <w:bCs/>
        </w:rPr>
        <w:t xml:space="preserve"> previously described Malaria Resistance Surveillance (</w:t>
      </w:r>
      <w:proofErr w:type="spellStart"/>
      <w:r>
        <w:rPr>
          <w:bCs/>
        </w:rPr>
        <w:t>MaRS</w:t>
      </w:r>
      <w:proofErr w:type="spellEnd"/>
      <w:r>
        <w:rPr>
          <w:bCs/>
        </w:rPr>
        <w:t>) TADS protocol</w:t>
      </w:r>
      <w:r w:rsidR="005E4171">
        <w:rPr>
          <w:bCs/>
        </w:rPr>
        <w:t xml:space="preserve"> </w:t>
      </w:r>
      <w:r w:rsidR="00AE4D10">
        <w:rPr>
          <w:rFonts w:eastAsiaTheme="minorHAnsi"/>
        </w:rPr>
        <w:t>{Talundzic:2018jl}</w:t>
      </w:r>
      <w:r w:rsidR="00F15580">
        <w:rPr>
          <w:rFonts w:eastAsiaTheme="minorHAnsi"/>
        </w:rPr>
        <w:t xml:space="preserve">. </w:t>
      </w:r>
      <w:r w:rsidR="00443CE3">
        <w:rPr>
          <w:bCs/>
        </w:rPr>
        <w:t xml:space="preserve">For individual patient level </w:t>
      </w:r>
      <w:r w:rsidR="00D93C35">
        <w:rPr>
          <w:bCs/>
        </w:rPr>
        <w:t>sequencing</w:t>
      </w:r>
      <w:r w:rsidR="00443CE3">
        <w:rPr>
          <w:bCs/>
        </w:rPr>
        <w:t xml:space="preserve">, </w:t>
      </w:r>
      <w:r w:rsidR="00D93C35" w:rsidRPr="0028671E">
        <w:rPr>
          <w:color w:val="000000"/>
          <w:shd w:val="clear" w:color="auto" w:fill="FFFFFF"/>
        </w:rPr>
        <w:t>unique sequence indices were added</w:t>
      </w:r>
      <w:r w:rsidR="00D93C35">
        <w:rPr>
          <w:color w:val="000000"/>
          <w:shd w:val="clear" w:color="auto" w:fill="FFFFFF"/>
        </w:rPr>
        <w:t xml:space="preserve"> </w:t>
      </w:r>
      <w:r w:rsidR="00D93C35" w:rsidRPr="0028671E">
        <w:rPr>
          <w:color w:val="000000"/>
          <w:shd w:val="clear" w:color="auto" w:fill="FFFFFF"/>
        </w:rPr>
        <w:t xml:space="preserve">to </w:t>
      </w:r>
      <w:r w:rsidR="00D93C35">
        <w:rPr>
          <w:color w:val="000000"/>
          <w:shd w:val="clear" w:color="auto" w:fill="FFFFFF"/>
        </w:rPr>
        <w:t xml:space="preserve">the </w:t>
      </w:r>
      <w:r w:rsidR="00D93C35" w:rsidRPr="0028671E">
        <w:rPr>
          <w:color w:val="000000"/>
          <w:shd w:val="clear" w:color="auto" w:fill="FFFFFF"/>
        </w:rPr>
        <w:t>pooled PCR amplicons</w:t>
      </w:r>
      <w:r w:rsidR="00D93C35">
        <w:rPr>
          <w:color w:val="000000"/>
          <w:shd w:val="clear" w:color="auto" w:fill="FFFFFF"/>
        </w:rPr>
        <w:t>, prior to pooling all the samples based on patient IDs</w:t>
      </w:r>
      <w:r w:rsidR="00B743AD">
        <w:rPr>
          <w:color w:val="000000"/>
          <w:shd w:val="clear" w:color="auto" w:fill="FFFFFF"/>
        </w:rPr>
        <w:t xml:space="preserve">, and sequenced on a single run. </w:t>
      </w:r>
      <w:r w:rsidR="00D93C35">
        <w:rPr>
          <w:color w:val="000000"/>
          <w:shd w:val="clear" w:color="auto" w:fill="FFFFFF"/>
        </w:rPr>
        <w:t xml:space="preserve">For the pooled level sequencing, similar </w:t>
      </w:r>
      <w:r w:rsidR="005E4171">
        <w:rPr>
          <w:bCs/>
        </w:rPr>
        <w:t>parasitemia values</w:t>
      </w:r>
      <w:r w:rsidR="0062683E">
        <w:rPr>
          <w:bCs/>
        </w:rPr>
        <w:t xml:space="preserve"> (</w:t>
      </w:r>
      <w:proofErr w:type="spellStart"/>
      <w:r w:rsidR="0062683E">
        <w:rPr>
          <w:bCs/>
        </w:rPr>
        <w:t>e.g</w:t>
      </w:r>
      <w:proofErr w:type="spellEnd"/>
      <w:r w:rsidR="0062683E">
        <w:rPr>
          <w:bCs/>
        </w:rPr>
        <w:t>,</w:t>
      </w:r>
      <w:r w:rsidR="00F509F7">
        <w:rPr>
          <w:bCs/>
        </w:rPr>
        <w:t xml:space="preserve"> +/- 1.0</w:t>
      </w:r>
      <w:r w:rsidR="0062683E">
        <w:rPr>
          <w:bCs/>
        </w:rPr>
        <w:t xml:space="preserve"> Ct values, Table 1)</w:t>
      </w:r>
      <w:r w:rsidR="00D93C35">
        <w:rPr>
          <w:bCs/>
        </w:rPr>
        <w:t xml:space="preserve"> were used to pool individual patients in pools of</w:t>
      </w:r>
      <w:r w:rsidR="00211015">
        <w:rPr>
          <w:bCs/>
        </w:rPr>
        <w:t xml:space="preserve"> </w:t>
      </w:r>
      <w:r w:rsidR="003E50AC">
        <w:t>10:1</w:t>
      </w:r>
      <w:r w:rsidR="00D93C35">
        <w:t xml:space="preserve"> </w:t>
      </w:r>
      <w:r w:rsidR="00D93C35">
        <w:lastRenderedPageBreak/>
        <w:t xml:space="preserve">prior to adding unique sequence indices, and then </w:t>
      </w:r>
      <w:r w:rsidR="005E4171">
        <w:t>re-sequenced</w:t>
      </w:r>
      <w:r w:rsidR="00443CE3">
        <w:t xml:space="preserve"> twice, in two separate runs. </w:t>
      </w:r>
      <w:r w:rsidR="0028671E" w:rsidRPr="0028671E">
        <w:rPr>
          <w:color w:val="000000"/>
          <w:shd w:val="clear" w:color="auto" w:fill="FFFFFF"/>
        </w:rPr>
        <w:t xml:space="preserve">Illumina-supported sequencing adaptors and unique sequence indices were added to </w:t>
      </w:r>
      <w:r w:rsidR="0028671E">
        <w:rPr>
          <w:color w:val="000000"/>
          <w:shd w:val="clear" w:color="auto" w:fill="FFFFFF"/>
        </w:rPr>
        <w:t>individual patient</w:t>
      </w:r>
      <w:r w:rsidR="00D93C35">
        <w:rPr>
          <w:color w:val="000000"/>
          <w:shd w:val="clear" w:color="auto" w:fill="FFFFFF"/>
        </w:rPr>
        <w:t xml:space="preserve">s or </w:t>
      </w:r>
      <w:r w:rsidR="0028671E">
        <w:rPr>
          <w:color w:val="000000"/>
          <w:shd w:val="clear" w:color="auto" w:fill="FFFFFF"/>
        </w:rPr>
        <w:t>pooled patient</w:t>
      </w:r>
      <w:r w:rsidR="00443CE3">
        <w:rPr>
          <w:color w:val="000000"/>
          <w:shd w:val="clear" w:color="auto" w:fill="FFFFFF"/>
        </w:rPr>
        <w:t xml:space="preserve"> </w:t>
      </w:r>
      <w:r w:rsidR="00D93C35">
        <w:rPr>
          <w:color w:val="000000"/>
          <w:shd w:val="clear" w:color="auto" w:fill="FFFFFF"/>
        </w:rPr>
        <w:t xml:space="preserve">lots </w:t>
      </w:r>
      <w:r w:rsidR="0028671E" w:rsidRPr="0028671E">
        <w:rPr>
          <w:color w:val="000000"/>
          <w:shd w:val="clear" w:color="auto" w:fill="FFFFFF"/>
        </w:rPr>
        <w:t xml:space="preserve">using the Illumina </w:t>
      </w:r>
      <w:proofErr w:type="spellStart"/>
      <w:r w:rsidR="0028671E" w:rsidRPr="0028671E">
        <w:rPr>
          <w:color w:val="000000"/>
          <w:shd w:val="clear" w:color="auto" w:fill="FFFFFF"/>
        </w:rPr>
        <w:t>Nextera</w:t>
      </w:r>
      <w:proofErr w:type="spellEnd"/>
      <w:r w:rsidR="0028671E" w:rsidRPr="0028671E">
        <w:rPr>
          <w:color w:val="000000"/>
          <w:shd w:val="clear" w:color="auto" w:fill="FFFFFF"/>
        </w:rPr>
        <w:t xml:space="preserve"> XT kit (Illumina; catalog numbers FC-131-1096 and FC-131-1002). This step generates a unique sequence barcode identifier (ID) for each </w:t>
      </w:r>
      <w:r w:rsidR="00443CE3">
        <w:rPr>
          <w:color w:val="000000"/>
          <w:shd w:val="clear" w:color="auto" w:fill="FFFFFF"/>
        </w:rPr>
        <w:t>individual patient sample or pooled sample lot</w:t>
      </w:r>
      <w:r w:rsidR="00B743AD">
        <w:rPr>
          <w:color w:val="000000"/>
          <w:shd w:val="clear" w:color="auto" w:fill="FFFFFF"/>
        </w:rPr>
        <w:t xml:space="preserve">, including the </w:t>
      </w:r>
      <w:r w:rsidR="00D93C35">
        <w:rPr>
          <w:color w:val="000000"/>
          <w:shd w:val="clear" w:color="auto" w:fill="FFFFFF"/>
        </w:rPr>
        <w:t>pooled</w:t>
      </w:r>
      <w:r w:rsidR="0028671E" w:rsidRPr="0028671E">
        <w:rPr>
          <w:color w:val="000000"/>
          <w:shd w:val="clear" w:color="auto" w:fill="FFFFFF"/>
        </w:rPr>
        <w:t xml:space="preserve"> </w:t>
      </w:r>
      <w:proofErr w:type="spellStart"/>
      <w:r w:rsidR="00D93C35">
        <w:rPr>
          <w:i/>
          <w:iCs/>
          <w:color w:val="000000"/>
          <w:shd w:val="clear" w:color="auto" w:fill="FFFFFF"/>
        </w:rPr>
        <w:t>dhfr</w:t>
      </w:r>
      <w:proofErr w:type="spellEnd"/>
      <w:r w:rsidR="00D93C35">
        <w:rPr>
          <w:i/>
          <w:iCs/>
          <w:color w:val="000000"/>
          <w:shd w:val="clear" w:color="auto" w:fill="FFFFFF"/>
        </w:rPr>
        <w:t xml:space="preserve"> </w:t>
      </w:r>
      <w:r w:rsidR="00D93C35">
        <w:rPr>
          <w:color w:val="000000"/>
          <w:shd w:val="clear" w:color="auto" w:fill="FFFFFF"/>
        </w:rPr>
        <w:t xml:space="preserve">and </w:t>
      </w:r>
      <w:r w:rsidR="00D93C35">
        <w:rPr>
          <w:i/>
          <w:iCs/>
          <w:color w:val="000000"/>
          <w:shd w:val="clear" w:color="auto" w:fill="FFFFFF"/>
        </w:rPr>
        <w:t xml:space="preserve">mdr1 </w:t>
      </w:r>
      <w:r w:rsidR="0028671E" w:rsidRPr="0028671E">
        <w:rPr>
          <w:color w:val="000000"/>
          <w:shd w:val="clear" w:color="auto" w:fill="FFFFFF"/>
        </w:rPr>
        <w:t>gene</w:t>
      </w:r>
      <w:r w:rsidR="00B743AD">
        <w:rPr>
          <w:color w:val="000000"/>
          <w:shd w:val="clear" w:color="auto" w:fill="FFFFFF"/>
        </w:rPr>
        <w:t xml:space="preserve">s. The Nano </w:t>
      </w:r>
      <w:proofErr w:type="spellStart"/>
      <w:r w:rsidR="00B743AD">
        <w:rPr>
          <w:color w:val="000000"/>
          <w:shd w:val="clear" w:color="auto" w:fill="FFFFFF"/>
        </w:rPr>
        <w:t>MiSeq</w:t>
      </w:r>
      <w:proofErr w:type="spellEnd"/>
      <w:r w:rsidR="00B743AD">
        <w:rPr>
          <w:color w:val="000000"/>
          <w:shd w:val="clear" w:color="auto" w:fill="FFFFFF"/>
        </w:rPr>
        <w:t xml:space="preserve"> </w:t>
      </w:r>
      <w:proofErr w:type="spellStart"/>
      <w:r w:rsidR="00B743AD">
        <w:rPr>
          <w:color w:val="000000"/>
          <w:shd w:val="clear" w:color="auto" w:fill="FFFFFF"/>
        </w:rPr>
        <w:t>Reagant</w:t>
      </w:r>
      <w:proofErr w:type="spellEnd"/>
      <w:r w:rsidR="00B743AD">
        <w:rPr>
          <w:color w:val="000000"/>
          <w:shd w:val="clear" w:color="auto" w:fill="FFFFFF"/>
        </w:rPr>
        <w:t xml:space="preserve"> Kit V2 250 by 250 base pair kit (</w:t>
      </w:r>
      <w:r w:rsidR="00B743AD" w:rsidRPr="0028671E">
        <w:rPr>
          <w:color w:val="000000"/>
          <w:shd w:val="clear" w:color="auto" w:fill="FFFFFF"/>
        </w:rPr>
        <w:t>Illumina; catalog numbers FC-1</w:t>
      </w:r>
      <w:r w:rsidR="00B743AD">
        <w:rPr>
          <w:color w:val="000000"/>
          <w:shd w:val="clear" w:color="auto" w:fill="FFFFFF"/>
        </w:rPr>
        <w:t xml:space="preserve">02-2003) was used for all three sequencing runs. </w:t>
      </w:r>
    </w:p>
    <w:p w14:paraId="284891A0" w14:textId="77777777" w:rsidR="00DE1064" w:rsidRDefault="00DE1064" w:rsidP="00DE1064">
      <w:pPr>
        <w:spacing w:line="480" w:lineRule="auto"/>
        <w:rPr>
          <w:b/>
          <w:bCs/>
        </w:rPr>
      </w:pPr>
    </w:p>
    <w:p w14:paraId="40103860" w14:textId="2489AFE3" w:rsidR="003C755B" w:rsidRDefault="00DE1064" w:rsidP="003C755B">
      <w:pPr>
        <w:spacing w:line="480" w:lineRule="auto"/>
        <w:rPr>
          <w:color w:val="000000"/>
          <w:shd w:val="clear" w:color="auto" w:fill="FFFFFF"/>
        </w:rPr>
      </w:pPr>
      <w:r w:rsidRPr="005E4171">
        <w:rPr>
          <w:b/>
          <w:bCs/>
        </w:rPr>
        <w:t>Data analysis</w:t>
      </w:r>
      <w:r w:rsidR="00142896">
        <w:rPr>
          <w:b/>
          <w:bCs/>
        </w:rPr>
        <w:t xml:space="preserve"> and visualization</w:t>
      </w:r>
      <w:r w:rsidRPr="005E4171">
        <w:rPr>
          <w:b/>
          <w:bCs/>
        </w:rPr>
        <w:t xml:space="preserve">. </w:t>
      </w:r>
      <w:r w:rsidR="003C755B">
        <w:rPr>
          <w:color w:val="000000"/>
          <w:shd w:val="clear" w:color="auto" w:fill="FFFFFF"/>
        </w:rPr>
        <w:t>The next-generation sequencing analysis toolkit (</w:t>
      </w:r>
      <w:proofErr w:type="spellStart"/>
      <w:r w:rsidR="003C755B">
        <w:rPr>
          <w:color w:val="000000"/>
          <w:shd w:val="clear" w:color="auto" w:fill="FFFFFF"/>
        </w:rPr>
        <w:t>NeST</w:t>
      </w:r>
      <w:proofErr w:type="spellEnd"/>
      <w:r w:rsidR="003C755B">
        <w:rPr>
          <w:color w:val="000000"/>
          <w:shd w:val="clear" w:color="auto" w:fill="FFFFFF"/>
        </w:rPr>
        <w:t>) (</w:t>
      </w:r>
      <w:hyperlink r:id="rId12" w:tgtFrame="_blank" w:history="1">
        <w:r w:rsidR="003C755B">
          <w:rPr>
            <w:rStyle w:val="Hyperlink"/>
            <w:color w:val="642A8F"/>
          </w:rPr>
          <w:t>https://github.com/CDCgov/MaRS</w:t>
        </w:r>
      </w:hyperlink>
      <w:r w:rsidR="003C755B">
        <w:rPr>
          <w:color w:val="000000"/>
          <w:shd w:val="clear" w:color="auto" w:fill="FFFFFF"/>
        </w:rPr>
        <w:t xml:space="preserve">) was used to call non-synonymous </w:t>
      </w:r>
      <w:r w:rsidR="00F15580">
        <w:rPr>
          <w:color w:val="000000"/>
          <w:shd w:val="clear" w:color="auto" w:fill="FFFFFF"/>
        </w:rPr>
        <w:t xml:space="preserve">single </w:t>
      </w:r>
      <w:r w:rsidR="003C755B">
        <w:rPr>
          <w:color w:val="000000"/>
          <w:shd w:val="clear" w:color="auto" w:fill="FFFFFF"/>
        </w:rPr>
        <w:t>nucleotide polymorphisms (SNPs) in</w:t>
      </w:r>
      <w:r w:rsidR="003C755B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3C755B">
        <w:rPr>
          <w:rStyle w:val="Emphasis"/>
          <w:color w:val="000000"/>
        </w:rPr>
        <w:t>dhfr</w:t>
      </w:r>
      <w:proofErr w:type="spellEnd"/>
      <w:r w:rsidR="003C755B">
        <w:rPr>
          <w:rStyle w:val="apple-converted-space"/>
          <w:color w:val="000000"/>
          <w:shd w:val="clear" w:color="auto" w:fill="FFFFFF"/>
        </w:rPr>
        <w:t> </w:t>
      </w:r>
      <w:r w:rsidR="003C755B">
        <w:rPr>
          <w:color w:val="000000"/>
          <w:shd w:val="clear" w:color="auto" w:fill="FFFFFF"/>
        </w:rPr>
        <w:t>and</w:t>
      </w:r>
      <w:r w:rsidR="003C755B">
        <w:rPr>
          <w:rStyle w:val="apple-converted-space"/>
          <w:color w:val="000000"/>
          <w:shd w:val="clear" w:color="auto" w:fill="FFFFFF"/>
        </w:rPr>
        <w:t> </w:t>
      </w:r>
      <w:r w:rsidR="003C755B">
        <w:rPr>
          <w:rStyle w:val="Emphasis"/>
          <w:color w:val="000000"/>
        </w:rPr>
        <w:t>mdr1</w:t>
      </w:r>
      <w:r w:rsidR="003C755B">
        <w:rPr>
          <w:rStyle w:val="apple-converted-space"/>
          <w:color w:val="000000"/>
          <w:shd w:val="clear" w:color="auto" w:fill="FFFFFF"/>
        </w:rPr>
        <w:t> </w:t>
      </w:r>
      <w:r w:rsidR="003C755B">
        <w:rPr>
          <w:color w:val="000000"/>
          <w:shd w:val="clear" w:color="auto" w:fill="FFFFFF"/>
        </w:rPr>
        <w:t>genes</w:t>
      </w:r>
      <w:r w:rsidR="003D47E8">
        <w:rPr>
          <w:color w:val="000000"/>
          <w:shd w:val="clear" w:color="auto" w:fill="FFFFFF"/>
        </w:rPr>
        <w:t xml:space="preserve"> using the same quality threshold cut-offs for the individual and pooled sequenced samples</w:t>
      </w:r>
      <w:r w:rsidR="007248CD">
        <w:rPr>
          <w:color w:val="000000"/>
          <w:shd w:val="clear" w:color="auto" w:fill="FFFFFF"/>
        </w:rPr>
        <w:t>.</w:t>
      </w:r>
      <w:r w:rsidR="003C755B">
        <w:rPr>
          <w:color w:val="000000"/>
          <w:shd w:val="clear" w:color="auto" w:fill="FFFFFF"/>
        </w:rPr>
        <w:t xml:space="preserve"> All SNPs were also </w:t>
      </w:r>
      <w:r w:rsidR="007248CD">
        <w:rPr>
          <w:color w:val="000000"/>
          <w:shd w:val="clear" w:color="auto" w:fill="FFFFFF"/>
        </w:rPr>
        <w:t xml:space="preserve">visually </w:t>
      </w:r>
      <w:r w:rsidR="003C755B">
        <w:rPr>
          <w:color w:val="000000"/>
          <w:shd w:val="clear" w:color="auto" w:fill="FFFFFF"/>
        </w:rPr>
        <w:t xml:space="preserve">confirmed using the </w:t>
      </w:r>
      <w:proofErr w:type="spellStart"/>
      <w:r w:rsidR="003C755B">
        <w:rPr>
          <w:color w:val="000000"/>
          <w:shd w:val="clear" w:color="auto" w:fill="FFFFFF"/>
        </w:rPr>
        <w:t>Geneious</w:t>
      </w:r>
      <w:proofErr w:type="spellEnd"/>
      <w:r w:rsidR="003C755B">
        <w:rPr>
          <w:color w:val="000000"/>
          <w:shd w:val="clear" w:color="auto" w:fill="FFFFFF"/>
        </w:rPr>
        <w:t xml:space="preserve"> Prime software (</w:t>
      </w:r>
      <w:hyperlink r:id="rId13" w:tgtFrame="_blank" w:history="1">
        <w:r w:rsidR="003C755B">
          <w:rPr>
            <w:rStyle w:val="Hyperlink"/>
            <w:color w:val="642A8F"/>
          </w:rPr>
          <w:t>www.geneious.com</w:t>
        </w:r>
      </w:hyperlink>
      <w:r w:rsidR="003C755B">
        <w:rPr>
          <w:color w:val="000000"/>
          <w:shd w:val="clear" w:color="auto" w:fill="FFFFFF"/>
        </w:rPr>
        <w:t>).</w:t>
      </w:r>
      <w:r w:rsidR="007248CD">
        <w:rPr>
          <w:color w:val="000000"/>
          <w:shd w:val="clear" w:color="auto" w:fill="FFFFFF"/>
        </w:rPr>
        <w:t xml:space="preserve"> </w:t>
      </w:r>
      <w:r w:rsidR="00142896">
        <w:rPr>
          <w:color w:val="000000"/>
          <w:shd w:val="clear" w:color="auto" w:fill="FFFFFF"/>
        </w:rPr>
        <w:t>Data visualization (figure generation) was performed using the python seaborn 0.10.1 package (</w:t>
      </w:r>
      <w:r w:rsidR="00142896" w:rsidRPr="00142896">
        <w:rPr>
          <w:color w:val="000000"/>
          <w:shd w:val="clear" w:color="auto" w:fill="FFFFFF"/>
        </w:rPr>
        <w:t>https://seaborn.pydata.org</w:t>
      </w:r>
      <w:r w:rsidR="00142896">
        <w:rPr>
          <w:color w:val="000000"/>
          <w:shd w:val="clear" w:color="auto" w:fill="FFFFFF"/>
        </w:rPr>
        <w:t xml:space="preserve">). </w:t>
      </w:r>
    </w:p>
    <w:p w14:paraId="24327B00" w14:textId="3FA57BCD" w:rsidR="0055367F" w:rsidRDefault="0055367F" w:rsidP="003C755B">
      <w:pPr>
        <w:spacing w:line="480" w:lineRule="auto"/>
        <w:rPr>
          <w:color w:val="000000"/>
          <w:shd w:val="clear" w:color="auto" w:fill="FFFFFF"/>
        </w:rPr>
      </w:pPr>
    </w:p>
    <w:p w14:paraId="4A8B4848" w14:textId="0BC526BA" w:rsidR="0055367F" w:rsidRDefault="0055367F" w:rsidP="003C755B">
      <w:pPr>
        <w:spacing w:line="480" w:lineRule="auto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Individual vs</w:t>
      </w:r>
      <w:r w:rsidR="00142896">
        <w:rPr>
          <w:b/>
          <w:bCs/>
          <w:color w:val="000000"/>
          <w:shd w:val="clear" w:color="auto" w:fill="FFFFFF"/>
        </w:rPr>
        <w:t>.</w:t>
      </w:r>
      <w:r>
        <w:rPr>
          <w:b/>
          <w:bCs/>
          <w:color w:val="000000"/>
          <w:shd w:val="clear" w:color="auto" w:fill="FFFFFF"/>
        </w:rPr>
        <w:t xml:space="preserve"> pooled comparison. </w:t>
      </w:r>
      <w:r w:rsidR="003D47E8">
        <w:rPr>
          <w:color w:val="000000"/>
          <w:shd w:val="clear" w:color="auto" w:fill="FFFFFF"/>
        </w:rPr>
        <w:t xml:space="preserve">All the individual samples were sequenced using exactly the same procedure used to process and sequence the pooled samples. </w:t>
      </w:r>
      <w:r>
        <w:rPr>
          <w:color w:val="000000"/>
          <w:shd w:val="clear" w:color="auto" w:fill="FFFFFF"/>
        </w:rPr>
        <w:t xml:space="preserve">Individual sequenced samples allele frequency (AF) calls for </w:t>
      </w:r>
      <w:proofErr w:type="spellStart"/>
      <w:r>
        <w:rPr>
          <w:i/>
          <w:iCs/>
          <w:color w:val="000000"/>
          <w:shd w:val="clear" w:color="auto" w:fill="FFFFFF"/>
        </w:rPr>
        <w:t>dhfr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and </w:t>
      </w:r>
      <w:r>
        <w:rPr>
          <w:i/>
          <w:iCs/>
          <w:color w:val="000000"/>
          <w:shd w:val="clear" w:color="auto" w:fill="FFFFFF"/>
        </w:rPr>
        <w:t xml:space="preserve">mdr1 </w:t>
      </w:r>
      <w:r>
        <w:rPr>
          <w:color w:val="000000"/>
          <w:shd w:val="clear" w:color="auto" w:fill="FFFFFF"/>
        </w:rPr>
        <w:t xml:space="preserve">were used to determine the expected AF of the 10:1 pooled </w:t>
      </w:r>
      <w:proofErr w:type="gramStart"/>
      <w:r>
        <w:rPr>
          <w:color w:val="000000"/>
          <w:shd w:val="clear" w:color="auto" w:fill="FFFFFF"/>
        </w:rPr>
        <w:t>samples</w:t>
      </w:r>
      <w:proofErr w:type="gramEnd"/>
      <w:r>
        <w:rPr>
          <w:color w:val="000000"/>
          <w:shd w:val="clear" w:color="auto" w:fill="FFFFFF"/>
        </w:rPr>
        <w:t xml:space="preserve"> as follows: </w:t>
      </w:r>
      <w:r w:rsidRPr="00D65598">
        <w:t xml:space="preserve">individual AF </w:t>
      </w:r>
      <w:r>
        <w:t xml:space="preserve">per sample were </w:t>
      </w:r>
      <w:r w:rsidRPr="00D65598">
        <w:t>added together</w:t>
      </w:r>
      <w:r>
        <w:t xml:space="preserve"> and then divided by 10 to estimate the expected pooled AF. Importantly, all samples were mono infections and only </w:t>
      </w:r>
      <w:r>
        <w:rPr>
          <w:color w:val="000000"/>
          <w:shd w:val="clear" w:color="auto" w:fill="FFFFFF"/>
        </w:rPr>
        <w:t>major AF (&gt;99%) in</w:t>
      </w:r>
      <w:r>
        <w:t xml:space="preserve"> </w:t>
      </w:r>
      <w:proofErr w:type="spellStart"/>
      <w:r>
        <w:rPr>
          <w:i/>
          <w:iCs/>
        </w:rPr>
        <w:t>dhfr</w:t>
      </w:r>
      <w:proofErr w:type="spellEnd"/>
      <w:r>
        <w:rPr>
          <w:i/>
          <w:iCs/>
        </w:rPr>
        <w:t xml:space="preserve"> (</w:t>
      </w:r>
      <w:r>
        <w:rPr>
          <w:color w:val="000000"/>
          <w:shd w:val="clear" w:color="auto" w:fill="FFFFFF"/>
        </w:rPr>
        <w:t>N51I, C59R and S108N)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mdr1 </w:t>
      </w:r>
      <w:r>
        <w:t>(</w:t>
      </w:r>
      <w:r>
        <w:rPr>
          <w:color w:val="000000"/>
          <w:shd w:val="clear" w:color="auto" w:fill="FFFFFF"/>
        </w:rPr>
        <w:t>Y184F, S1034C, N1042D, and D1246Y) were used for this analysis. Samples were combined based on estimated parasitemia levels prior to pooling and sequencing to limit the possibility of a single sample AF calls biasing the expected AF of the pool</w:t>
      </w:r>
      <w:r w:rsidR="00142896">
        <w:rPr>
          <w:color w:val="000000"/>
          <w:shd w:val="clear" w:color="auto" w:fill="FFFFFF"/>
        </w:rPr>
        <w:t>ed samples</w:t>
      </w:r>
      <w:r>
        <w:rPr>
          <w:color w:val="000000"/>
          <w:shd w:val="clear" w:color="auto" w:fill="FFFFFF"/>
        </w:rPr>
        <w:t xml:space="preserve">. </w:t>
      </w:r>
    </w:p>
    <w:p w14:paraId="71F419DA" w14:textId="77777777" w:rsidR="0055367F" w:rsidRPr="0055367F" w:rsidRDefault="0055367F" w:rsidP="003C755B">
      <w:pPr>
        <w:spacing w:line="480" w:lineRule="auto"/>
      </w:pPr>
    </w:p>
    <w:p w14:paraId="0C98229F" w14:textId="5F3F1FEC" w:rsidR="00DE1064" w:rsidRDefault="00F15580" w:rsidP="0028671E">
      <w:pPr>
        <w:spacing w:line="480" w:lineRule="auto"/>
        <w:rPr>
          <w:color w:val="000000"/>
          <w:shd w:val="clear" w:color="auto" w:fill="FFFFFF"/>
        </w:rPr>
      </w:pPr>
      <w:r>
        <w:rPr>
          <w:b/>
          <w:bCs/>
        </w:rPr>
        <w:t>Results</w:t>
      </w:r>
    </w:p>
    <w:p w14:paraId="196B6081" w14:textId="7ABEA784" w:rsidR="00595CB5" w:rsidRPr="0091275E" w:rsidRDefault="00B84E0E" w:rsidP="0028671E">
      <w:pPr>
        <w:spacing w:line="48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From the individual sample sequenced method, high</w:t>
      </w:r>
      <w:r w:rsidR="00B03712">
        <w:rPr>
          <w:color w:val="000000"/>
          <w:shd w:val="clear" w:color="auto" w:fill="FFFFFF"/>
        </w:rPr>
        <w:t xml:space="preserve"> </w:t>
      </w:r>
      <w:r w:rsidR="007035BE">
        <w:rPr>
          <w:color w:val="000000"/>
          <w:shd w:val="clear" w:color="auto" w:fill="FFFFFF"/>
        </w:rPr>
        <w:t xml:space="preserve">quality </w:t>
      </w:r>
      <w:r w:rsidR="00364CE0">
        <w:rPr>
          <w:color w:val="000000"/>
          <w:shd w:val="clear" w:color="auto" w:fill="FFFFFF"/>
        </w:rPr>
        <w:t xml:space="preserve">reads </w:t>
      </w:r>
      <w:r>
        <w:rPr>
          <w:color w:val="000000"/>
          <w:shd w:val="clear" w:color="auto" w:fill="FFFFFF"/>
        </w:rPr>
        <w:t xml:space="preserve">for </w:t>
      </w:r>
      <w:r w:rsidR="003261F7">
        <w:rPr>
          <w:color w:val="000000"/>
          <w:shd w:val="clear" w:color="auto" w:fill="FFFFFF"/>
        </w:rPr>
        <w:t>88% (</w:t>
      </w:r>
      <w:r>
        <w:rPr>
          <w:color w:val="000000"/>
          <w:shd w:val="clear" w:color="auto" w:fill="FFFFFF"/>
        </w:rPr>
        <w:t>88/100</w:t>
      </w:r>
      <w:r w:rsidR="003261F7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dhfr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and </w:t>
      </w:r>
      <w:r w:rsidR="003261F7">
        <w:rPr>
          <w:color w:val="000000"/>
          <w:shd w:val="clear" w:color="auto" w:fill="FFFFFF"/>
        </w:rPr>
        <w:t>70% (</w:t>
      </w:r>
      <w:r>
        <w:rPr>
          <w:color w:val="000000"/>
          <w:shd w:val="clear" w:color="auto" w:fill="FFFFFF"/>
        </w:rPr>
        <w:t>70/100</w:t>
      </w:r>
      <w:r w:rsidR="003261F7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 xml:space="preserve">mdr1 </w:t>
      </w:r>
      <w:r>
        <w:rPr>
          <w:color w:val="000000"/>
          <w:shd w:val="clear" w:color="auto" w:fill="FFFFFF"/>
        </w:rPr>
        <w:t xml:space="preserve">samples were obtained, Figure 1. </w:t>
      </w:r>
      <w:r w:rsidR="007035BE">
        <w:rPr>
          <w:color w:val="000000"/>
          <w:shd w:val="clear" w:color="auto" w:fill="FFFFFF"/>
        </w:rPr>
        <w:t>In comparison, for the pooled</w:t>
      </w:r>
      <w:r w:rsidR="00B03712">
        <w:rPr>
          <w:color w:val="000000"/>
          <w:shd w:val="clear" w:color="auto" w:fill="FFFFFF"/>
        </w:rPr>
        <w:t xml:space="preserve"> sequenced</w:t>
      </w:r>
      <w:r w:rsidR="007035BE">
        <w:rPr>
          <w:color w:val="000000"/>
          <w:shd w:val="clear" w:color="auto" w:fill="FFFFFF"/>
        </w:rPr>
        <w:t xml:space="preserve"> samples </w:t>
      </w:r>
      <w:r>
        <w:rPr>
          <w:color w:val="000000"/>
          <w:shd w:val="clear" w:color="auto" w:fill="FFFFFF"/>
        </w:rPr>
        <w:t xml:space="preserve">high </w:t>
      </w:r>
      <w:r w:rsidR="007035BE">
        <w:rPr>
          <w:color w:val="000000"/>
          <w:shd w:val="clear" w:color="auto" w:fill="FFFFFF"/>
        </w:rPr>
        <w:t xml:space="preserve">quality reads were obtained for </w:t>
      </w:r>
      <w:r w:rsidR="004A3C08">
        <w:rPr>
          <w:color w:val="000000"/>
          <w:shd w:val="clear" w:color="auto" w:fill="FFFFFF"/>
        </w:rPr>
        <w:t>9</w:t>
      </w:r>
      <w:r w:rsidR="00ED3499">
        <w:rPr>
          <w:color w:val="000000"/>
          <w:shd w:val="clear" w:color="auto" w:fill="FFFFFF"/>
        </w:rPr>
        <w:t>/10 (90%)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hd w:val="clear" w:color="auto" w:fill="FFFFFF"/>
        </w:rPr>
        <w:t>dhfr</w:t>
      </w:r>
      <w:proofErr w:type="spellEnd"/>
      <w:r w:rsidR="00ED3499">
        <w:rPr>
          <w:color w:val="000000"/>
          <w:shd w:val="clear" w:color="auto" w:fill="FFFFFF"/>
        </w:rPr>
        <w:t xml:space="preserve"> and </w:t>
      </w:r>
      <w:r w:rsidR="004A3C08">
        <w:rPr>
          <w:color w:val="000000"/>
          <w:shd w:val="clear" w:color="auto" w:fill="FFFFFF"/>
        </w:rPr>
        <w:t>7</w:t>
      </w:r>
      <w:r w:rsidR="00ED3499">
        <w:rPr>
          <w:color w:val="000000"/>
          <w:shd w:val="clear" w:color="auto" w:fill="FFFFFF"/>
        </w:rPr>
        <w:t>/10 (</w:t>
      </w:r>
      <w:r w:rsidR="00C357CC">
        <w:rPr>
          <w:color w:val="000000"/>
          <w:shd w:val="clear" w:color="auto" w:fill="FFFFFF"/>
        </w:rPr>
        <w:t xml:space="preserve">70%) </w:t>
      </w:r>
      <w:r>
        <w:rPr>
          <w:i/>
          <w:iCs/>
          <w:color w:val="000000"/>
          <w:shd w:val="clear" w:color="auto" w:fill="FFFFFF"/>
        </w:rPr>
        <w:t xml:space="preserve">mdr1 </w:t>
      </w:r>
      <w:r>
        <w:rPr>
          <w:color w:val="000000"/>
          <w:shd w:val="clear" w:color="auto" w:fill="FFFFFF"/>
        </w:rPr>
        <w:t xml:space="preserve">samples, Figure 1. Both </w:t>
      </w:r>
      <w:r w:rsidR="003261F7">
        <w:rPr>
          <w:color w:val="000000"/>
          <w:shd w:val="clear" w:color="auto" w:fill="FFFFFF"/>
        </w:rPr>
        <w:t>sequencing approaches</w:t>
      </w:r>
      <w:r>
        <w:rPr>
          <w:color w:val="000000"/>
          <w:shd w:val="clear" w:color="auto" w:fill="FFFFFF"/>
        </w:rPr>
        <w:t xml:space="preserve"> </w:t>
      </w:r>
      <w:r w:rsidR="007248CD">
        <w:rPr>
          <w:color w:val="000000"/>
          <w:shd w:val="clear" w:color="auto" w:fill="FFFFFF"/>
        </w:rPr>
        <w:t>had</w:t>
      </w:r>
      <w:r>
        <w:rPr>
          <w:color w:val="000000"/>
          <w:shd w:val="clear" w:color="auto" w:fill="FFFFFF"/>
        </w:rPr>
        <w:t xml:space="preserve"> </w:t>
      </w:r>
      <w:r w:rsidR="007248CD">
        <w:rPr>
          <w:color w:val="000000"/>
          <w:shd w:val="clear" w:color="auto" w:fill="FFFFFF"/>
        </w:rPr>
        <w:t>comparable</w:t>
      </w:r>
      <w:r>
        <w:rPr>
          <w:color w:val="000000"/>
          <w:shd w:val="clear" w:color="auto" w:fill="FFFFFF"/>
        </w:rPr>
        <w:t xml:space="preserve"> sequencing success</w:t>
      </w:r>
      <w:r w:rsidR="007248CD">
        <w:rPr>
          <w:color w:val="000000"/>
          <w:shd w:val="clear" w:color="auto" w:fill="FFFFFF"/>
        </w:rPr>
        <w:t xml:space="preserve"> rates</w:t>
      </w:r>
      <w:r>
        <w:rPr>
          <w:color w:val="000000"/>
          <w:shd w:val="clear" w:color="auto" w:fill="FFFFFF"/>
        </w:rPr>
        <w:t xml:space="preserve"> at greater than one </w:t>
      </w:r>
      <w:proofErr w:type="gramStart"/>
      <w:r>
        <w:rPr>
          <w:color w:val="000000"/>
          <w:shd w:val="clear" w:color="auto" w:fill="FFFFFF"/>
        </w:rPr>
        <w:t>parasites</w:t>
      </w:r>
      <w:proofErr w:type="gramEnd"/>
      <w:r>
        <w:rPr>
          <w:color w:val="000000"/>
          <w:shd w:val="clear" w:color="auto" w:fill="FFFFFF"/>
        </w:rPr>
        <w:t xml:space="preserve"> per </w:t>
      </w:r>
      <w:proofErr w:type="spellStart"/>
      <w:r>
        <w:rPr>
          <w:color w:val="000000"/>
          <w:shd w:val="clear" w:color="auto" w:fill="FFFFFF"/>
        </w:rPr>
        <w:t>uL</w:t>
      </w:r>
      <w:proofErr w:type="spellEnd"/>
      <w:r>
        <w:rPr>
          <w:color w:val="000000"/>
          <w:shd w:val="clear" w:color="auto" w:fill="FFFFFF"/>
        </w:rPr>
        <w:t xml:space="preserve"> (</w:t>
      </w:r>
      <w:proofErr w:type="spellStart"/>
      <w:r>
        <w:rPr>
          <w:i/>
          <w:iCs/>
          <w:color w:val="000000"/>
          <w:shd w:val="clear" w:color="auto" w:fill="FFFFFF"/>
        </w:rPr>
        <w:t>dhfr</w:t>
      </w:r>
      <w:proofErr w:type="spellEnd"/>
      <w:r>
        <w:rPr>
          <w:i/>
          <w:iCs/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 xml:space="preserve">greater than 1; </w:t>
      </w:r>
      <w:r w:rsidR="003261F7">
        <w:rPr>
          <w:i/>
          <w:iCs/>
          <w:color w:val="000000"/>
          <w:shd w:val="clear" w:color="auto" w:fill="FFFFFF"/>
        </w:rPr>
        <w:t>mdr1</w:t>
      </w:r>
      <w:r w:rsidR="003261F7">
        <w:rPr>
          <w:color w:val="000000"/>
          <w:shd w:val="clear" w:color="auto" w:fill="FFFFFF"/>
        </w:rPr>
        <w:t xml:space="preserve">: greater than 3), Figure 1. </w:t>
      </w:r>
      <w:r w:rsidR="00C924F3">
        <w:rPr>
          <w:color w:val="000000"/>
          <w:shd w:val="clear" w:color="auto" w:fill="FFFFFF"/>
        </w:rPr>
        <w:t xml:space="preserve">The median read depth coverage for </w:t>
      </w:r>
      <w:proofErr w:type="spellStart"/>
      <w:r w:rsidR="00C924F3">
        <w:rPr>
          <w:i/>
          <w:iCs/>
          <w:color w:val="000000"/>
          <w:shd w:val="clear" w:color="auto" w:fill="FFFFFF"/>
        </w:rPr>
        <w:t>dhfr</w:t>
      </w:r>
      <w:proofErr w:type="spellEnd"/>
      <w:r w:rsidR="00C924F3">
        <w:rPr>
          <w:i/>
          <w:iCs/>
          <w:color w:val="000000"/>
          <w:shd w:val="clear" w:color="auto" w:fill="FFFFFF"/>
        </w:rPr>
        <w:t xml:space="preserve"> </w:t>
      </w:r>
      <w:r w:rsidR="00C924F3">
        <w:rPr>
          <w:color w:val="000000"/>
          <w:shd w:val="clear" w:color="auto" w:fill="FFFFFF"/>
        </w:rPr>
        <w:t xml:space="preserve">drug resistant associated mutation N51I, C59R and S108N had a </w:t>
      </w:r>
      <w:r w:rsidR="003261F7">
        <w:rPr>
          <w:color w:val="000000"/>
          <w:shd w:val="clear" w:color="auto" w:fill="FFFFFF"/>
        </w:rPr>
        <w:t>3</w:t>
      </w:r>
      <w:r w:rsidR="00C924F3">
        <w:rPr>
          <w:color w:val="000000"/>
          <w:shd w:val="clear" w:color="auto" w:fill="FFFFFF"/>
        </w:rPr>
        <w:t xml:space="preserve">-fold decrease (median: </w:t>
      </w:r>
      <w:r w:rsidR="003261F7">
        <w:rPr>
          <w:color w:val="000000"/>
          <w:shd w:val="clear" w:color="auto" w:fill="FFFFFF"/>
        </w:rPr>
        <w:t>280</w:t>
      </w:r>
      <w:r w:rsidR="00C924F3">
        <w:rPr>
          <w:color w:val="000000"/>
          <w:shd w:val="clear" w:color="auto" w:fill="FFFFFF"/>
        </w:rPr>
        <w:t xml:space="preserve"> to </w:t>
      </w:r>
      <w:r w:rsidR="003261F7">
        <w:rPr>
          <w:color w:val="000000"/>
          <w:shd w:val="clear" w:color="auto" w:fill="FFFFFF"/>
        </w:rPr>
        <w:t>88</w:t>
      </w:r>
      <w:r w:rsidR="00C924F3">
        <w:rPr>
          <w:color w:val="000000"/>
          <w:shd w:val="clear" w:color="auto" w:fill="FFFFFF"/>
        </w:rPr>
        <w:t>) from individual to pooled sequenced samples,</w:t>
      </w:r>
      <w:r w:rsidR="003261F7">
        <w:rPr>
          <w:color w:val="000000"/>
          <w:shd w:val="clear" w:color="auto" w:fill="FFFFFF"/>
        </w:rPr>
        <w:t xml:space="preserve"> Figure 2. In comparison, the </w:t>
      </w:r>
      <w:r w:rsidR="003261F7">
        <w:rPr>
          <w:i/>
          <w:iCs/>
          <w:color w:val="000000"/>
          <w:shd w:val="clear" w:color="auto" w:fill="FFFFFF"/>
        </w:rPr>
        <w:t xml:space="preserve">mdr1 </w:t>
      </w:r>
      <w:r w:rsidR="003261F7">
        <w:rPr>
          <w:color w:val="000000"/>
          <w:shd w:val="clear" w:color="auto" w:fill="FFFFFF"/>
        </w:rPr>
        <w:t xml:space="preserve">Y184F, S1034C, N1042D, and D1246Y </w:t>
      </w:r>
      <w:r w:rsidR="00A02AAB">
        <w:rPr>
          <w:color w:val="000000"/>
          <w:shd w:val="clear" w:color="auto" w:fill="FFFFFF"/>
        </w:rPr>
        <w:t xml:space="preserve">had 0.2-fold decrease in coverage (median: 79 to 62), Figure 2. </w:t>
      </w:r>
      <w:r w:rsidR="00C924F3">
        <w:rPr>
          <w:color w:val="000000"/>
          <w:shd w:val="clear" w:color="auto" w:fill="FFFFFF"/>
        </w:rPr>
        <w:t xml:space="preserve">The overall </w:t>
      </w:r>
      <w:r w:rsidR="0091275E">
        <w:rPr>
          <w:color w:val="000000"/>
          <w:shd w:val="clear" w:color="auto" w:fill="FFFFFF"/>
        </w:rPr>
        <w:t xml:space="preserve">coverage </w:t>
      </w:r>
      <w:r w:rsidR="00C924F3">
        <w:rPr>
          <w:color w:val="000000"/>
          <w:shd w:val="clear" w:color="auto" w:fill="FFFFFF"/>
        </w:rPr>
        <w:t xml:space="preserve">distribution </w:t>
      </w:r>
      <w:r w:rsidR="0091275E">
        <w:rPr>
          <w:color w:val="000000"/>
          <w:shd w:val="clear" w:color="auto" w:fill="FFFFFF"/>
        </w:rPr>
        <w:t>for individual sequenced samples was wider (</w:t>
      </w:r>
      <w:proofErr w:type="spellStart"/>
      <w:r w:rsidR="0091275E">
        <w:rPr>
          <w:i/>
          <w:iCs/>
          <w:color w:val="000000"/>
          <w:shd w:val="clear" w:color="auto" w:fill="FFFFFF"/>
        </w:rPr>
        <w:t>dhfr</w:t>
      </w:r>
      <w:proofErr w:type="spellEnd"/>
      <w:r w:rsidR="0091275E">
        <w:rPr>
          <w:i/>
          <w:iCs/>
          <w:color w:val="000000"/>
          <w:shd w:val="clear" w:color="auto" w:fill="FFFFFF"/>
        </w:rPr>
        <w:t xml:space="preserve">: </w:t>
      </w:r>
      <w:r w:rsidR="0091275E">
        <w:rPr>
          <w:color w:val="000000"/>
          <w:shd w:val="clear" w:color="auto" w:fill="FFFFFF"/>
        </w:rPr>
        <w:t xml:space="preserve">10 – 720; </w:t>
      </w:r>
      <w:r w:rsidR="0091275E">
        <w:rPr>
          <w:i/>
          <w:iCs/>
          <w:color w:val="000000"/>
          <w:shd w:val="clear" w:color="auto" w:fill="FFFFFF"/>
        </w:rPr>
        <w:t>mdr1</w:t>
      </w:r>
      <w:r w:rsidR="0091275E">
        <w:rPr>
          <w:color w:val="000000"/>
          <w:shd w:val="clear" w:color="auto" w:fill="FFFFFF"/>
        </w:rPr>
        <w:t xml:space="preserve">: 10 – 460) </w:t>
      </w:r>
      <w:r w:rsidR="00142896">
        <w:rPr>
          <w:color w:val="000000"/>
          <w:shd w:val="clear" w:color="auto" w:fill="FFFFFF"/>
        </w:rPr>
        <w:t>than</w:t>
      </w:r>
      <w:r w:rsidR="0091275E">
        <w:rPr>
          <w:color w:val="000000"/>
          <w:shd w:val="clear" w:color="auto" w:fill="FFFFFF"/>
        </w:rPr>
        <w:t xml:space="preserve"> </w:t>
      </w:r>
      <w:r w:rsidR="00142896">
        <w:rPr>
          <w:color w:val="000000"/>
          <w:shd w:val="clear" w:color="auto" w:fill="FFFFFF"/>
        </w:rPr>
        <w:t>the pooled samples (</w:t>
      </w:r>
      <w:proofErr w:type="spellStart"/>
      <w:r w:rsidR="00142896">
        <w:rPr>
          <w:i/>
          <w:iCs/>
          <w:color w:val="000000"/>
          <w:shd w:val="clear" w:color="auto" w:fill="FFFFFF"/>
        </w:rPr>
        <w:t>dhfr</w:t>
      </w:r>
      <w:proofErr w:type="spellEnd"/>
      <w:r w:rsidR="00142896">
        <w:rPr>
          <w:i/>
          <w:iCs/>
          <w:color w:val="000000"/>
          <w:shd w:val="clear" w:color="auto" w:fill="FFFFFF"/>
        </w:rPr>
        <w:t xml:space="preserve">: </w:t>
      </w:r>
      <w:r w:rsidR="00142896">
        <w:rPr>
          <w:color w:val="000000"/>
          <w:shd w:val="clear" w:color="auto" w:fill="FFFFFF"/>
        </w:rPr>
        <w:t xml:space="preserve">10 – 290; </w:t>
      </w:r>
      <w:r w:rsidR="00142896">
        <w:rPr>
          <w:i/>
          <w:iCs/>
          <w:color w:val="000000"/>
          <w:shd w:val="clear" w:color="auto" w:fill="FFFFFF"/>
        </w:rPr>
        <w:t>mdr1</w:t>
      </w:r>
      <w:r w:rsidR="00142896">
        <w:rPr>
          <w:color w:val="000000"/>
          <w:shd w:val="clear" w:color="auto" w:fill="FFFFFF"/>
        </w:rPr>
        <w:t>: 10 – 110). Comparison of AF</w:t>
      </w:r>
      <w:r w:rsidR="00F509F7">
        <w:rPr>
          <w:color w:val="000000"/>
          <w:shd w:val="clear" w:color="auto" w:fill="FFFFFF"/>
        </w:rPr>
        <w:t xml:space="preserve"> estimates</w:t>
      </w:r>
      <w:r w:rsidR="00142896">
        <w:rPr>
          <w:color w:val="000000"/>
          <w:shd w:val="clear" w:color="auto" w:fill="FFFFFF"/>
        </w:rPr>
        <w:t xml:space="preserve"> between </w:t>
      </w:r>
      <w:r w:rsidR="000C466A">
        <w:rPr>
          <w:color w:val="000000"/>
          <w:shd w:val="clear" w:color="auto" w:fill="FFFFFF"/>
        </w:rPr>
        <w:t xml:space="preserve">the </w:t>
      </w:r>
      <w:r w:rsidR="00142896">
        <w:rPr>
          <w:color w:val="000000"/>
          <w:shd w:val="clear" w:color="auto" w:fill="FFFFFF"/>
        </w:rPr>
        <w:t>individual and pooled sequenced samples</w:t>
      </w:r>
      <w:r w:rsidR="009F6350">
        <w:rPr>
          <w:color w:val="000000"/>
          <w:shd w:val="clear" w:color="auto" w:fill="FFFFFF"/>
        </w:rPr>
        <w:t xml:space="preserve"> </w:t>
      </w:r>
      <w:r w:rsidR="00142896">
        <w:rPr>
          <w:color w:val="000000"/>
          <w:shd w:val="clear" w:color="auto" w:fill="FFFFFF"/>
        </w:rPr>
        <w:t>as a</w:t>
      </w:r>
      <w:r w:rsidR="000D11B6">
        <w:rPr>
          <w:color w:val="000000"/>
          <w:shd w:val="clear" w:color="auto" w:fill="FFFFFF"/>
        </w:rPr>
        <w:t xml:space="preserve"> measure of parasitemia </w:t>
      </w:r>
      <w:r w:rsidR="000C466A">
        <w:rPr>
          <w:color w:val="000000"/>
          <w:shd w:val="clear" w:color="auto" w:fill="FFFFFF"/>
        </w:rPr>
        <w:t>indicates</w:t>
      </w:r>
      <w:r w:rsidR="000D11B6">
        <w:rPr>
          <w:color w:val="000000"/>
          <w:shd w:val="clear" w:color="auto" w:fill="FFFFFF"/>
        </w:rPr>
        <w:t xml:space="preserve"> that at </w:t>
      </w:r>
      <w:r w:rsidR="009F6350">
        <w:rPr>
          <w:color w:val="000000"/>
          <w:shd w:val="clear" w:color="auto" w:fill="FFFFFF"/>
        </w:rPr>
        <w:t>lower</w:t>
      </w:r>
      <w:r w:rsidR="000D11B6">
        <w:rPr>
          <w:color w:val="000000"/>
          <w:shd w:val="clear" w:color="auto" w:fill="FFFFFF"/>
        </w:rPr>
        <w:t xml:space="preserve"> parasitemia levels (</w:t>
      </w:r>
      <w:r w:rsidR="009F6350">
        <w:rPr>
          <w:color w:val="000000"/>
          <w:shd w:val="clear" w:color="auto" w:fill="FFFFFF"/>
        </w:rPr>
        <w:t>less</w:t>
      </w:r>
      <w:r w:rsidR="000D11B6">
        <w:rPr>
          <w:color w:val="000000"/>
          <w:shd w:val="clear" w:color="auto" w:fill="FFFFFF"/>
        </w:rPr>
        <w:t xml:space="preserve"> than 40 parasites per </w:t>
      </w:r>
      <w:proofErr w:type="spellStart"/>
      <w:r w:rsidR="000D11B6">
        <w:rPr>
          <w:color w:val="000000"/>
          <w:shd w:val="clear" w:color="auto" w:fill="FFFFFF"/>
        </w:rPr>
        <w:t>uL</w:t>
      </w:r>
      <w:proofErr w:type="spellEnd"/>
      <w:r w:rsidR="000D11B6">
        <w:rPr>
          <w:color w:val="000000"/>
          <w:shd w:val="clear" w:color="auto" w:fill="FFFFFF"/>
        </w:rPr>
        <w:t>) the AF</w:t>
      </w:r>
      <w:r w:rsidR="00F509F7">
        <w:rPr>
          <w:color w:val="000000"/>
          <w:shd w:val="clear" w:color="auto" w:fill="FFFFFF"/>
        </w:rPr>
        <w:t xml:space="preserve"> </w:t>
      </w:r>
      <w:r w:rsidR="000D11B6">
        <w:rPr>
          <w:color w:val="000000"/>
          <w:shd w:val="clear" w:color="auto" w:fill="FFFFFF"/>
        </w:rPr>
        <w:t xml:space="preserve">of pooled </w:t>
      </w:r>
      <w:r w:rsidR="000C466A">
        <w:rPr>
          <w:color w:val="000000"/>
          <w:shd w:val="clear" w:color="auto" w:fill="FFFFFF"/>
        </w:rPr>
        <w:t xml:space="preserve">sequenced </w:t>
      </w:r>
      <w:r w:rsidR="000D11B6">
        <w:rPr>
          <w:color w:val="000000"/>
          <w:shd w:val="clear" w:color="auto" w:fill="FFFFFF"/>
        </w:rPr>
        <w:t xml:space="preserve">samples </w:t>
      </w:r>
      <w:r w:rsidR="000C466A">
        <w:rPr>
          <w:color w:val="000000"/>
          <w:shd w:val="clear" w:color="auto" w:fill="FFFFFF"/>
        </w:rPr>
        <w:t>are</w:t>
      </w:r>
      <w:r w:rsidR="009F6350">
        <w:rPr>
          <w:color w:val="000000"/>
          <w:shd w:val="clear" w:color="auto" w:fill="FFFFFF"/>
        </w:rPr>
        <w:t xml:space="preserve"> not accurately estimated </w:t>
      </w:r>
      <w:r w:rsidR="000C466A">
        <w:rPr>
          <w:color w:val="000000"/>
          <w:shd w:val="clear" w:color="auto" w:fill="FFFFFF"/>
        </w:rPr>
        <w:t xml:space="preserve">when compared to the AFs calls of individual sequenced samples (e.g., expected AF calls), </w:t>
      </w:r>
      <w:r w:rsidR="000D11B6">
        <w:rPr>
          <w:color w:val="000000"/>
          <w:shd w:val="clear" w:color="auto" w:fill="FFFFFF"/>
        </w:rPr>
        <w:t>Figure 3.</w:t>
      </w:r>
      <w:r w:rsidR="002D7AFA">
        <w:rPr>
          <w:color w:val="000000"/>
          <w:shd w:val="clear" w:color="auto" w:fill="FFFFFF"/>
        </w:rPr>
        <w:t xml:space="preserve"> </w:t>
      </w:r>
      <w:r w:rsidR="000D11B6">
        <w:rPr>
          <w:color w:val="000000"/>
          <w:shd w:val="clear" w:color="auto" w:fill="FFFFFF"/>
        </w:rPr>
        <w:t xml:space="preserve"> </w:t>
      </w:r>
    </w:p>
    <w:p w14:paraId="13ECCE54" w14:textId="77777777" w:rsidR="00595CB5" w:rsidRDefault="00595CB5" w:rsidP="0028671E">
      <w:pPr>
        <w:spacing w:line="480" w:lineRule="auto"/>
        <w:rPr>
          <w:color w:val="000000"/>
          <w:shd w:val="clear" w:color="auto" w:fill="FFFFFF"/>
        </w:rPr>
      </w:pPr>
    </w:p>
    <w:p w14:paraId="71644053" w14:textId="32DCADB7" w:rsidR="0095562A" w:rsidRDefault="0095562A" w:rsidP="0095562A">
      <w:pPr>
        <w:spacing w:line="480" w:lineRule="auto"/>
        <w:rPr>
          <w:b/>
        </w:rPr>
      </w:pPr>
      <w:r w:rsidRPr="00DE4A7A">
        <w:rPr>
          <w:b/>
        </w:rPr>
        <w:t xml:space="preserve">DISCUSSION </w:t>
      </w:r>
    </w:p>
    <w:p w14:paraId="6F458B3F" w14:textId="703652CB" w:rsidR="00BC005D" w:rsidRDefault="004718E7" w:rsidP="00BC005D">
      <w:pPr>
        <w:spacing w:line="480" w:lineRule="auto"/>
        <w:ind w:firstLine="720"/>
        <w:rPr>
          <w:rFonts w:eastAsiaTheme="minorHAnsi"/>
        </w:rPr>
      </w:pPr>
      <w:r>
        <w:t>Pooling of malaria samples prior to TADS has been shown to be a cost</w:t>
      </w:r>
      <w:r w:rsidR="00E47502">
        <w:t>-</w:t>
      </w:r>
      <w:r>
        <w:t xml:space="preserve">effective </w:t>
      </w:r>
      <w:r w:rsidR="00E47502">
        <w:t xml:space="preserve">approach for </w:t>
      </w:r>
      <w:r>
        <w:t xml:space="preserve">estimating drug resistance associated mutations in </w:t>
      </w:r>
      <w:r>
        <w:rPr>
          <w:i/>
          <w:iCs/>
        </w:rPr>
        <w:t>P. falciparum</w:t>
      </w:r>
      <w:r>
        <w:t>.</w:t>
      </w:r>
      <w:r>
        <w:rPr>
          <w:i/>
          <w:iCs/>
        </w:rPr>
        <w:t xml:space="preserve"> </w:t>
      </w:r>
      <w:r>
        <w:rPr>
          <w:rFonts w:eastAsiaTheme="minorHAnsi"/>
        </w:rPr>
        <w:t>{Taylor:2013fa, Brazeau:2019jy, Ngondi:2017bm</w:t>
      </w:r>
      <w:r w:rsidR="00E47502">
        <w:rPr>
          <w:rFonts w:eastAsiaTheme="minorHAnsi"/>
        </w:rPr>
        <w:t xml:space="preserve">, Taylor:2015iw}  </w:t>
      </w:r>
      <w:r w:rsidR="00B557F5">
        <w:rPr>
          <w:rFonts w:eastAsiaTheme="minorHAnsi"/>
        </w:rPr>
        <w:t>One</w:t>
      </w:r>
      <w:r w:rsidR="00E47502">
        <w:rPr>
          <w:rFonts w:eastAsiaTheme="minorHAnsi"/>
        </w:rPr>
        <w:t xml:space="preserve"> </w:t>
      </w:r>
      <w:r w:rsidR="00B557F5">
        <w:rPr>
          <w:rFonts w:eastAsiaTheme="minorHAnsi"/>
        </w:rPr>
        <w:t>strategy is to</w:t>
      </w:r>
      <w:r w:rsidR="00E47502">
        <w:rPr>
          <w:rFonts w:eastAsiaTheme="minorHAnsi"/>
        </w:rPr>
        <w:t xml:space="preserve"> </w:t>
      </w:r>
      <w:r w:rsidR="00B557F5">
        <w:rPr>
          <w:rFonts w:eastAsiaTheme="minorHAnsi"/>
        </w:rPr>
        <w:t>combine</w:t>
      </w:r>
      <w:r w:rsidR="00E47502">
        <w:rPr>
          <w:rFonts w:eastAsiaTheme="minorHAnsi"/>
        </w:rPr>
        <w:t xml:space="preserve"> dried blood spots (DBS) from individuals prior to nested PCRs and TADS</w:t>
      </w:r>
      <w:r w:rsidR="0093096A">
        <w:rPr>
          <w:rFonts w:eastAsiaTheme="minorHAnsi"/>
        </w:rPr>
        <w:t xml:space="preserve"> </w:t>
      </w:r>
      <w:r w:rsidR="00E47502">
        <w:rPr>
          <w:rFonts w:eastAsiaTheme="minorHAnsi"/>
        </w:rPr>
        <w:t>{Ngondi:2017bm}</w:t>
      </w:r>
      <w:r w:rsidR="0093096A">
        <w:rPr>
          <w:rFonts w:eastAsiaTheme="minorHAnsi"/>
        </w:rPr>
        <w:t xml:space="preserve">, while another </w:t>
      </w:r>
      <w:r w:rsidR="00B557F5">
        <w:rPr>
          <w:rFonts w:eastAsiaTheme="minorHAnsi"/>
        </w:rPr>
        <w:t>strategy involves</w:t>
      </w:r>
      <w:r w:rsidR="0093096A">
        <w:rPr>
          <w:rFonts w:eastAsiaTheme="minorHAnsi"/>
        </w:rPr>
        <w:t xml:space="preserve"> combining of genomic DNA</w:t>
      </w:r>
      <w:r w:rsidR="00B557F5">
        <w:rPr>
          <w:rFonts w:eastAsiaTheme="minorHAnsi"/>
        </w:rPr>
        <w:t xml:space="preserve"> (gDNA)</w:t>
      </w:r>
      <w:r w:rsidR="0093096A">
        <w:rPr>
          <w:rFonts w:eastAsiaTheme="minorHAnsi"/>
        </w:rPr>
        <w:t xml:space="preserve"> in varying pool ratios (</w:t>
      </w:r>
      <w:r w:rsidR="00B557F5">
        <w:rPr>
          <w:rFonts w:eastAsiaTheme="minorHAnsi"/>
        </w:rPr>
        <w:t>i.e. 35 to 273) prior to TADS. {Taylor:2015iw} However, both these strategies can result in biased AFs due to varied parasite densities within individual samples</w:t>
      </w:r>
      <w:r w:rsidR="00D00E33">
        <w:rPr>
          <w:rFonts w:eastAsiaTheme="minorHAnsi"/>
        </w:rPr>
        <w:t xml:space="preserve"> without properly achieving equimolar concentrations of individual DNA in the pools</w:t>
      </w:r>
      <w:r w:rsidR="00B557F5">
        <w:rPr>
          <w:rFonts w:eastAsiaTheme="minorHAnsi"/>
        </w:rPr>
        <w:t>.</w:t>
      </w:r>
      <w:r w:rsidR="00181998">
        <w:rPr>
          <w:rFonts w:eastAsiaTheme="minorHAnsi"/>
        </w:rPr>
        <w:t xml:space="preserve">  </w:t>
      </w:r>
      <w:r w:rsidR="00BC005D">
        <w:rPr>
          <w:rFonts w:eastAsiaTheme="minorHAnsi"/>
        </w:rPr>
        <w:t>This is especially the case with</w:t>
      </w:r>
      <w:r w:rsidR="00BC005D" w:rsidRPr="00BC005D">
        <w:rPr>
          <w:rFonts w:eastAsiaTheme="minorHAnsi"/>
        </w:rPr>
        <w:t xml:space="preserve"> </w:t>
      </w:r>
      <w:r w:rsidR="00BC005D">
        <w:rPr>
          <w:rFonts w:eastAsiaTheme="minorHAnsi"/>
        </w:rPr>
        <w:t>alleles present at low frequency in pools that can lead to false positive variants. {Anand:2016jz}</w:t>
      </w:r>
    </w:p>
    <w:p w14:paraId="1C034BC6" w14:textId="77777777" w:rsidR="00451803" w:rsidRDefault="00BC005D" w:rsidP="00B557F5">
      <w:pPr>
        <w:spacing w:line="480" w:lineRule="auto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B557F5">
        <w:rPr>
          <w:rFonts w:eastAsiaTheme="minorHAnsi"/>
        </w:rPr>
        <w:t xml:space="preserve">Here, </w:t>
      </w:r>
      <w:r w:rsidR="00874711">
        <w:rPr>
          <w:rFonts w:eastAsiaTheme="minorHAnsi"/>
        </w:rPr>
        <w:t xml:space="preserve">in an effort to minimize </w:t>
      </w:r>
      <w:r>
        <w:rPr>
          <w:rFonts w:eastAsiaTheme="minorHAnsi"/>
        </w:rPr>
        <w:t xml:space="preserve">some of these </w:t>
      </w:r>
      <w:r w:rsidR="00874711">
        <w:rPr>
          <w:rFonts w:eastAsiaTheme="minorHAnsi"/>
        </w:rPr>
        <w:t>potential biases due to parasite densities, we</w:t>
      </w:r>
      <w:r w:rsidR="00B557F5">
        <w:rPr>
          <w:rFonts w:eastAsiaTheme="minorHAnsi"/>
        </w:rPr>
        <w:t xml:space="preserve"> </w:t>
      </w:r>
      <w:r w:rsidR="00874711">
        <w:rPr>
          <w:rFonts w:eastAsiaTheme="minorHAnsi"/>
        </w:rPr>
        <w:t xml:space="preserve">evaluate yet another pooling strategy by </w:t>
      </w:r>
      <w:r w:rsidR="00B557F5">
        <w:rPr>
          <w:rFonts w:eastAsiaTheme="minorHAnsi"/>
        </w:rPr>
        <w:t xml:space="preserve">using parasite densities to </w:t>
      </w:r>
      <w:r w:rsidR="009942FF">
        <w:rPr>
          <w:rFonts w:eastAsiaTheme="minorHAnsi"/>
        </w:rPr>
        <w:t xml:space="preserve">guide the </w:t>
      </w:r>
      <w:r w:rsidR="00B557F5">
        <w:rPr>
          <w:rFonts w:eastAsiaTheme="minorHAnsi"/>
        </w:rPr>
        <w:t>pool</w:t>
      </w:r>
      <w:r w:rsidR="009942FF">
        <w:rPr>
          <w:rFonts w:eastAsiaTheme="minorHAnsi"/>
        </w:rPr>
        <w:t>ing of</w:t>
      </w:r>
      <w:r w:rsidR="00B557F5">
        <w:rPr>
          <w:rFonts w:eastAsiaTheme="minorHAnsi"/>
        </w:rPr>
        <w:t xml:space="preserve"> </w:t>
      </w:r>
      <w:r w:rsidR="00F509F7">
        <w:rPr>
          <w:rFonts w:eastAsiaTheme="minorHAnsi"/>
        </w:rPr>
        <w:t>DBS</w:t>
      </w:r>
      <w:r w:rsidR="00C91D81">
        <w:rPr>
          <w:rFonts w:eastAsiaTheme="minorHAnsi"/>
        </w:rPr>
        <w:t xml:space="preserve"> derived </w:t>
      </w:r>
      <w:r w:rsidR="00B557F5">
        <w:rPr>
          <w:rFonts w:eastAsiaTheme="minorHAnsi"/>
        </w:rPr>
        <w:t>gDNA in 10:1 ratio</w:t>
      </w:r>
      <w:r w:rsidR="00874711">
        <w:rPr>
          <w:rFonts w:eastAsiaTheme="minorHAnsi"/>
        </w:rPr>
        <w:t>’</w:t>
      </w:r>
      <w:r w:rsidR="00B557F5">
        <w:rPr>
          <w:rFonts w:eastAsiaTheme="minorHAnsi"/>
        </w:rPr>
        <w:t>s prior to TADS</w:t>
      </w:r>
      <w:r w:rsidR="00874711">
        <w:rPr>
          <w:rFonts w:eastAsiaTheme="minorHAnsi"/>
        </w:rPr>
        <w:t>. The 10:1 ratio was chosen to limit further biases introduced to AF due to library preparation</w:t>
      </w:r>
      <w:r w:rsidR="00B36F0C">
        <w:rPr>
          <w:rFonts w:eastAsiaTheme="minorHAnsi"/>
        </w:rPr>
        <w:t xml:space="preserve"> chemistries</w:t>
      </w:r>
      <w:r w:rsidR="00181998">
        <w:rPr>
          <w:rFonts w:eastAsiaTheme="minorHAnsi"/>
        </w:rPr>
        <w:t xml:space="preserve"> {Rhodes:2014dz}</w:t>
      </w:r>
      <w:r w:rsidR="00874711">
        <w:rPr>
          <w:rFonts w:eastAsiaTheme="minorHAnsi"/>
        </w:rPr>
        <w:t xml:space="preserve"> and</w:t>
      </w:r>
      <w:r w:rsidR="00D00E33">
        <w:rPr>
          <w:rFonts w:eastAsiaTheme="minorHAnsi"/>
        </w:rPr>
        <w:t xml:space="preserve"> reduction in</w:t>
      </w:r>
      <w:r w:rsidR="00874711">
        <w:rPr>
          <w:rFonts w:eastAsiaTheme="minorHAnsi"/>
        </w:rPr>
        <w:t xml:space="preserve"> sequencing coverage, </w:t>
      </w:r>
      <w:r w:rsidR="00B36F0C">
        <w:rPr>
          <w:rFonts w:eastAsiaTheme="minorHAnsi"/>
        </w:rPr>
        <w:t>with the</w:t>
      </w:r>
      <w:r w:rsidR="00874711">
        <w:rPr>
          <w:rFonts w:eastAsiaTheme="minorHAnsi"/>
        </w:rPr>
        <w:t xml:space="preserve"> latter </w:t>
      </w:r>
      <w:r w:rsidR="00B36F0C">
        <w:rPr>
          <w:rFonts w:eastAsiaTheme="minorHAnsi"/>
        </w:rPr>
        <w:t>having the</w:t>
      </w:r>
      <w:r w:rsidR="00874711">
        <w:rPr>
          <w:rFonts w:eastAsiaTheme="minorHAnsi"/>
        </w:rPr>
        <w:t xml:space="preserve"> most </w:t>
      </w:r>
      <w:r w:rsidR="008A7972">
        <w:rPr>
          <w:rFonts w:eastAsiaTheme="minorHAnsi"/>
        </w:rPr>
        <w:t xml:space="preserve">influence on accurate AF </w:t>
      </w:r>
      <w:r w:rsidR="003D47E8">
        <w:rPr>
          <w:rFonts w:eastAsiaTheme="minorHAnsi"/>
        </w:rPr>
        <w:t>estimation</w:t>
      </w:r>
      <w:r w:rsidR="008A7972">
        <w:rPr>
          <w:rFonts w:eastAsiaTheme="minorHAnsi"/>
        </w:rPr>
        <w:t>.</w:t>
      </w:r>
      <w:r w:rsidR="00874711">
        <w:rPr>
          <w:rFonts w:eastAsiaTheme="minorHAnsi"/>
        </w:rPr>
        <w:t>{Kofler:2016kn}</w:t>
      </w:r>
      <w:r w:rsidR="008A7972">
        <w:rPr>
          <w:rFonts w:eastAsiaTheme="minorHAnsi"/>
        </w:rPr>
        <w:t xml:space="preserve"> By grouping ten samples per pool, the total experiment </w:t>
      </w:r>
      <w:r w:rsidR="003D47E8">
        <w:rPr>
          <w:rFonts w:eastAsiaTheme="minorHAnsi"/>
        </w:rPr>
        <w:t>remains cost efficient</w:t>
      </w:r>
      <w:r w:rsidR="00B36F0C">
        <w:rPr>
          <w:rFonts w:eastAsiaTheme="minorHAnsi"/>
        </w:rPr>
        <w:t xml:space="preserve"> </w:t>
      </w:r>
      <w:r w:rsidR="008A7972">
        <w:rPr>
          <w:rFonts w:eastAsiaTheme="minorHAnsi"/>
        </w:rPr>
        <w:t xml:space="preserve">while </w:t>
      </w:r>
      <w:r w:rsidR="00181998">
        <w:rPr>
          <w:rFonts w:eastAsiaTheme="minorHAnsi"/>
        </w:rPr>
        <w:t>also</w:t>
      </w:r>
      <w:r w:rsidR="008A7972">
        <w:rPr>
          <w:rFonts w:eastAsiaTheme="minorHAnsi"/>
        </w:rPr>
        <w:t xml:space="preserve"> </w:t>
      </w:r>
      <w:r w:rsidR="00181998">
        <w:rPr>
          <w:rFonts w:eastAsiaTheme="minorHAnsi"/>
        </w:rPr>
        <w:t>providing further</w:t>
      </w:r>
      <w:r w:rsidR="008A7972">
        <w:rPr>
          <w:rFonts w:eastAsiaTheme="minorHAnsi"/>
        </w:rPr>
        <w:t xml:space="preserve"> flexibility in </w:t>
      </w:r>
      <w:r w:rsidR="0070463D">
        <w:rPr>
          <w:rFonts w:eastAsiaTheme="minorHAnsi"/>
        </w:rPr>
        <w:t xml:space="preserve">overall </w:t>
      </w:r>
      <w:r w:rsidR="008A7972">
        <w:rPr>
          <w:rFonts w:eastAsiaTheme="minorHAnsi"/>
        </w:rPr>
        <w:t xml:space="preserve">study design (e.g., such as further grouping by treatment </w:t>
      </w:r>
      <w:r w:rsidR="0070463D">
        <w:rPr>
          <w:rFonts w:eastAsiaTheme="minorHAnsi"/>
        </w:rPr>
        <w:t>arm or regional site</w:t>
      </w:r>
      <w:r w:rsidR="008A7972">
        <w:rPr>
          <w:rFonts w:eastAsiaTheme="minorHAnsi"/>
        </w:rPr>
        <w:t>). {Zilinskas:2014gj}</w:t>
      </w:r>
      <w:r w:rsidR="0070463D">
        <w:rPr>
          <w:rFonts w:eastAsiaTheme="minorHAnsi"/>
        </w:rPr>
        <w:t xml:space="preserve"> By </w:t>
      </w:r>
      <w:r w:rsidR="00B36F0C">
        <w:rPr>
          <w:rFonts w:eastAsiaTheme="minorHAnsi"/>
        </w:rPr>
        <w:t xml:space="preserve">using </w:t>
      </w:r>
      <w:r w:rsidR="0070463D">
        <w:rPr>
          <w:rFonts w:eastAsiaTheme="minorHAnsi"/>
        </w:rPr>
        <w:t>this strategy</w:t>
      </w:r>
      <w:r w:rsidR="009942FF">
        <w:rPr>
          <w:rFonts w:eastAsiaTheme="minorHAnsi"/>
        </w:rPr>
        <w:t xml:space="preserve">, </w:t>
      </w:r>
      <w:r w:rsidR="00CF4807">
        <w:rPr>
          <w:rFonts w:eastAsiaTheme="minorHAnsi"/>
        </w:rPr>
        <w:t>sufficient</w:t>
      </w:r>
      <w:r w:rsidR="00B36F0C">
        <w:rPr>
          <w:rFonts w:eastAsiaTheme="minorHAnsi"/>
        </w:rPr>
        <w:t xml:space="preserve"> sequence coverage </w:t>
      </w:r>
      <w:r w:rsidR="00CF4807">
        <w:rPr>
          <w:rFonts w:eastAsiaTheme="minorHAnsi"/>
        </w:rPr>
        <w:t>can</w:t>
      </w:r>
      <w:r w:rsidR="00B36F0C">
        <w:rPr>
          <w:rFonts w:eastAsiaTheme="minorHAnsi"/>
        </w:rPr>
        <w:t xml:space="preserve"> be obtained </w:t>
      </w:r>
      <w:r w:rsidR="009942FF">
        <w:rPr>
          <w:rFonts w:eastAsiaTheme="minorHAnsi"/>
        </w:rPr>
        <w:t xml:space="preserve">consistently needed to have </w:t>
      </w:r>
      <w:r w:rsidR="00B36F0C">
        <w:rPr>
          <w:rFonts w:eastAsiaTheme="minorHAnsi"/>
        </w:rPr>
        <w:t xml:space="preserve">reliable </w:t>
      </w:r>
      <w:r w:rsidR="009942FF">
        <w:rPr>
          <w:rFonts w:eastAsiaTheme="minorHAnsi"/>
        </w:rPr>
        <w:t>AF</w:t>
      </w:r>
      <w:r>
        <w:rPr>
          <w:rFonts w:eastAsiaTheme="minorHAnsi"/>
        </w:rPr>
        <w:t xml:space="preserve"> estimation in pools</w:t>
      </w:r>
      <w:r w:rsidR="003D47E8">
        <w:rPr>
          <w:rFonts w:eastAsiaTheme="minorHAnsi"/>
        </w:rPr>
        <w:t xml:space="preserve"> across different</w:t>
      </w:r>
      <w:r w:rsidR="00E47B40">
        <w:rPr>
          <w:rFonts w:eastAsiaTheme="minorHAnsi"/>
        </w:rPr>
        <w:t xml:space="preserve"> full-length drug resistance </w:t>
      </w:r>
      <w:r w:rsidR="007E4E5B">
        <w:rPr>
          <w:rFonts w:eastAsiaTheme="minorHAnsi"/>
        </w:rPr>
        <w:t xml:space="preserve">malaria </w:t>
      </w:r>
      <w:r w:rsidR="00E47B40">
        <w:rPr>
          <w:rFonts w:eastAsiaTheme="minorHAnsi"/>
        </w:rPr>
        <w:t xml:space="preserve">genes – allowing </w:t>
      </w:r>
      <w:r w:rsidR="003D47E8">
        <w:rPr>
          <w:rFonts w:eastAsiaTheme="minorHAnsi"/>
        </w:rPr>
        <w:t>for identification of novel SNPs in a population</w:t>
      </w:r>
      <w:r w:rsidR="00C91D81">
        <w:rPr>
          <w:rFonts w:eastAsiaTheme="minorHAnsi"/>
        </w:rPr>
        <w:t xml:space="preserve"> </w:t>
      </w:r>
      <w:r w:rsidR="00F509F7">
        <w:rPr>
          <w:rFonts w:eastAsiaTheme="minorHAnsi"/>
        </w:rPr>
        <w:t>which</w:t>
      </w:r>
      <w:r w:rsidR="00C91D81">
        <w:rPr>
          <w:rFonts w:eastAsiaTheme="minorHAnsi"/>
        </w:rPr>
        <w:t xml:space="preserve"> </w:t>
      </w:r>
      <w:r w:rsidR="00E47B40">
        <w:rPr>
          <w:rFonts w:eastAsiaTheme="minorHAnsi"/>
        </w:rPr>
        <w:t xml:space="preserve">subsequently can </w:t>
      </w:r>
      <w:r w:rsidR="003D47E8">
        <w:rPr>
          <w:rFonts w:eastAsiaTheme="minorHAnsi"/>
        </w:rPr>
        <w:t xml:space="preserve">be </w:t>
      </w:r>
      <w:r w:rsidR="007E4E5B">
        <w:rPr>
          <w:rFonts w:eastAsiaTheme="minorHAnsi"/>
        </w:rPr>
        <w:t xml:space="preserve">further </w:t>
      </w:r>
      <w:r w:rsidR="003D47E8">
        <w:rPr>
          <w:rFonts w:eastAsiaTheme="minorHAnsi"/>
        </w:rPr>
        <w:t>subject for individual patient level sequencing {Talundzic:2018j</w:t>
      </w:r>
      <w:r w:rsidR="00E47B40">
        <w:rPr>
          <w:rFonts w:eastAsiaTheme="minorHAnsi"/>
        </w:rPr>
        <w:t xml:space="preserve">} </w:t>
      </w:r>
      <w:r w:rsidR="00DB0689">
        <w:rPr>
          <w:rFonts w:eastAsiaTheme="minorHAnsi"/>
        </w:rPr>
        <w:t xml:space="preserve">Interestingly, our study also provides evidence that AF estimation in pools can be under or over represented at low parasite levels (less than 40 parasites per </w:t>
      </w:r>
      <w:proofErr w:type="spellStart"/>
      <w:r w:rsidR="00DB0689">
        <w:rPr>
          <w:rFonts w:eastAsiaTheme="minorHAnsi"/>
        </w:rPr>
        <w:t>uL</w:t>
      </w:r>
      <w:proofErr w:type="spellEnd"/>
      <w:r w:rsidR="00DB0689">
        <w:rPr>
          <w:rFonts w:eastAsiaTheme="minorHAnsi"/>
        </w:rPr>
        <w:t xml:space="preserve">), Figure 3.  </w:t>
      </w:r>
    </w:p>
    <w:p w14:paraId="70E87D6C" w14:textId="7D40D481" w:rsidR="00BC005D" w:rsidRDefault="00C91D81" w:rsidP="00451803">
      <w:pPr>
        <w:spacing w:line="480" w:lineRule="auto"/>
        <w:ind w:firstLine="720"/>
        <w:rPr>
          <w:rFonts w:eastAsiaTheme="minorHAnsi"/>
        </w:rPr>
      </w:pPr>
      <w:r>
        <w:rPr>
          <w:rFonts w:eastAsiaTheme="minorHAnsi"/>
        </w:rPr>
        <w:t>While the</w:t>
      </w:r>
      <w:r w:rsidR="00E47B40">
        <w:rPr>
          <w:rFonts w:eastAsiaTheme="minorHAnsi"/>
        </w:rPr>
        <w:t xml:space="preserve"> added step of having to use a real-time PCR assay to estimate parasitemia</w:t>
      </w:r>
      <w:r w:rsidR="00097AAD">
        <w:rPr>
          <w:rFonts w:eastAsiaTheme="minorHAnsi"/>
        </w:rPr>
        <w:t xml:space="preserve"> levels</w:t>
      </w:r>
      <w:r w:rsidR="00E47B40">
        <w:rPr>
          <w:rFonts w:eastAsiaTheme="minorHAnsi"/>
        </w:rPr>
        <w:t xml:space="preserve"> in samples</w:t>
      </w:r>
      <w:r>
        <w:rPr>
          <w:rFonts w:eastAsiaTheme="minorHAnsi"/>
        </w:rPr>
        <w:t xml:space="preserve"> may seem like a limitation of this strategy</w:t>
      </w:r>
      <w:r w:rsidR="00DB0689">
        <w:rPr>
          <w:rFonts w:eastAsiaTheme="minorHAnsi"/>
        </w:rPr>
        <w:t xml:space="preserve">, it can serve as an important </w:t>
      </w:r>
      <w:r w:rsidR="00E47B40">
        <w:rPr>
          <w:rFonts w:eastAsiaTheme="minorHAnsi"/>
        </w:rPr>
        <w:t xml:space="preserve">quality control step </w:t>
      </w:r>
      <w:r w:rsidR="00DB0689">
        <w:rPr>
          <w:rFonts w:eastAsiaTheme="minorHAnsi"/>
        </w:rPr>
        <w:t>to assess DNA quality and</w:t>
      </w:r>
      <w:r>
        <w:rPr>
          <w:rFonts w:eastAsiaTheme="minorHAnsi"/>
        </w:rPr>
        <w:t xml:space="preserve"> </w:t>
      </w:r>
      <w:r w:rsidR="00E47B40">
        <w:rPr>
          <w:rFonts w:eastAsiaTheme="minorHAnsi"/>
        </w:rPr>
        <w:t xml:space="preserve">confirm </w:t>
      </w:r>
      <w:r w:rsidR="00097AAD">
        <w:rPr>
          <w:rFonts w:eastAsiaTheme="minorHAnsi"/>
        </w:rPr>
        <w:t xml:space="preserve">or identify accurately the </w:t>
      </w:r>
      <w:proofErr w:type="spellStart"/>
      <w:r w:rsidR="00E47B40">
        <w:rPr>
          <w:rFonts w:eastAsiaTheme="minorHAnsi"/>
          <w:i/>
          <w:iCs/>
        </w:rPr>
        <w:t>Plamsmodium</w:t>
      </w:r>
      <w:proofErr w:type="spellEnd"/>
      <w:r w:rsidR="00E47B40">
        <w:rPr>
          <w:rFonts w:eastAsiaTheme="minorHAnsi"/>
          <w:i/>
          <w:iCs/>
        </w:rPr>
        <w:t xml:space="preserve"> </w:t>
      </w:r>
      <w:r w:rsidR="00E47B40">
        <w:rPr>
          <w:rFonts w:eastAsiaTheme="minorHAnsi"/>
        </w:rPr>
        <w:t xml:space="preserve">spp. </w:t>
      </w:r>
      <w:r w:rsidR="00451803">
        <w:rPr>
          <w:rFonts w:eastAsiaTheme="minorHAnsi"/>
        </w:rPr>
        <w:t xml:space="preserve">in samples </w:t>
      </w:r>
      <w:r w:rsidR="00E47B40">
        <w:rPr>
          <w:rFonts w:eastAsiaTheme="minorHAnsi"/>
        </w:rPr>
        <w:t>{Talundzic:2014cj}{Akerele:2017bc}</w:t>
      </w:r>
      <w:r w:rsidR="00451803">
        <w:rPr>
          <w:rFonts w:eastAsiaTheme="minorHAnsi"/>
        </w:rPr>
        <w:t>.</w:t>
      </w:r>
      <w:r w:rsidR="00E47B40">
        <w:rPr>
          <w:rFonts w:eastAsiaTheme="minorHAnsi"/>
        </w:rPr>
        <w:t xml:space="preserve"> </w:t>
      </w:r>
      <w:r w:rsidR="00527242">
        <w:rPr>
          <w:rFonts w:eastAsiaTheme="minorHAnsi"/>
        </w:rPr>
        <w:t xml:space="preserve">Using a reliable and accurate DNA quantification method prior to sequencing will also improve overall sequencing capacity and further reduce costs – by avoiding either under or over usage of NGS capacity.{Robin:2016ks} Loading of unbalanced indexed DNA libraries, commonly the case with pooling </w:t>
      </w:r>
      <w:r w:rsidR="00451803">
        <w:rPr>
          <w:rFonts w:eastAsiaTheme="minorHAnsi"/>
        </w:rPr>
        <w:t xml:space="preserve">based </w:t>
      </w:r>
      <w:r w:rsidR="00527242">
        <w:rPr>
          <w:rFonts w:eastAsiaTheme="minorHAnsi"/>
        </w:rPr>
        <w:t xml:space="preserve">strategies, may result in unnecessary data loss and further </w:t>
      </w:r>
      <w:r w:rsidR="00451803">
        <w:rPr>
          <w:rFonts w:eastAsiaTheme="minorHAnsi"/>
        </w:rPr>
        <w:t xml:space="preserve">SNP estimation based </w:t>
      </w:r>
      <w:r w:rsidR="00527242">
        <w:rPr>
          <w:rFonts w:eastAsiaTheme="minorHAnsi"/>
        </w:rPr>
        <w:t xml:space="preserve">errors {Robin:2016ks} Thus, the added step of implementing </w:t>
      </w:r>
      <w:r w:rsidR="00451803">
        <w:rPr>
          <w:rFonts w:eastAsiaTheme="minorHAnsi"/>
        </w:rPr>
        <w:t>DNA quantification step prior to pooling is an important part of an effective quality control system (QMS) for NGS based surveillance tests. {Hutchins:2019ia}</w:t>
      </w:r>
      <w:r w:rsidR="00451803">
        <w:rPr>
          <w:rFonts w:eastAsiaTheme="minorHAnsi"/>
        </w:rPr>
        <w:fldChar w:fldCharType="begin"/>
      </w:r>
      <w:r w:rsidR="00451803">
        <w:rPr>
          <w:rFonts w:eastAsiaTheme="minorHAnsi"/>
        </w:rPr>
        <w:instrText xml:space="preserve"> ADDIN PAPERS2_CITATIONS &lt;citation&gt;&lt;priority&gt;0&lt;/priority&gt;&lt;uuid&gt;60EA57A2-D1EF-4A56-9D89-82B85FDB6D56&lt;/uuid&gt;&lt;publications&gt;&lt;publication&gt;&lt;subtype&gt;400&lt;/subtype&gt;&lt;publisher&gt;American Society for Microbiology Journals&lt;/publisher&gt;&lt;title&gt;Practical Guidance to Implementing Quality Management Systems in Public Health Laboratories Performing Next-Generation Sequencing: Personnel, Equipment, and Process Management (Phase 1)&lt;/title&gt;&lt;url&gt;https://jcm.asm.org/content/57/8/e00261-19&lt;/url&gt;&lt;volume&gt;57&lt;/volume&gt;&lt;publication_date&gt;99201908011200000000222000&lt;/publication_date&gt;&lt;uuid&gt;C530C4F5-8143-43A7-AFD4-90D73FDBEAD5&lt;/uuid&gt;&lt;type&gt;400&lt;/type&gt;&lt;number&gt;8&lt;/number&gt;&lt;doi&gt;10.1128/JCM.00261-19&lt;/doi&gt;&lt;institution&gt;Office of the Deputy Director of Infectious Diseases, Centers for Disease Control and Prevention, Atlanta, Georgia, USA.&lt;/institution&gt;&lt;startpage&gt;2857&lt;/startpage&gt;&lt;bundle&gt;&lt;publication&gt;&lt;title&gt;J Clin Microbiol&lt;/title&gt;&lt;uuid&gt;43868845-2639-4445-86CF-D591E6790D94&lt;/uuid&gt;&lt;subtype&gt;-100&lt;/subtype&gt;&lt;publisher&gt;American Society for Microbiology Journals&lt;/publisher&gt;&lt;type&gt;-100&lt;/type&gt;&lt;/publication&gt;&lt;/bundle&gt;&lt;authors&gt;&lt;author&gt;&lt;lastName&gt;Hutchins&lt;/lastName&gt;&lt;firstName&gt;Rebecca&lt;/firstName&gt;&lt;middleNames&gt;J&lt;/middleNames&gt;&lt;/author&gt;&lt;author&gt;&lt;lastName&gt;Phan&lt;/lastName&gt;&lt;firstName&gt;Kristy&lt;/firstName&gt;&lt;middleNames&gt;L&lt;/middleNames&gt;&lt;/author&gt;&lt;author&gt;&lt;lastName&gt;Saboor&lt;/lastName&gt;&lt;firstName&gt;Adeeba&lt;/firstName&gt;&lt;/author&gt;&lt;author&gt;&lt;lastName&gt;Miller&lt;/lastName&gt;&lt;firstName&gt;Joseph&lt;/firstName&gt;&lt;middleNames&gt;D&lt;/middleNames&gt;&lt;/author&gt;&lt;author&gt;&lt;lastName&gt;Muehlenbachs&lt;/lastName&gt;&lt;firstName&gt;Atis&lt;/firstName&gt;&lt;/author&gt;&lt;author&gt;&lt;lastName&gt;Kraft&lt;/lastName&gt;&lt;firstName&gt;Colleen&lt;/firstName&gt;&lt;middleNames&gt;Suzanne&lt;/middleNames&gt;&lt;/author&gt;&lt;/authors&gt;&lt;editors&gt;&lt;author&gt;&lt;lastName&gt;Kraft&lt;/lastName&gt;&lt;firstName&gt;Colleen&lt;/firstName&gt;&lt;middleNames&gt;Suzanne&lt;/middleNames&gt;&lt;/author&gt;&lt;/editors&gt;&lt;/publication&gt;&lt;/publications&gt;&lt;cites&gt;&lt;/cites&gt;&lt;/citation&gt;</w:instrText>
      </w:r>
      <w:r w:rsidR="00451803">
        <w:rPr>
          <w:rFonts w:eastAsiaTheme="minorHAnsi"/>
        </w:rPr>
        <w:fldChar w:fldCharType="end"/>
      </w:r>
    </w:p>
    <w:p w14:paraId="607916E2" w14:textId="53A5CB92" w:rsidR="009942FF" w:rsidRDefault="009942FF" w:rsidP="009D16AC">
      <w:pPr>
        <w:spacing w:line="48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In order for population level data </w:t>
      </w:r>
      <w:r w:rsidR="004421D1">
        <w:rPr>
          <w:rFonts w:eastAsiaTheme="minorHAnsi"/>
        </w:rPr>
        <w:t xml:space="preserve">collected over different periods of time </w:t>
      </w:r>
      <w:r>
        <w:rPr>
          <w:rFonts w:eastAsiaTheme="minorHAnsi"/>
        </w:rPr>
        <w:t xml:space="preserve">to be useful for meat-analysis, ideally the same laboratory pipeline (e.g., pooling strategy, amplification, library preparation </w:t>
      </w:r>
      <w:r>
        <w:rPr>
          <w:rFonts w:eastAsiaTheme="minorHAnsi"/>
        </w:rPr>
        <w:lastRenderedPageBreak/>
        <w:t xml:space="preserve">and sequencing chemistries) and analysis should be used.  This is especially important in malaria pre-elimination settings or routine therapeutic efficacy studies being conducted </w:t>
      </w:r>
      <w:r w:rsidR="00181998">
        <w:rPr>
          <w:rFonts w:eastAsiaTheme="minorHAnsi"/>
        </w:rPr>
        <w:t>on a regular basis across</w:t>
      </w:r>
      <w:r>
        <w:rPr>
          <w:rFonts w:eastAsiaTheme="minorHAnsi"/>
        </w:rPr>
        <w:t xml:space="preserve"> different </w:t>
      </w:r>
      <w:r w:rsidR="00181998">
        <w:rPr>
          <w:rFonts w:eastAsiaTheme="minorHAnsi"/>
        </w:rPr>
        <w:t>geographical regions</w:t>
      </w:r>
      <w:r w:rsidR="00451803">
        <w:rPr>
          <w:rFonts w:eastAsiaTheme="minorHAnsi"/>
        </w:rPr>
        <w:t xml:space="preserve"> in support of National Malaria Control Programs. </w:t>
      </w:r>
      <w:r w:rsidR="003D47E8">
        <w:rPr>
          <w:rFonts w:eastAsiaTheme="minorHAnsi"/>
        </w:rPr>
        <w:t xml:space="preserve"> </w:t>
      </w:r>
      <w:r w:rsidR="00451803">
        <w:rPr>
          <w:rFonts w:eastAsiaTheme="minorHAnsi"/>
        </w:rPr>
        <w:t xml:space="preserve">Thus, the trade-off between cost savings and quality of data – especially reproducible data over time and space – should be considered when planning an NGS based pooling strategy for molecular surveillance of drug resistance genes. </w:t>
      </w:r>
    </w:p>
    <w:p w14:paraId="1AA324D4" w14:textId="6D6F2D53" w:rsidR="004936D2" w:rsidRDefault="0095562A" w:rsidP="009D16AC">
      <w:pPr>
        <w:spacing w:line="480" w:lineRule="auto"/>
        <w:ind w:firstLine="720"/>
        <w:rPr>
          <w:rFonts w:eastAsiaTheme="minorHAnsi"/>
        </w:rPr>
      </w:pPr>
      <w:r w:rsidRPr="00C338CB">
        <w:t xml:space="preserve">One </w:t>
      </w:r>
      <w:r w:rsidR="004421D1">
        <w:t xml:space="preserve">of the main </w:t>
      </w:r>
      <w:r w:rsidR="001A0826" w:rsidRPr="00C338CB">
        <w:t>limitatio</w:t>
      </w:r>
      <w:r w:rsidR="001A0826">
        <w:t>n</w:t>
      </w:r>
      <w:r w:rsidR="001A0826" w:rsidRPr="00C338CB">
        <w:t>s</w:t>
      </w:r>
      <w:r w:rsidRPr="00C338CB">
        <w:t xml:space="preserve"> of </w:t>
      </w:r>
      <w:r w:rsidR="004421D1">
        <w:t xml:space="preserve">most pooling </w:t>
      </w:r>
      <w:r w:rsidR="001A0826">
        <w:t>strategies</w:t>
      </w:r>
      <w:r w:rsidR="009D16AC">
        <w:t>, including the work described herein,</w:t>
      </w:r>
      <w:r w:rsidR="004421D1">
        <w:t xml:space="preserve"> is the </w:t>
      </w:r>
      <w:r w:rsidRPr="00C338CB">
        <w:t xml:space="preserve">inability of identifying </w:t>
      </w:r>
      <w:r w:rsidR="001A0826">
        <w:t>accurately</w:t>
      </w:r>
      <w:r w:rsidR="004421D1">
        <w:t xml:space="preserve"> </w:t>
      </w:r>
      <w:r w:rsidR="001A0826">
        <w:t>reads</w:t>
      </w:r>
      <w:r w:rsidR="004421D1">
        <w:t xml:space="preserve"> that </w:t>
      </w:r>
      <w:r w:rsidR="001A0826">
        <w:t>belong</w:t>
      </w:r>
      <w:r w:rsidR="004421D1">
        <w:t xml:space="preserve"> to individual patients</w:t>
      </w:r>
      <w:r w:rsidR="004936D2">
        <w:t xml:space="preserve">. </w:t>
      </w:r>
      <w:r w:rsidR="004936D2">
        <w:rPr>
          <w:rFonts w:eastAsiaTheme="minorHAnsi"/>
        </w:rPr>
        <w:t>However, using first a pooling strategy to identify possible SNP signals of interest, especially novel SNPs</w:t>
      </w:r>
      <w:r w:rsidR="009D16AC">
        <w:rPr>
          <w:rFonts w:eastAsiaTheme="minorHAnsi"/>
        </w:rPr>
        <w:t xml:space="preserve"> that might be associated with drug resistance</w:t>
      </w:r>
      <w:r w:rsidR="004936D2">
        <w:rPr>
          <w:rFonts w:eastAsiaTheme="minorHAnsi"/>
        </w:rPr>
        <w:t xml:space="preserve">, followed by individual patient level sequencing can be a good strategy for confirming drug </w:t>
      </w:r>
      <w:r w:rsidR="00451803">
        <w:rPr>
          <w:rFonts w:eastAsiaTheme="minorHAnsi"/>
        </w:rPr>
        <w:t>resistance</w:t>
      </w:r>
      <w:r w:rsidR="004936D2">
        <w:rPr>
          <w:rFonts w:eastAsiaTheme="minorHAnsi"/>
        </w:rPr>
        <w:t xml:space="preserve"> in </w:t>
      </w:r>
      <w:r w:rsidR="009D16AC">
        <w:rPr>
          <w:rFonts w:eastAsiaTheme="minorHAnsi"/>
        </w:rPr>
        <w:t xml:space="preserve">particular samples while keeping overall costs efficient. </w:t>
      </w:r>
    </w:p>
    <w:p w14:paraId="5D2AB3D9" w14:textId="4A427ED9" w:rsidR="009D16AC" w:rsidRDefault="009D16AC" w:rsidP="009D16AC">
      <w:pPr>
        <w:spacing w:line="480" w:lineRule="auto"/>
        <w:ind w:firstLine="720"/>
        <w:rPr>
          <w:rFonts w:eastAsiaTheme="minorHAnsi"/>
        </w:rPr>
      </w:pPr>
    </w:p>
    <w:p w14:paraId="74091DB3" w14:textId="31EA1899" w:rsidR="009D16AC" w:rsidRPr="009D16AC" w:rsidRDefault="009D16AC" w:rsidP="009D16AC">
      <w:pPr>
        <w:spacing w:line="480" w:lineRule="auto"/>
        <w:rPr>
          <w:rFonts w:eastAsiaTheme="minorHAnsi"/>
          <w:b/>
          <w:bCs/>
        </w:rPr>
      </w:pPr>
      <w:r w:rsidRPr="009D16AC">
        <w:rPr>
          <w:rFonts w:eastAsiaTheme="minorHAnsi"/>
          <w:b/>
          <w:bCs/>
        </w:rPr>
        <w:t>[</w:t>
      </w:r>
      <w:r>
        <w:rPr>
          <w:rFonts w:eastAsiaTheme="minorHAnsi"/>
          <w:b/>
          <w:bCs/>
        </w:rPr>
        <w:t xml:space="preserve">@ </w:t>
      </w:r>
      <w:r w:rsidRPr="009D16AC">
        <w:rPr>
          <w:rFonts w:eastAsiaTheme="minorHAnsi"/>
          <w:b/>
          <w:bCs/>
        </w:rPr>
        <w:t xml:space="preserve">ERIC – can you add here now part about how this could be useful for Haiti moving forward.] </w:t>
      </w:r>
    </w:p>
    <w:p w14:paraId="4BCB2F0F" w14:textId="77777777" w:rsidR="004936D2" w:rsidRDefault="004936D2" w:rsidP="0095562A">
      <w:pPr>
        <w:spacing w:line="480" w:lineRule="auto"/>
        <w:rPr>
          <w:rFonts w:eastAsiaTheme="minorHAnsi"/>
        </w:rPr>
      </w:pPr>
    </w:p>
    <w:p w14:paraId="304EFA05" w14:textId="77777777" w:rsidR="0095562A" w:rsidRDefault="0095562A"/>
    <w:p w14:paraId="60DA4F68" w14:textId="77777777" w:rsidR="0095562A" w:rsidRDefault="0095562A"/>
    <w:p w14:paraId="32252E76" w14:textId="2CD8B308" w:rsidR="00FC70C6" w:rsidRDefault="00FC70C6"/>
    <w:p w14:paraId="76006A9D" w14:textId="0906F828" w:rsidR="00335BB9" w:rsidRDefault="00335BB9"/>
    <w:p w14:paraId="6B6AD864" w14:textId="0907FAED" w:rsidR="00335BB9" w:rsidRDefault="00335BB9"/>
    <w:sectPr w:rsidR="00335BB9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ric Rogier" w:date="2019-09-26T09:37:00Z" w:initials="ER">
    <w:p w14:paraId="2B9B9AB0" w14:textId="07D5B95D" w:rsidR="00622DDB" w:rsidRDefault="00622DDB">
      <w:pPr>
        <w:pStyle w:val="CommentText"/>
      </w:pPr>
      <w:r>
        <w:rPr>
          <w:rStyle w:val="CommentReference"/>
        </w:rPr>
        <w:annotationRef/>
      </w:r>
      <w:r>
        <w:t xml:space="preserve">Currently 296 words which is </w:t>
      </w:r>
      <w:proofErr w:type="gramStart"/>
      <w:r>
        <w:t>fine, but</w:t>
      </w:r>
      <w:proofErr w:type="gramEnd"/>
      <w:r>
        <w:t xml:space="preserve"> will need to adjust based on journal being submitted to. </w:t>
      </w:r>
    </w:p>
  </w:comment>
  <w:comment w:id="1" w:author="Talundzic, Eldin (CDC/DDPHSIS/CGH/DPDM)" w:date="2020-05-26T14:23:00Z" w:initials="TE(">
    <w:p w14:paraId="03310DDC" w14:textId="0FCAE5A2" w:rsidR="00D63608" w:rsidRDefault="00D63608">
      <w:pPr>
        <w:pStyle w:val="CommentText"/>
      </w:pPr>
      <w:r>
        <w:rPr>
          <w:rStyle w:val="CommentReference"/>
        </w:rPr>
        <w:annotationRef/>
      </w:r>
      <w:r>
        <w:t xml:space="preserve">What advantages?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9B9AB0" w15:done="0"/>
  <w15:commentEx w15:paraId="03310D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7A4DF" w16cex:dateUtc="2020-05-26T1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9B9AB0" w16cid:durableId="21370568"/>
  <w16cid:commentId w16cid:paraId="03310DDC" w16cid:durableId="2277A4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3118A" w14:textId="77777777" w:rsidR="001A4602" w:rsidRDefault="001A4602" w:rsidP="00BC4B8E">
      <w:r>
        <w:separator/>
      </w:r>
    </w:p>
  </w:endnote>
  <w:endnote w:type="continuationSeparator" w:id="0">
    <w:p w14:paraId="312AEAA8" w14:textId="77777777" w:rsidR="001A4602" w:rsidRDefault="001A4602" w:rsidP="00BC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66911" w14:textId="77777777" w:rsidR="001A4602" w:rsidRDefault="001A4602" w:rsidP="00BC4B8E">
      <w:r>
        <w:separator/>
      </w:r>
    </w:p>
  </w:footnote>
  <w:footnote w:type="continuationSeparator" w:id="0">
    <w:p w14:paraId="2567BBC7" w14:textId="77777777" w:rsidR="001A4602" w:rsidRDefault="001A4602" w:rsidP="00BC4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4067"/>
    <w:multiLevelType w:val="multilevel"/>
    <w:tmpl w:val="D4E6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14ADB"/>
    <w:multiLevelType w:val="hybridMultilevel"/>
    <w:tmpl w:val="E8965E0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c Rogier">
    <w15:presenceInfo w15:providerId="Windows Live" w15:userId="909121c208c438f7"/>
  </w15:person>
  <w15:person w15:author="Talundzic, Eldin (CDC/DDPHSIS/CGH/DPDM)">
    <w15:presenceInfo w15:providerId="AD" w15:userId="S::wrj5@cdc.gov::c2704ee2-b677-459b-997c-940711958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laria J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expdtx5tavp8exef3pr5rxvps2fvwzezv5&quot;&gt;My EndNote Library&lt;record-ids&gt;&lt;item&gt;7&lt;/item&gt;&lt;item&gt;29&lt;/item&gt;&lt;item&gt;37&lt;/item&gt;&lt;item&gt;75&lt;/item&gt;&lt;item&gt;76&lt;/item&gt;&lt;item&gt;78&lt;/item&gt;&lt;item&gt;79&lt;/item&gt;&lt;item&gt;80&lt;/item&gt;&lt;item&gt;81&lt;/item&gt;&lt;item&gt;82&lt;/item&gt;&lt;item&gt;84&lt;/item&gt;&lt;item&gt;85&lt;/item&gt;&lt;item&gt;86&lt;/item&gt;&lt;item&gt;87&lt;/item&gt;&lt;item&gt;88&lt;/item&gt;&lt;item&gt;91&lt;/item&gt;&lt;item&gt;92&lt;/item&gt;&lt;item&gt;93&lt;/item&gt;&lt;item&gt;94&lt;/item&gt;&lt;item&gt;95&lt;/item&gt;&lt;item&gt;96&lt;/item&gt;&lt;item&gt;97&lt;/item&gt;&lt;/record-ids&gt;&lt;/item&gt;&lt;/Libraries&gt;"/>
  </w:docVars>
  <w:rsids>
    <w:rsidRoot w:val="00B91752"/>
    <w:rsid w:val="00057FE5"/>
    <w:rsid w:val="00062474"/>
    <w:rsid w:val="00063EEA"/>
    <w:rsid w:val="00066319"/>
    <w:rsid w:val="00067440"/>
    <w:rsid w:val="00082E8C"/>
    <w:rsid w:val="0009429E"/>
    <w:rsid w:val="00097AAD"/>
    <w:rsid w:val="000A59F3"/>
    <w:rsid w:val="000A78F6"/>
    <w:rsid w:val="000B4AFA"/>
    <w:rsid w:val="000C0D63"/>
    <w:rsid w:val="000C466A"/>
    <w:rsid w:val="000D11B6"/>
    <w:rsid w:val="000D451E"/>
    <w:rsid w:val="000F0F31"/>
    <w:rsid w:val="00105A4E"/>
    <w:rsid w:val="00117FB7"/>
    <w:rsid w:val="00126E86"/>
    <w:rsid w:val="00140042"/>
    <w:rsid w:val="00142896"/>
    <w:rsid w:val="001474DB"/>
    <w:rsid w:val="00180D3C"/>
    <w:rsid w:val="00181998"/>
    <w:rsid w:val="001962AE"/>
    <w:rsid w:val="001A0826"/>
    <w:rsid w:val="001A4602"/>
    <w:rsid w:val="001A7ADB"/>
    <w:rsid w:val="001D4686"/>
    <w:rsid w:val="00204095"/>
    <w:rsid w:val="00211015"/>
    <w:rsid w:val="002214E3"/>
    <w:rsid w:val="00241AA2"/>
    <w:rsid w:val="00243445"/>
    <w:rsid w:val="00272FAA"/>
    <w:rsid w:val="002827AE"/>
    <w:rsid w:val="0028671E"/>
    <w:rsid w:val="00293AA0"/>
    <w:rsid w:val="00297DDA"/>
    <w:rsid w:val="002B70DF"/>
    <w:rsid w:val="002C62AF"/>
    <w:rsid w:val="002D7AFA"/>
    <w:rsid w:val="002F78AC"/>
    <w:rsid w:val="0031254E"/>
    <w:rsid w:val="0031668D"/>
    <w:rsid w:val="0032339A"/>
    <w:rsid w:val="00325428"/>
    <w:rsid w:val="003261F7"/>
    <w:rsid w:val="00335BB9"/>
    <w:rsid w:val="00357841"/>
    <w:rsid w:val="00364CE0"/>
    <w:rsid w:val="00386A68"/>
    <w:rsid w:val="003960C2"/>
    <w:rsid w:val="003968B7"/>
    <w:rsid w:val="003C755B"/>
    <w:rsid w:val="003D47E8"/>
    <w:rsid w:val="003E0219"/>
    <w:rsid w:val="003E50AC"/>
    <w:rsid w:val="00407BCB"/>
    <w:rsid w:val="00413FAE"/>
    <w:rsid w:val="00427546"/>
    <w:rsid w:val="004421D1"/>
    <w:rsid w:val="00443CE3"/>
    <w:rsid w:val="00451803"/>
    <w:rsid w:val="004606A3"/>
    <w:rsid w:val="00460D29"/>
    <w:rsid w:val="004718E7"/>
    <w:rsid w:val="00476643"/>
    <w:rsid w:val="004936D2"/>
    <w:rsid w:val="004A289B"/>
    <w:rsid w:val="004A3C08"/>
    <w:rsid w:val="004C62CC"/>
    <w:rsid w:val="00502495"/>
    <w:rsid w:val="0051751A"/>
    <w:rsid w:val="00527242"/>
    <w:rsid w:val="00542876"/>
    <w:rsid w:val="0055367F"/>
    <w:rsid w:val="005661FA"/>
    <w:rsid w:val="00595CB5"/>
    <w:rsid w:val="005C02C7"/>
    <w:rsid w:val="005C5504"/>
    <w:rsid w:val="005E2139"/>
    <w:rsid w:val="005E4171"/>
    <w:rsid w:val="00607EE1"/>
    <w:rsid w:val="006146C7"/>
    <w:rsid w:val="0062093F"/>
    <w:rsid w:val="00622DDB"/>
    <w:rsid w:val="0062683E"/>
    <w:rsid w:val="006539F5"/>
    <w:rsid w:val="006572BB"/>
    <w:rsid w:val="00660111"/>
    <w:rsid w:val="00680D02"/>
    <w:rsid w:val="00684890"/>
    <w:rsid w:val="00691FB7"/>
    <w:rsid w:val="006936BA"/>
    <w:rsid w:val="006A2C48"/>
    <w:rsid w:val="006B101C"/>
    <w:rsid w:val="006B1ACF"/>
    <w:rsid w:val="006D3459"/>
    <w:rsid w:val="006D4D8F"/>
    <w:rsid w:val="007035BE"/>
    <w:rsid w:val="0070463D"/>
    <w:rsid w:val="00711619"/>
    <w:rsid w:val="007248CD"/>
    <w:rsid w:val="007323A1"/>
    <w:rsid w:val="00735D91"/>
    <w:rsid w:val="0075443A"/>
    <w:rsid w:val="0076262A"/>
    <w:rsid w:val="00763E44"/>
    <w:rsid w:val="00793885"/>
    <w:rsid w:val="007941B6"/>
    <w:rsid w:val="007A3710"/>
    <w:rsid w:val="007B2D98"/>
    <w:rsid w:val="007B7302"/>
    <w:rsid w:val="007C0C8A"/>
    <w:rsid w:val="007C5A0A"/>
    <w:rsid w:val="007C70C5"/>
    <w:rsid w:val="007E4E5B"/>
    <w:rsid w:val="008124F8"/>
    <w:rsid w:val="00861316"/>
    <w:rsid w:val="00873813"/>
    <w:rsid w:val="00874711"/>
    <w:rsid w:val="00882596"/>
    <w:rsid w:val="00891EF2"/>
    <w:rsid w:val="008970D7"/>
    <w:rsid w:val="008A6B2D"/>
    <w:rsid w:val="008A7972"/>
    <w:rsid w:val="008B2040"/>
    <w:rsid w:val="008C4771"/>
    <w:rsid w:val="008E70DF"/>
    <w:rsid w:val="008F4BA3"/>
    <w:rsid w:val="008F719A"/>
    <w:rsid w:val="00904EF0"/>
    <w:rsid w:val="00907133"/>
    <w:rsid w:val="0091275E"/>
    <w:rsid w:val="0093088A"/>
    <w:rsid w:val="0093096A"/>
    <w:rsid w:val="009355FA"/>
    <w:rsid w:val="00937B0C"/>
    <w:rsid w:val="0095562A"/>
    <w:rsid w:val="00963B51"/>
    <w:rsid w:val="0097109B"/>
    <w:rsid w:val="0098493C"/>
    <w:rsid w:val="009942FF"/>
    <w:rsid w:val="009D16AC"/>
    <w:rsid w:val="009D27B4"/>
    <w:rsid w:val="009E1D50"/>
    <w:rsid w:val="009E559B"/>
    <w:rsid w:val="009E6D6A"/>
    <w:rsid w:val="009E7805"/>
    <w:rsid w:val="009F0ACE"/>
    <w:rsid w:val="009F6350"/>
    <w:rsid w:val="00A02AAB"/>
    <w:rsid w:val="00A14FFA"/>
    <w:rsid w:val="00A30A54"/>
    <w:rsid w:val="00A34695"/>
    <w:rsid w:val="00A377BF"/>
    <w:rsid w:val="00A55F1B"/>
    <w:rsid w:val="00A5745B"/>
    <w:rsid w:val="00A612B1"/>
    <w:rsid w:val="00A8042C"/>
    <w:rsid w:val="00A82F7B"/>
    <w:rsid w:val="00A83946"/>
    <w:rsid w:val="00A84EC9"/>
    <w:rsid w:val="00A90AA7"/>
    <w:rsid w:val="00A93EFD"/>
    <w:rsid w:val="00AA6FDE"/>
    <w:rsid w:val="00AB7F54"/>
    <w:rsid w:val="00AD7499"/>
    <w:rsid w:val="00AE4D10"/>
    <w:rsid w:val="00AF143B"/>
    <w:rsid w:val="00AF4AF9"/>
    <w:rsid w:val="00B03712"/>
    <w:rsid w:val="00B36F0C"/>
    <w:rsid w:val="00B51352"/>
    <w:rsid w:val="00B557F5"/>
    <w:rsid w:val="00B743AD"/>
    <w:rsid w:val="00B778A6"/>
    <w:rsid w:val="00B8415A"/>
    <w:rsid w:val="00B84E0E"/>
    <w:rsid w:val="00B91752"/>
    <w:rsid w:val="00BA0A9E"/>
    <w:rsid w:val="00BA1B16"/>
    <w:rsid w:val="00BC005D"/>
    <w:rsid w:val="00BC3ACF"/>
    <w:rsid w:val="00BC4B8E"/>
    <w:rsid w:val="00BD0AC6"/>
    <w:rsid w:val="00BF0BE9"/>
    <w:rsid w:val="00C038F5"/>
    <w:rsid w:val="00C04CF9"/>
    <w:rsid w:val="00C338CB"/>
    <w:rsid w:val="00C357CC"/>
    <w:rsid w:val="00C4649A"/>
    <w:rsid w:val="00C54837"/>
    <w:rsid w:val="00C70FAB"/>
    <w:rsid w:val="00C8080B"/>
    <w:rsid w:val="00C85893"/>
    <w:rsid w:val="00C91D81"/>
    <w:rsid w:val="00C924F3"/>
    <w:rsid w:val="00C97922"/>
    <w:rsid w:val="00CA2848"/>
    <w:rsid w:val="00CD6F10"/>
    <w:rsid w:val="00CF1684"/>
    <w:rsid w:val="00CF2AB3"/>
    <w:rsid w:val="00CF4807"/>
    <w:rsid w:val="00D00CAE"/>
    <w:rsid w:val="00D00E33"/>
    <w:rsid w:val="00D26908"/>
    <w:rsid w:val="00D413EB"/>
    <w:rsid w:val="00D53C9E"/>
    <w:rsid w:val="00D63608"/>
    <w:rsid w:val="00D67FE3"/>
    <w:rsid w:val="00D750B8"/>
    <w:rsid w:val="00D76A73"/>
    <w:rsid w:val="00D91CE6"/>
    <w:rsid w:val="00D93C35"/>
    <w:rsid w:val="00DA40C6"/>
    <w:rsid w:val="00DB0689"/>
    <w:rsid w:val="00DC0236"/>
    <w:rsid w:val="00DD5D81"/>
    <w:rsid w:val="00DE1064"/>
    <w:rsid w:val="00E04333"/>
    <w:rsid w:val="00E162D0"/>
    <w:rsid w:val="00E33424"/>
    <w:rsid w:val="00E47502"/>
    <w:rsid w:val="00E47B40"/>
    <w:rsid w:val="00E521E0"/>
    <w:rsid w:val="00E875C7"/>
    <w:rsid w:val="00E9383F"/>
    <w:rsid w:val="00EA4B66"/>
    <w:rsid w:val="00EB4BA7"/>
    <w:rsid w:val="00EB6398"/>
    <w:rsid w:val="00EC0615"/>
    <w:rsid w:val="00ED09EA"/>
    <w:rsid w:val="00ED3499"/>
    <w:rsid w:val="00F02872"/>
    <w:rsid w:val="00F13375"/>
    <w:rsid w:val="00F15580"/>
    <w:rsid w:val="00F15E6D"/>
    <w:rsid w:val="00F30780"/>
    <w:rsid w:val="00F31746"/>
    <w:rsid w:val="00F509F7"/>
    <w:rsid w:val="00F657F0"/>
    <w:rsid w:val="00F66BEC"/>
    <w:rsid w:val="00F778D1"/>
    <w:rsid w:val="00F8012D"/>
    <w:rsid w:val="00F84FA1"/>
    <w:rsid w:val="00F93B8C"/>
    <w:rsid w:val="00F94561"/>
    <w:rsid w:val="00FC37F3"/>
    <w:rsid w:val="00FC5467"/>
    <w:rsid w:val="00FC70C6"/>
    <w:rsid w:val="00FD76C5"/>
    <w:rsid w:val="00FE6744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3C2C"/>
  <w15:chartTrackingRefBased/>
  <w15:docId w15:val="{58F49902-5E51-4688-A6DB-2D3A28CB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752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B91752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91752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C70FAB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70FAB"/>
    <w:rPr>
      <w:rFonts w:ascii="Times New Roman" w:eastAsia="Times New Roman" w:hAnsi="Times New Roman" w:cs="Times New Roman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95562A"/>
    <w:pPr>
      <w:spacing w:before="100" w:beforeAutospacing="1" w:after="100" w:afterAutospacing="1"/>
    </w:pPr>
  </w:style>
  <w:style w:type="character" w:customStyle="1" w:styleId="NoneA">
    <w:name w:val="None A"/>
    <w:rsid w:val="0093088A"/>
    <w:rPr>
      <w:lang w:val="en-US"/>
    </w:rPr>
  </w:style>
  <w:style w:type="paragraph" w:customStyle="1" w:styleId="BodyB">
    <w:name w:val="Body B"/>
    <w:rsid w:val="009308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930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8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88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8A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89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2DD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15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0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8671E"/>
  </w:style>
  <w:style w:type="character" w:styleId="Emphasis">
    <w:name w:val="Emphasis"/>
    <w:basedOn w:val="DefaultParagraphFont"/>
    <w:uiPriority w:val="20"/>
    <w:qFormat/>
    <w:rsid w:val="00691F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C4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B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B8E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geneious.com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DCgov/MaRS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260071801D642AEAFC62AEF0B5E20" ma:contentTypeVersion="6" ma:contentTypeDescription="Create a new document." ma:contentTypeScope="" ma:versionID="e05f88762e7cbe813698dcf4b3c2ec6e">
  <xsd:schema xmlns:xsd="http://www.w3.org/2001/XMLSchema" xmlns:xs="http://www.w3.org/2001/XMLSchema" xmlns:p="http://schemas.microsoft.com/office/2006/metadata/properties" xmlns:ns2="37c57f3d-dbd6-493d-a25a-497d99198b0a" targetNamespace="http://schemas.microsoft.com/office/2006/metadata/properties" ma:root="true" ma:fieldsID="5fd37d7f578792f1ec02d23e2dd3f943" ns2:_="">
    <xsd:import namespace="37c57f3d-dbd6-493d-a25a-497d99198b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7f3d-dbd6-493d-a25a-497d99198b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68E61-B1CB-A041-A865-F122117D97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90F2E0-098E-4E04-9A01-0FCD626D87A7}"/>
</file>

<file path=customXml/itemProps3.xml><?xml version="1.0" encoding="utf-8"?>
<ds:datastoreItem xmlns:ds="http://schemas.openxmlformats.org/officeDocument/2006/customXml" ds:itemID="{76F03453-3CD3-4A68-834D-90F8A1D77661}"/>
</file>

<file path=customXml/itemProps4.xml><?xml version="1.0" encoding="utf-8"?>
<ds:datastoreItem xmlns:ds="http://schemas.openxmlformats.org/officeDocument/2006/customXml" ds:itemID="{BEC1C24A-61E5-40A2-A99C-BE17E0CA3A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Herman, Camelia (CDC/DDPHSIS/CGH/DPDM)</dc:creator>
  <cp:keywords/>
  <dc:description/>
  <cp:lastModifiedBy>Talundzic, Eldin (CDC/DDPHSIS/CGH/DPDM)</cp:lastModifiedBy>
  <cp:revision>2</cp:revision>
  <dcterms:created xsi:type="dcterms:W3CDTF">2020-05-28T12:48:00Z</dcterms:created>
  <dcterms:modified xsi:type="dcterms:W3CDTF">2020-05-28T12:48:00Z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class="21"/&gt;&lt;count citations="29" publications="21"/&gt;&lt;/info&gt;PAPERS2_INFO_END</vt:lpwstr>
  </property>
  <property fmtid="{D5CDD505-2E9C-101B-9397-08002B2CF9AE}" pid="3" name="ContentTypeId">
    <vt:lpwstr>0x01010024D260071801D642AEAFC62AEF0B5E20</vt:lpwstr>
  </property>
</Properties>
</file>