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2238" w:rsidRDefault="00922238" w:rsidP="00D730B5">
      <w:pPr>
        <w:spacing w:line="480" w:lineRule="auto"/>
      </w:pPr>
    </w:p>
    <w:tbl>
      <w:tblPr>
        <w:tblStyle w:val="TableGrid"/>
        <w:tblW w:w="0" w:type="auto"/>
        <w:tblLook w:val="04A0" w:firstRow="1" w:lastRow="0" w:firstColumn="1" w:lastColumn="0" w:noHBand="0" w:noVBand="1"/>
      </w:tblPr>
      <w:tblGrid>
        <w:gridCol w:w="864"/>
        <w:gridCol w:w="1534"/>
        <w:gridCol w:w="1811"/>
      </w:tblGrid>
      <w:tr w:rsidR="00E15818" w:rsidTr="00616D01">
        <w:trPr>
          <w:trHeight w:hRule="exact" w:val="861"/>
        </w:trPr>
        <w:tc>
          <w:tcPr>
            <w:tcW w:w="864" w:type="dxa"/>
            <w:tcBorders>
              <w:top w:val="single" w:sz="4" w:space="0" w:color="auto"/>
              <w:left w:val="single" w:sz="4" w:space="0" w:color="auto"/>
              <w:bottom w:val="single" w:sz="4" w:space="0" w:color="auto"/>
              <w:right w:val="double" w:sz="4" w:space="0" w:color="auto"/>
            </w:tcBorders>
            <w:shd w:val="clear" w:color="auto" w:fill="D9D9D9" w:themeFill="background1" w:themeFillShade="D9"/>
          </w:tcPr>
          <w:p w:rsidR="00E15818" w:rsidRPr="0028671E" w:rsidRDefault="00E15818" w:rsidP="00616D01">
            <w:pPr>
              <w:spacing w:line="480" w:lineRule="auto"/>
              <w:rPr>
                <w:b/>
                <w:bCs/>
                <w:sz w:val="21"/>
                <w:szCs w:val="21"/>
              </w:rPr>
            </w:pPr>
            <w:r w:rsidRPr="0028671E">
              <w:rPr>
                <w:b/>
                <w:bCs/>
                <w:sz w:val="21"/>
                <w:szCs w:val="21"/>
              </w:rPr>
              <w:t>Pool #</w:t>
            </w:r>
          </w:p>
        </w:tc>
        <w:tc>
          <w:tcPr>
            <w:tcW w:w="1534" w:type="dxa"/>
            <w:tcBorders>
              <w:top w:val="single" w:sz="4" w:space="0" w:color="auto"/>
              <w:left w:val="single" w:sz="4" w:space="0" w:color="auto"/>
              <w:bottom w:val="single" w:sz="4" w:space="0" w:color="auto"/>
              <w:right w:val="double" w:sz="4" w:space="0" w:color="auto"/>
            </w:tcBorders>
            <w:shd w:val="clear" w:color="auto" w:fill="D9D9D9" w:themeFill="background1" w:themeFillShade="D9"/>
          </w:tcPr>
          <w:p w:rsidR="00E15818" w:rsidRPr="0028671E" w:rsidRDefault="00E15818" w:rsidP="00616D01">
            <w:pPr>
              <w:spacing w:line="480" w:lineRule="auto"/>
              <w:rPr>
                <w:b/>
                <w:bCs/>
                <w:sz w:val="21"/>
                <w:szCs w:val="21"/>
              </w:rPr>
            </w:pPr>
            <w:r w:rsidRPr="0028671E">
              <w:rPr>
                <w:b/>
                <w:bCs/>
                <w:sz w:val="21"/>
                <w:szCs w:val="21"/>
              </w:rPr>
              <w:t>PET-PCR Ct</w:t>
            </w:r>
          </w:p>
          <w:p w:rsidR="00E15818" w:rsidRPr="0028671E" w:rsidRDefault="00E15818" w:rsidP="00616D01">
            <w:pPr>
              <w:spacing w:line="480" w:lineRule="auto"/>
              <w:jc w:val="center"/>
              <w:rPr>
                <w:sz w:val="21"/>
                <w:szCs w:val="21"/>
              </w:rPr>
            </w:pPr>
            <w:r w:rsidRPr="0028671E">
              <w:rPr>
                <w:sz w:val="21"/>
                <w:szCs w:val="21"/>
              </w:rPr>
              <w:t>[average]</w:t>
            </w:r>
          </w:p>
        </w:tc>
        <w:tc>
          <w:tcPr>
            <w:tcW w:w="1811" w:type="dxa"/>
            <w:tcBorders>
              <w:top w:val="single" w:sz="4" w:space="0" w:color="auto"/>
              <w:left w:val="double" w:sz="4" w:space="0" w:color="auto"/>
              <w:bottom w:val="single" w:sz="4" w:space="0" w:color="auto"/>
              <w:right w:val="single" w:sz="4" w:space="0" w:color="auto"/>
            </w:tcBorders>
            <w:shd w:val="clear" w:color="auto" w:fill="D9D9D9" w:themeFill="background1" w:themeFillShade="D9"/>
          </w:tcPr>
          <w:p w:rsidR="00E15818" w:rsidRPr="0028671E" w:rsidRDefault="00E15818" w:rsidP="00616D01">
            <w:pPr>
              <w:spacing w:line="480" w:lineRule="auto"/>
              <w:rPr>
                <w:b/>
                <w:bCs/>
                <w:sz w:val="21"/>
                <w:szCs w:val="21"/>
              </w:rPr>
            </w:pPr>
            <w:r w:rsidRPr="0028671E">
              <w:rPr>
                <w:b/>
                <w:bCs/>
                <w:sz w:val="21"/>
                <w:szCs w:val="21"/>
              </w:rPr>
              <w:t xml:space="preserve">Parasites per </w:t>
            </w:r>
            <w:proofErr w:type="spellStart"/>
            <w:r w:rsidRPr="0028671E">
              <w:rPr>
                <w:b/>
                <w:bCs/>
                <w:sz w:val="21"/>
                <w:szCs w:val="21"/>
              </w:rPr>
              <w:t>uL</w:t>
            </w:r>
            <w:proofErr w:type="spellEnd"/>
          </w:p>
          <w:p w:rsidR="00E15818" w:rsidRPr="0028671E" w:rsidRDefault="00E15818" w:rsidP="00616D01">
            <w:pPr>
              <w:spacing w:line="480" w:lineRule="auto"/>
              <w:jc w:val="center"/>
              <w:rPr>
                <w:sz w:val="21"/>
                <w:szCs w:val="21"/>
              </w:rPr>
            </w:pPr>
            <w:r w:rsidRPr="0028671E">
              <w:rPr>
                <w:sz w:val="21"/>
                <w:szCs w:val="21"/>
              </w:rPr>
              <w:t>[estimate]</w:t>
            </w:r>
          </w:p>
        </w:tc>
      </w:tr>
      <w:tr w:rsidR="00E15818" w:rsidTr="00616D01">
        <w:trPr>
          <w:trHeight w:hRule="exact" w:val="340"/>
        </w:trPr>
        <w:tc>
          <w:tcPr>
            <w:tcW w:w="864" w:type="dxa"/>
            <w:tcBorders>
              <w:top w:val="single" w:sz="4" w:space="0" w:color="auto"/>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1</w:t>
            </w:r>
          </w:p>
        </w:tc>
        <w:tc>
          <w:tcPr>
            <w:tcW w:w="1534" w:type="dxa"/>
            <w:tcBorders>
              <w:top w:val="single" w:sz="4" w:space="0" w:color="auto"/>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22.20</w:t>
            </w:r>
          </w:p>
        </w:tc>
        <w:tc>
          <w:tcPr>
            <w:tcW w:w="1811" w:type="dxa"/>
            <w:tcBorders>
              <w:top w:val="single" w:sz="4" w:space="0" w:color="auto"/>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30,000</w:t>
            </w:r>
          </w:p>
        </w:tc>
      </w:tr>
      <w:tr w:rsidR="00E15818" w:rsidTr="00616D01">
        <w:trPr>
          <w:trHeight w:hRule="exact" w:val="340"/>
        </w:trPr>
        <w:tc>
          <w:tcPr>
            <w:tcW w:w="86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2</w:t>
            </w:r>
          </w:p>
        </w:tc>
        <w:tc>
          <w:tcPr>
            <w:tcW w:w="153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24.00</w:t>
            </w:r>
          </w:p>
        </w:tc>
        <w:tc>
          <w:tcPr>
            <w:tcW w:w="1811" w:type="dxa"/>
            <w:tcBorders>
              <w:top w:val="nil"/>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10,000</w:t>
            </w:r>
          </w:p>
        </w:tc>
      </w:tr>
      <w:tr w:rsidR="00E15818" w:rsidTr="00616D01">
        <w:trPr>
          <w:trHeight w:hRule="exact" w:val="340"/>
        </w:trPr>
        <w:tc>
          <w:tcPr>
            <w:tcW w:w="86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3</w:t>
            </w:r>
          </w:p>
        </w:tc>
        <w:tc>
          <w:tcPr>
            <w:tcW w:w="153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25.70</w:t>
            </w:r>
          </w:p>
        </w:tc>
        <w:tc>
          <w:tcPr>
            <w:tcW w:w="1811" w:type="dxa"/>
            <w:tcBorders>
              <w:top w:val="nil"/>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3000</w:t>
            </w:r>
          </w:p>
        </w:tc>
      </w:tr>
      <w:tr w:rsidR="00E15818" w:rsidTr="00616D01">
        <w:trPr>
          <w:trHeight w:hRule="exact" w:val="340"/>
        </w:trPr>
        <w:tc>
          <w:tcPr>
            <w:tcW w:w="86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4</w:t>
            </w:r>
          </w:p>
        </w:tc>
        <w:tc>
          <w:tcPr>
            <w:tcW w:w="153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27.90</w:t>
            </w:r>
          </w:p>
        </w:tc>
        <w:tc>
          <w:tcPr>
            <w:tcW w:w="1811" w:type="dxa"/>
            <w:tcBorders>
              <w:top w:val="nil"/>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600</w:t>
            </w:r>
          </w:p>
        </w:tc>
      </w:tr>
      <w:tr w:rsidR="00E15818" w:rsidTr="00616D01">
        <w:trPr>
          <w:trHeight w:hRule="exact" w:val="340"/>
        </w:trPr>
        <w:tc>
          <w:tcPr>
            <w:tcW w:w="86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5</w:t>
            </w:r>
          </w:p>
        </w:tc>
        <w:tc>
          <w:tcPr>
            <w:tcW w:w="153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29.80</w:t>
            </w:r>
          </w:p>
        </w:tc>
        <w:tc>
          <w:tcPr>
            <w:tcW w:w="1811" w:type="dxa"/>
            <w:tcBorders>
              <w:top w:val="nil"/>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150</w:t>
            </w:r>
          </w:p>
        </w:tc>
      </w:tr>
      <w:tr w:rsidR="00E15818" w:rsidTr="00616D01">
        <w:trPr>
          <w:trHeight w:hRule="exact" w:val="340"/>
        </w:trPr>
        <w:tc>
          <w:tcPr>
            <w:tcW w:w="86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6</w:t>
            </w:r>
          </w:p>
        </w:tc>
        <w:tc>
          <w:tcPr>
            <w:tcW w:w="153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31.80</w:t>
            </w:r>
          </w:p>
        </w:tc>
        <w:tc>
          <w:tcPr>
            <w:tcW w:w="1811" w:type="dxa"/>
            <w:tcBorders>
              <w:top w:val="nil"/>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40</w:t>
            </w:r>
          </w:p>
        </w:tc>
      </w:tr>
      <w:tr w:rsidR="00E15818" w:rsidTr="00616D01">
        <w:trPr>
          <w:trHeight w:hRule="exact" w:val="340"/>
        </w:trPr>
        <w:tc>
          <w:tcPr>
            <w:tcW w:w="86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7</w:t>
            </w:r>
          </w:p>
        </w:tc>
        <w:tc>
          <w:tcPr>
            <w:tcW w:w="153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34.10</w:t>
            </w:r>
          </w:p>
        </w:tc>
        <w:tc>
          <w:tcPr>
            <w:tcW w:w="1811" w:type="dxa"/>
            <w:tcBorders>
              <w:top w:val="nil"/>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10</w:t>
            </w:r>
          </w:p>
        </w:tc>
      </w:tr>
      <w:tr w:rsidR="00E15818" w:rsidTr="00616D01">
        <w:trPr>
          <w:trHeight w:hRule="exact" w:val="340"/>
        </w:trPr>
        <w:tc>
          <w:tcPr>
            <w:tcW w:w="86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8</w:t>
            </w:r>
          </w:p>
        </w:tc>
        <w:tc>
          <w:tcPr>
            <w:tcW w:w="153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36.00</w:t>
            </w:r>
          </w:p>
        </w:tc>
        <w:tc>
          <w:tcPr>
            <w:tcW w:w="1811" w:type="dxa"/>
            <w:tcBorders>
              <w:top w:val="nil"/>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3</w:t>
            </w:r>
          </w:p>
        </w:tc>
      </w:tr>
      <w:tr w:rsidR="00E15818" w:rsidTr="00616D01">
        <w:trPr>
          <w:trHeight w:hRule="exact" w:val="340"/>
        </w:trPr>
        <w:tc>
          <w:tcPr>
            <w:tcW w:w="86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9</w:t>
            </w:r>
          </w:p>
        </w:tc>
        <w:tc>
          <w:tcPr>
            <w:tcW w:w="1534" w:type="dxa"/>
            <w:tcBorders>
              <w:top w:val="nil"/>
              <w:left w:val="single" w:sz="4" w:space="0" w:color="auto"/>
              <w:bottom w:val="nil"/>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37.80</w:t>
            </w:r>
          </w:p>
        </w:tc>
        <w:tc>
          <w:tcPr>
            <w:tcW w:w="1811" w:type="dxa"/>
            <w:tcBorders>
              <w:top w:val="nil"/>
              <w:left w:val="double" w:sz="4" w:space="0" w:color="auto"/>
              <w:bottom w:val="nil"/>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1.0</w:t>
            </w:r>
          </w:p>
        </w:tc>
      </w:tr>
      <w:tr w:rsidR="00E15818" w:rsidTr="00616D01">
        <w:trPr>
          <w:trHeight w:hRule="exact" w:val="340"/>
        </w:trPr>
        <w:tc>
          <w:tcPr>
            <w:tcW w:w="864" w:type="dxa"/>
            <w:tcBorders>
              <w:top w:val="nil"/>
              <w:left w:val="single" w:sz="4" w:space="0" w:color="auto"/>
              <w:bottom w:val="single" w:sz="4" w:space="0" w:color="auto"/>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Pr>
                <w:sz w:val="21"/>
                <w:szCs w:val="21"/>
              </w:rPr>
              <w:t>10</w:t>
            </w:r>
          </w:p>
        </w:tc>
        <w:tc>
          <w:tcPr>
            <w:tcW w:w="1534" w:type="dxa"/>
            <w:tcBorders>
              <w:top w:val="nil"/>
              <w:left w:val="single" w:sz="4" w:space="0" w:color="auto"/>
              <w:bottom w:val="single" w:sz="4" w:space="0" w:color="auto"/>
              <w:right w:val="doub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40.0</w:t>
            </w:r>
          </w:p>
        </w:tc>
        <w:tc>
          <w:tcPr>
            <w:tcW w:w="1811" w:type="dxa"/>
            <w:tcBorders>
              <w:top w:val="nil"/>
              <w:left w:val="double" w:sz="4" w:space="0" w:color="auto"/>
              <w:bottom w:val="single" w:sz="4" w:space="0" w:color="auto"/>
              <w:right w:val="single" w:sz="4" w:space="0" w:color="auto"/>
            </w:tcBorders>
            <w:shd w:val="clear" w:color="auto" w:fill="auto"/>
            <w:vAlign w:val="bottom"/>
          </w:tcPr>
          <w:p w:rsidR="00E15818" w:rsidRPr="00211015" w:rsidRDefault="00E15818" w:rsidP="00616D01">
            <w:pPr>
              <w:spacing w:line="480" w:lineRule="auto"/>
              <w:jc w:val="center"/>
              <w:rPr>
                <w:sz w:val="21"/>
                <w:szCs w:val="21"/>
              </w:rPr>
            </w:pPr>
            <w:r w:rsidRPr="00211015">
              <w:rPr>
                <w:sz w:val="21"/>
                <w:szCs w:val="21"/>
              </w:rPr>
              <w:t>0.4</w:t>
            </w:r>
          </w:p>
        </w:tc>
      </w:tr>
    </w:tbl>
    <w:p w:rsidR="00E15818" w:rsidRDefault="00E15818" w:rsidP="00D730B5">
      <w:pPr>
        <w:spacing w:line="480" w:lineRule="auto"/>
      </w:pPr>
    </w:p>
    <w:p w:rsidR="00E15818" w:rsidRPr="00E15818" w:rsidRDefault="00E15818" w:rsidP="00D730B5">
      <w:pPr>
        <w:spacing w:line="480" w:lineRule="auto"/>
      </w:pPr>
      <w:r>
        <w:rPr>
          <w:b/>
          <w:bCs/>
        </w:rPr>
        <w:t xml:space="preserve">Table 1. Pooling of samples based on parasitemia levels. </w:t>
      </w:r>
      <w:r>
        <w:t xml:space="preserve">Ten sets of 10:1 ratio </w:t>
      </w:r>
      <w:proofErr w:type="gramStart"/>
      <w:r>
        <w:t>pools</w:t>
      </w:r>
      <w:proofErr w:type="gramEnd"/>
      <w:r>
        <w:t xml:space="preserve"> were made based on similar Ct (estimated parasitemia) values. Ct values with corresponding parasites per </w:t>
      </w:r>
      <w:proofErr w:type="spellStart"/>
      <w:r>
        <w:t>uL</w:t>
      </w:r>
      <w:proofErr w:type="spellEnd"/>
      <w:r>
        <w:t xml:space="preserve"> are shown. </w:t>
      </w:r>
    </w:p>
    <w:p w:rsidR="00E15818" w:rsidRDefault="00E15818" w:rsidP="00D730B5">
      <w:pPr>
        <w:spacing w:line="480" w:lineRule="auto"/>
      </w:pPr>
    </w:p>
    <w:p w:rsidR="00E15818" w:rsidRDefault="00E15818" w:rsidP="00D730B5">
      <w:pPr>
        <w:spacing w:line="480" w:lineRule="auto"/>
      </w:pPr>
    </w:p>
    <w:p w:rsidR="00922238" w:rsidRDefault="00922238" w:rsidP="00D730B5">
      <w:pPr>
        <w:spacing w:line="480" w:lineRule="auto"/>
      </w:pPr>
      <w:r>
        <w:rPr>
          <w:noProof/>
        </w:rPr>
        <w:lastRenderedPageBreak/>
        <w:drawing>
          <wp:inline distT="0" distB="0" distL="0" distR="0">
            <wp:extent cx="8609935" cy="3974123"/>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df"/>
                    <pic:cNvPicPr/>
                  </pic:nvPicPr>
                  <pic:blipFill>
                    <a:blip r:embed="rId7">
                      <a:extLst>
                        <a:ext uri="{28A0092B-C50C-407E-A947-70E740481C1C}">
                          <a14:useLocalDpi xmlns:a14="http://schemas.microsoft.com/office/drawing/2010/main" val="0"/>
                        </a:ext>
                      </a:extLst>
                    </a:blip>
                    <a:stretch>
                      <a:fillRect/>
                    </a:stretch>
                  </pic:blipFill>
                  <pic:spPr>
                    <a:xfrm>
                      <a:off x="0" y="0"/>
                      <a:ext cx="8618472" cy="3978063"/>
                    </a:xfrm>
                    <a:prstGeom prst="rect">
                      <a:avLst/>
                    </a:prstGeom>
                  </pic:spPr>
                </pic:pic>
              </a:graphicData>
            </a:graphic>
          </wp:inline>
        </w:drawing>
      </w:r>
    </w:p>
    <w:p w:rsidR="00E15818" w:rsidRDefault="00E15818" w:rsidP="00D730B5">
      <w:pPr>
        <w:spacing w:line="480" w:lineRule="auto"/>
        <w:rPr>
          <w:b/>
          <w:bCs/>
        </w:rPr>
      </w:pPr>
    </w:p>
    <w:p w:rsidR="00E15818" w:rsidRDefault="00E15818" w:rsidP="00D730B5">
      <w:pPr>
        <w:spacing w:line="480" w:lineRule="auto"/>
        <w:rPr>
          <w:b/>
          <w:bCs/>
        </w:rPr>
      </w:pPr>
    </w:p>
    <w:p w:rsidR="00D730B5" w:rsidRDefault="00922238" w:rsidP="00D730B5">
      <w:pPr>
        <w:spacing w:line="480" w:lineRule="auto"/>
      </w:pPr>
      <w:r w:rsidRPr="00922238">
        <w:rPr>
          <w:b/>
          <w:bCs/>
        </w:rPr>
        <w:t xml:space="preserve">Figure 1. </w:t>
      </w:r>
      <w:r w:rsidR="0067091C">
        <w:rPr>
          <w:b/>
          <w:bCs/>
        </w:rPr>
        <w:t xml:space="preserve">Sequencing outcome for </w:t>
      </w:r>
      <w:proofErr w:type="spellStart"/>
      <w:r w:rsidR="0067091C">
        <w:rPr>
          <w:b/>
          <w:bCs/>
          <w:i/>
          <w:iCs/>
        </w:rPr>
        <w:t>dhfr</w:t>
      </w:r>
      <w:proofErr w:type="spellEnd"/>
      <w:r w:rsidR="0067091C">
        <w:rPr>
          <w:b/>
          <w:bCs/>
          <w:i/>
          <w:iCs/>
        </w:rPr>
        <w:t xml:space="preserve"> </w:t>
      </w:r>
      <w:r w:rsidR="0067091C">
        <w:rPr>
          <w:b/>
          <w:bCs/>
        </w:rPr>
        <w:t xml:space="preserve">and </w:t>
      </w:r>
      <w:r w:rsidR="0067091C">
        <w:rPr>
          <w:b/>
          <w:bCs/>
          <w:i/>
          <w:iCs/>
        </w:rPr>
        <w:t xml:space="preserve">mdr1 </w:t>
      </w:r>
      <w:r w:rsidR="0067091C">
        <w:rPr>
          <w:b/>
          <w:bCs/>
        </w:rPr>
        <w:t xml:space="preserve">genes between individual and pooled sequenced samples. </w:t>
      </w:r>
      <w:r w:rsidR="0067091C">
        <w:t xml:space="preserve">Sequencing success (blue dots) or failure (orange dots), measured by high quality reads obtained. Genes are shown on the </w:t>
      </w:r>
      <w:r w:rsidR="0067091C">
        <w:rPr>
          <w:i/>
          <w:iCs/>
        </w:rPr>
        <w:t xml:space="preserve">x </w:t>
      </w:r>
      <w:r w:rsidR="0067091C">
        <w:t xml:space="preserve">axis and parasites per </w:t>
      </w:r>
      <w:proofErr w:type="spellStart"/>
      <w:r w:rsidR="0067091C">
        <w:t>uL</w:t>
      </w:r>
      <w:proofErr w:type="spellEnd"/>
      <w:r w:rsidR="0067091C">
        <w:t xml:space="preserve"> are </w:t>
      </w:r>
      <w:r w:rsidR="0067091C">
        <w:lastRenderedPageBreak/>
        <w:t xml:space="preserve">shown on the </w:t>
      </w:r>
      <w:r w:rsidR="0067091C">
        <w:rPr>
          <w:i/>
          <w:iCs/>
        </w:rPr>
        <w:t xml:space="preserve">y </w:t>
      </w:r>
      <w:r w:rsidR="0067091C">
        <w:t xml:space="preserve">axis.  </w:t>
      </w:r>
      <w:r w:rsidR="0001716E">
        <w:t>Individual sequenced samples = 100 total samples; same samples, pooled at 10:1 ratio = 10 total sequenced samples.</w:t>
      </w:r>
    </w:p>
    <w:p w:rsidR="00D730B5" w:rsidRDefault="00DC1844" w:rsidP="00D730B5">
      <w:pPr>
        <w:spacing w:line="480" w:lineRule="auto"/>
      </w:pPr>
      <w:r>
        <w:rPr>
          <w:noProof/>
        </w:rPr>
        <w:drawing>
          <wp:inline distT="0" distB="0" distL="0" distR="0">
            <wp:extent cx="8229600" cy="408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df"/>
                    <pic:cNvPicPr/>
                  </pic:nvPicPr>
                  <pic:blipFill>
                    <a:blip r:embed="rId8">
                      <a:extLst>
                        <a:ext uri="{28A0092B-C50C-407E-A947-70E740481C1C}">
                          <a14:useLocalDpi xmlns:a14="http://schemas.microsoft.com/office/drawing/2010/main" val="0"/>
                        </a:ext>
                      </a:extLst>
                    </a:blip>
                    <a:stretch>
                      <a:fillRect/>
                    </a:stretch>
                  </pic:blipFill>
                  <pic:spPr>
                    <a:xfrm>
                      <a:off x="0" y="0"/>
                      <a:ext cx="8229600" cy="4080510"/>
                    </a:xfrm>
                    <a:prstGeom prst="rect">
                      <a:avLst/>
                    </a:prstGeom>
                  </pic:spPr>
                </pic:pic>
              </a:graphicData>
            </a:graphic>
          </wp:inline>
        </w:drawing>
      </w:r>
    </w:p>
    <w:p w:rsidR="00D730B5" w:rsidRDefault="00D730B5" w:rsidP="00D730B5">
      <w:pPr>
        <w:spacing w:line="480" w:lineRule="auto"/>
      </w:pPr>
      <w:r>
        <w:t xml:space="preserve">Figure </w:t>
      </w:r>
      <w:r w:rsidR="00922238">
        <w:t>2</w:t>
      </w:r>
      <w:r>
        <w:t xml:space="preserve">. </w:t>
      </w:r>
      <w:r>
        <w:rPr>
          <w:b/>
          <w:bCs/>
        </w:rPr>
        <w:t xml:space="preserve">Read depth coverage comparison for </w:t>
      </w:r>
      <w:proofErr w:type="spellStart"/>
      <w:r>
        <w:rPr>
          <w:b/>
          <w:bCs/>
          <w:i/>
          <w:iCs/>
        </w:rPr>
        <w:t>dhfr</w:t>
      </w:r>
      <w:proofErr w:type="spellEnd"/>
      <w:r>
        <w:rPr>
          <w:b/>
          <w:bCs/>
          <w:i/>
          <w:iCs/>
        </w:rPr>
        <w:t xml:space="preserve"> </w:t>
      </w:r>
      <w:r>
        <w:rPr>
          <w:b/>
          <w:bCs/>
        </w:rPr>
        <w:t xml:space="preserve">and </w:t>
      </w:r>
      <w:r>
        <w:rPr>
          <w:b/>
          <w:bCs/>
          <w:i/>
          <w:iCs/>
        </w:rPr>
        <w:t xml:space="preserve">mdr1 </w:t>
      </w:r>
      <w:r>
        <w:rPr>
          <w:b/>
          <w:bCs/>
        </w:rPr>
        <w:t xml:space="preserve">SNPs associated with anti-malarial drug resistance between individual </w:t>
      </w:r>
      <w:r w:rsidR="00AA2226">
        <w:rPr>
          <w:b/>
          <w:bCs/>
        </w:rPr>
        <w:t xml:space="preserve">and pooled </w:t>
      </w:r>
      <w:r>
        <w:rPr>
          <w:b/>
          <w:bCs/>
        </w:rPr>
        <w:t xml:space="preserve">sequenced samples.  </w:t>
      </w:r>
      <w:r>
        <w:t xml:space="preserve">SNP loci are shown on the </w:t>
      </w:r>
      <w:r>
        <w:rPr>
          <w:i/>
          <w:iCs/>
        </w:rPr>
        <w:t xml:space="preserve">x </w:t>
      </w:r>
      <w:r>
        <w:t>axis</w:t>
      </w:r>
      <w:r w:rsidR="0067091C">
        <w:t xml:space="preserve"> and read depth coverage on </w:t>
      </w:r>
      <w:r w:rsidR="0067091C">
        <w:rPr>
          <w:i/>
          <w:iCs/>
        </w:rPr>
        <w:t xml:space="preserve">y </w:t>
      </w:r>
      <w:r w:rsidR="0067091C">
        <w:t>axis.</w:t>
      </w:r>
      <w:r>
        <w:t xml:space="preserve"> Orange, pooled sequenced samples; green, individual sequenced samples. Violin plot distribution values: white dot = median; thick black bar = </w:t>
      </w:r>
      <w:r>
        <w:lastRenderedPageBreak/>
        <w:t>interquartile range (25</w:t>
      </w:r>
      <w:r w:rsidRPr="003960C2">
        <w:rPr>
          <w:vertAlign w:val="superscript"/>
        </w:rPr>
        <w:t>th</w:t>
      </w:r>
      <w:r>
        <w:t>, 50</w:t>
      </w:r>
      <w:r w:rsidRPr="003960C2">
        <w:rPr>
          <w:vertAlign w:val="superscript"/>
        </w:rPr>
        <w:t>th</w:t>
      </w:r>
      <w:r>
        <w:t>, 75</w:t>
      </w:r>
      <w:r w:rsidRPr="003960C2">
        <w:rPr>
          <w:vertAlign w:val="superscript"/>
        </w:rPr>
        <w:t>th</w:t>
      </w:r>
      <w:r>
        <w:t>); thin black bar = rest of data distribution; kernel density= shows distribution shape of data. Wider sections of plot represent higher probability that samples will take on given value and skinner sections a lower probability.</w:t>
      </w:r>
    </w:p>
    <w:p w:rsidR="00C63517" w:rsidRDefault="00C63517" w:rsidP="00D730B5">
      <w:pPr>
        <w:spacing w:line="480" w:lineRule="auto"/>
        <w:rPr>
          <w:b/>
        </w:rPr>
      </w:pPr>
      <w:proofErr w:type="spellStart"/>
      <w:r>
        <w:rPr>
          <w:b/>
        </w:rPr>
        <w:t>Dhfr</w:t>
      </w:r>
      <w:proofErr w:type="spellEnd"/>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method          </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gramStart"/>
      <w:r w:rsidRPr="00C63517">
        <w:rPr>
          <w:rFonts w:ascii="Courier New" w:hAnsi="Courier New" w:cs="Courier New"/>
          <w:color w:val="000000"/>
          <w:sz w:val="21"/>
          <w:szCs w:val="21"/>
        </w:rPr>
        <w:t>individual  0.25</w:t>
      </w:r>
      <w:proofErr w:type="gramEnd"/>
      <w:r w:rsidRPr="00C63517">
        <w:rPr>
          <w:rFonts w:ascii="Courier New" w:hAnsi="Courier New" w:cs="Courier New"/>
          <w:color w:val="000000"/>
          <w:sz w:val="21"/>
          <w:szCs w:val="21"/>
        </w:rPr>
        <w:t xml:space="preserve">    106.5</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0.50    280.5</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0.75    427.0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1.00    733.0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pooled      0.25     70.0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0.50     88.0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0.75    130.0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1.00    294.0</w:t>
      </w:r>
    </w:p>
    <w:p w:rsidR="00C63517" w:rsidRPr="00C63517" w:rsidRDefault="00C63517" w:rsidP="00D730B5">
      <w:pPr>
        <w:spacing w:line="480" w:lineRule="auto"/>
        <w:rPr>
          <w:b/>
          <w:bCs/>
          <w:color w:val="000000"/>
          <w:shd w:val="clear" w:color="auto" w:fill="FFFFFF"/>
        </w:rPr>
      </w:pPr>
      <w:r w:rsidRPr="00C63517">
        <w:rPr>
          <w:b/>
          <w:bCs/>
          <w:color w:val="000000"/>
          <w:shd w:val="clear" w:color="auto" w:fill="FFFFFF"/>
        </w:rPr>
        <w:t>Mdr1</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method          </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gramStart"/>
      <w:r w:rsidRPr="00C63517">
        <w:rPr>
          <w:rFonts w:ascii="Courier New" w:hAnsi="Courier New" w:cs="Courier New"/>
          <w:color w:val="000000"/>
          <w:sz w:val="21"/>
          <w:szCs w:val="21"/>
        </w:rPr>
        <w:t>individual  0.25</w:t>
      </w:r>
      <w:proofErr w:type="gramEnd"/>
      <w:r w:rsidRPr="00C63517">
        <w:rPr>
          <w:rFonts w:ascii="Courier New" w:hAnsi="Courier New" w:cs="Courier New"/>
          <w:color w:val="000000"/>
          <w:sz w:val="21"/>
          <w:szCs w:val="21"/>
        </w:rPr>
        <w:t xml:space="preserve">     39.00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0.50     79.00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0.75    122.00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1.00    458.00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pooled      0.25      7.00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0.50     62.00</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0.75     77.75</w:t>
      </w:r>
    </w:p>
    <w:p w:rsidR="00C63517" w:rsidRPr="00C63517" w:rsidRDefault="00C63517" w:rsidP="00C63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63517">
        <w:rPr>
          <w:rFonts w:ascii="Courier New" w:hAnsi="Courier New" w:cs="Courier New"/>
          <w:color w:val="000000"/>
          <w:sz w:val="21"/>
          <w:szCs w:val="21"/>
        </w:rPr>
        <w:t xml:space="preserve">            1.00    106.00</w:t>
      </w:r>
    </w:p>
    <w:p w:rsidR="00D730B5" w:rsidRDefault="00D730B5" w:rsidP="00D730B5">
      <w:pPr>
        <w:spacing w:line="480" w:lineRule="auto"/>
        <w:rPr>
          <w:color w:val="000000"/>
          <w:shd w:val="clear" w:color="auto" w:fill="FFFFFF"/>
        </w:rPr>
      </w:pPr>
    </w:p>
    <w:p w:rsidR="00D730B5" w:rsidRDefault="00D730B5" w:rsidP="00D730B5">
      <w:pPr>
        <w:spacing w:line="480" w:lineRule="auto"/>
        <w:rPr>
          <w:color w:val="000000"/>
          <w:shd w:val="clear" w:color="auto" w:fill="FFFFFF"/>
        </w:rPr>
      </w:pPr>
    </w:p>
    <w:p w:rsidR="00D730B5" w:rsidRDefault="00D730B5" w:rsidP="00D730B5">
      <w:pPr>
        <w:spacing w:line="480" w:lineRule="auto"/>
        <w:rPr>
          <w:color w:val="000000"/>
          <w:shd w:val="clear" w:color="auto" w:fill="FFFFFF"/>
        </w:rPr>
      </w:pPr>
    </w:p>
    <w:p w:rsidR="00D730B5" w:rsidRDefault="00333678" w:rsidP="00D730B5">
      <w:pPr>
        <w:spacing w:line="480" w:lineRule="auto"/>
        <w:rPr>
          <w:color w:val="000000"/>
          <w:shd w:val="clear" w:color="auto" w:fill="FFFFFF"/>
        </w:rPr>
      </w:pPr>
      <w:r>
        <w:rPr>
          <w:noProof/>
          <w:color w:val="000000"/>
          <w:shd w:val="clear" w:color="auto" w:fill="FFFFFF"/>
        </w:rPr>
        <w:lastRenderedPageBreak/>
        <w:drawing>
          <wp:inline distT="0" distB="0" distL="0" distR="0">
            <wp:extent cx="7227277" cy="408930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pdf"/>
                    <pic:cNvPicPr/>
                  </pic:nvPicPr>
                  <pic:blipFill>
                    <a:blip r:embed="rId9">
                      <a:extLst>
                        <a:ext uri="{28A0092B-C50C-407E-A947-70E740481C1C}">
                          <a14:useLocalDpi xmlns:a14="http://schemas.microsoft.com/office/drawing/2010/main" val="0"/>
                        </a:ext>
                      </a:extLst>
                    </a:blip>
                    <a:stretch>
                      <a:fillRect/>
                    </a:stretch>
                  </pic:blipFill>
                  <pic:spPr>
                    <a:xfrm>
                      <a:off x="0" y="0"/>
                      <a:ext cx="7242795" cy="4098084"/>
                    </a:xfrm>
                    <a:prstGeom prst="rect">
                      <a:avLst/>
                    </a:prstGeom>
                  </pic:spPr>
                </pic:pic>
              </a:graphicData>
            </a:graphic>
          </wp:inline>
        </w:drawing>
      </w:r>
    </w:p>
    <w:p w:rsidR="00D730B5" w:rsidRDefault="00D730B5" w:rsidP="00D730B5">
      <w:pPr>
        <w:spacing w:line="480" w:lineRule="auto"/>
      </w:pPr>
      <w:r>
        <w:t xml:space="preserve">Figure 3. </w:t>
      </w:r>
      <w:r>
        <w:rPr>
          <w:b/>
          <w:bCs/>
          <w:color w:val="000000"/>
          <w:shd w:val="clear" w:color="auto" w:fill="FFFFFF"/>
        </w:rPr>
        <w:t xml:space="preserve">Allele frequency comparison between individual </w:t>
      </w:r>
      <w:r w:rsidR="00922238">
        <w:rPr>
          <w:b/>
          <w:bCs/>
          <w:color w:val="000000"/>
          <w:shd w:val="clear" w:color="auto" w:fill="FFFFFF"/>
        </w:rPr>
        <w:t xml:space="preserve">and pooled </w:t>
      </w:r>
      <w:r>
        <w:rPr>
          <w:b/>
          <w:bCs/>
          <w:color w:val="000000"/>
          <w:shd w:val="clear" w:color="auto" w:fill="FFFFFF"/>
        </w:rPr>
        <w:t xml:space="preserve">sequenced samples for </w:t>
      </w:r>
      <w:proofErr w:type="spellStart"/>
      <w:r>
        <w:rPr>
          <w:b/>
          <w:bCs/>
          <w:i/>
          <w:iCs/>
          <w:color w:val="000000"/>
          <w:shd w:val="clear" w:color="auto" w:fill="FFFFFF"/>
        </w:rPr>
        <w:t>dhfr</w:t>
      </w:r>
      <w:proofErr w:type="spellEnd"/>
      <w:r>
        <w:rPr>
          <w:b/>
          <w:bCs/>
          <w:i/>
          <w:iCs/>
          <w:color w:val="000000"/>
          <w:shd w:val="clear" w:color="auto" w:fill="FFFFFF"/>
        </w:rPr>
        <w:t xml:space="preserve"> </w:t>
      </w:r>
      <w:r>
        <w:rPr>
          <w:b/>
          <w:bCs/>
          <w:color w:val="000000"/>
          <w:shd w:val="clear" w:color="auto" w:fill="FFFFFF"/>
        </w:rPr>
        <w:t xml:space="preserve">and </w:t>
      </w:r>
      <w:r>
        <w:rPr>
          <w:b/>
          <w:bCs/>
          <w:i/>
          <w:iCs/>
          <w:color w:val="000000"/>
          <w:shd w:val="clear" w:color="auto" w:fill="FFFFFF"/>
        </w:rPr>
        <w:t>mdr1</w:t>
      </w:r>
      <w:r>
        <w:rPr>
          <w:b/>
          <w:bCs/>
          <w:color w:val="000000"/>
          <w:shd w:val="clear" w:color="auto" w:fill="FFFFFF"/>
        </w:rPr>
        <w:t xml:space="preserve">. </w:t>
      </w:r>
      <w:r>
        <w:t>Parasitemia (parasites/</w:t>
      </w:r>
      <w:proofErr w:type="spellStart"/>
      <w:r>
        <w:t>uL</w:t>
      </w:r>
      <w:proofErr w:type="spellEnd"/>
      <w:r>
        <w:t xml:space="preserve">) are shown on </w:t>
      </w:r>
      <w:r>
        <w:rPr>
          <w:i/>
          <w:iCs/>
        </w:rPr>
        <w:t xml:space="preserve">x </w:t>
      </w:r>
      <w:r>
        <w:t xml:space="preserve">axis. Percent allele frequencies are shown on the </w:t>
      </w:r>
      <w:r>
        <w:rPr>
          <w:i/>
          <w:iCs/>
        </w:rPr>
        <w:t xml:space="preserve">y </w:t>
      </w:r>
      <w:r>
        <w:t xml:space="preserve">axis. Blue dots, individual sequenced samples allele frequency (expected allele frequency); orange dots, pooled sequenced samples allele frequency (observed allele frequency). Blue/orange line = best fit, blue/orange highlighted region = confidence bounds.  </w:t>
      </w:r>
    </w:p>
    <w:p w:rsidR="00D730B5" w:rsidRDefault="00D730B5" w:rsidP="00D730B5">
      <w:pPr>
        <w:spacing w:line="480" w:lineRule="auto"/>
      </w:pPr>
    </w:p>
    <w:p w:rsidR="00D730B5" w:rsidRDefault="00D730B5" w:rsidP="00D730B5">
      <w:pPr>
        <w:pStyle w:val="ListParagraph"/>
        <w:numPr>
          <w:ilvl w:val="0"/>
          <w:numId w:val="1"/>
        </w:numPr>
        <w:spacing w:line="480" w:lineRule="auto"/>
      </w:pPr>
      <w:r>
        <w:lastRenderedPageBreak/>
        <w:t xml:space="preserve">Negative relationship between (dependent = allele </w:t>
      </w:r>
      <w:proofErr w:type="spellStart"/>
      <w:r>
        <w:t>freq</w:t>
      </w:r>
      <w:proofErr w:type="spellEnd"/>
      <w:r>
        <w:t xml:space="preserve">, and independent = parasitemia); </w:t>
      </w:r>
    </w:p>
    <w:p w:rsidR="00D730B5" w:rsidRDefault="00D730B5" w:rsidP="00D730B5">
      <w:pPr>
        <w:pStyle w:val="ListParagraph"/>
        <w:numPr>
          <w:ilvl w:val="0"/>
          <w:numId w:val="1"/>
        </w:numPr>
        <w:spacing w:line="480" w:lineRule="auto"/>
      </w:pPr>
      <w:r>
        <w:t xml:space="preserve">With lower parasitemia the expected allele frequency calls (based on individual sequenced samples) breaks down suggesting that at lower parasitemia levels the pooled method could underestimate, or completely miss particular alleles as compared to individual sequenced samples == likely due to lower overall coverage (evident from violin plot and data distribution). </w:t>
      </w:r>
    </w:p>
    <w:p w:rsidR="002A1CB8" w:rsidRDefault="002A1CB8"/>
    <w:sectPr w:rsidR="002A1CB8" w:rsidSect="009222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0778" w:rsidRDefault="00920778" w:rsidP="00333678">
      <w:r>
        <w:separator/>
      </w:r>
    </w:p>
  </w:endnote>
  <w:endnote w:type="continuationSeparator" w:id="0">
    <w:p w:rsidR="00920778" w:rsidRDefault="00920778" w:rsidP="0033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0778" w:rsidRDefault="00920778" w:rsidP="00333678">
      <w:r>
        <w:separator/>
      </w:r>
    </w:p>
  </w:footnote>
  <w:footnote w:type="continuationSeparator" w:id="0">
    <w:p w:rsidR="00920778" w:rsidRDefault="00920778" w:rsidP="00333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14ADB"/>
    <w:multiLevelType w:val="hybridMultilevel"/>
    <w:tmpl w:val="E8965E0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B5"/>
    <w:rsid w:val="0001716E"/>
    <w:rsid w:val="002A1CB8"/>
    <w:rsid w:val="00333678"/>
    <w:rsid w:val="004B4C9F"/>
    <w:rsid w:val="00516C0B"/>
    <w:rsid w:val="0067091C"/>
    <w:rsid w:val="0086636E"/>
    <w:rsid w:val="008E342F"/>
    <w:rsid w:val="00920778"/>
    <w:rsid w:val="00922238"/>
    <w:rsid w:val="00961445"/>
    <w:rsid w:val="00A14BFB"/>
    <w:rsid w:val="00A66272"/>
    <w:rsid w:val="00AA2226"/>
    <w:rsid w:val="00C63517"/>
    <w:rsid w:val="00D730B5"/>
    <w:rsid w:val="00D97AC4"/>
    <w:rsid w:val="00DC1844"/>
    <w:rsid w:val="00E15818"/>
    <w:rsid w:val="00FA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6B587"/>
  <w15:chartTrackingRefBased/>
  <w15:docId w15:val="{5DB00791-8103-654C-A87B-CD471720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0B5"/>
    <w:rPr>
      <w:sz w:val="18"/>
      <w:szCs w:val="18"/>
    </w:rPr>
  </w:style>
  <w:style w:type="character" w:customStyle="1" w:styleId="BalloonTextChar">
    <w:name w:val="Balloon Text Char"/>
    <w:basedOn w:val="DefaultParagraphFont"/>
    <w:link w:val="BalloonText"/>
    <w:uiPriority w:val="99"/>
    <w:semiHidden/>
    <w:rsid w:val="00D730B5"/>
    <w:rPr>
      <w:rFonts w:ascii="Times New Roman" w:hAnsi="Times New Roman" w:cs="Times New Roman"/>
      <w:sz w:val="18"/>
      <w:szCs w:val="18"/>
    </w:rPr>
  </w:style>
  <w:style w:type="paragraph" w:styleId="ListParagraph">
    <w:name w:val="List Paragraph"/>
    <w:basedOn w:val="Normal"/>
    <w:uiPriority w:val="34"/>
    <w:qFormat/>
    <w:rsid w:val="00D730B5"/>
    <w:pPr>
      <w:ind w:left="720"/>
      <w:contextualSpacing/>
    </w:pPr>
  </w:style>
  <w:style w:type="paragraph" w:styleId="HTMLPreformatted">
    <w:name w:val="HTML Preformatted"/>
    <w:basedOn w:val="Normal"/>
    <w:link w:val="HTMLPreformattedChar"/>
    <w:uiPriority w:val="99"/>
    <w:semiHidden/>
    <w:unhideWhenUsed/>
    <w:rsid w:val="00D7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730B5"/>
    <w:rPr>
      <w:rFonts w:ascii="Courier New" w:eastAsia="Times New Roman" w:hAnsi="Courier New" w:cs="Courier New"/>
      <w:sz w:val="20"/>
      <w:szCs w:val="20"/>
    </w:rPr>
  </w:style>
  <w:style w:type="table" w:styleId="TableGrid">
    <w:name w:val="Table Grid"/>
    <w:basedOn w:val="TableNormal"/>
    <w:uiPriority w:val="39"/>
    <w:rsid w:val="00D730B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7091C"/>
  </w:style>
  <w:style w:type="character" w:styleId="Emphasis">
    <w:name w:val="Emphasis"/>
    <w:basedOn w:val="DefaultParagraphFont"/>
    <w:uiPriority w:val="20"/>
    <w:qFormat/>
    <w:rsid w:val="0067091C"/>
    <w:rPr>
      <w:i/>
      <w:iCs/>
    </w:rPr>
  </w:style>
  <w:style w:type="paragraph" w:styleId="Header">
    <w:name w:val="header"/>
    <w:basedOn w:val="Normal"/>
    <w:link w:val="HeaderChar"/>
    <w:uiPriority w:val="99"/>
    <w:unhideWhenUsed/>
    <w:rsid w:val="00333678"/>
    <w:pPr>
      <w:tabs>
        <w:tab w:val="center" w:pos="4680"/>
        <w:tab w:val="right" w:pos="9360"/>
      </w:tabs>
    </w:pPr>
  </w:style>
  <w:style w:type="character" w:customStyle="1" w:styleId="HeaderChar">
    <w:name w:val="Header Char"/>
    <w:basedOn w:val="DefaultParagraphFont"/>
    <w:link w:val="Header"/>
    <w:uiPriority w:val="99"/>
    <w:rsid w:val="00333678"/>
    <w:rPr>
      <w:rFonts w:ascii="Times New Roman" w:eastAsia="Times New Roman" w:hAnsi="Times New Roman" w:cs="Times New Roman"/>
    </w:rPr>
  </w:style>
  <w:style w:type="paragraph" w:styleId="Footer">
    <w:name w:val="footer"/>
    <w:basedOn w:val="Normal"/>
    <w:link w:val="FooterChar"/>
    <w:uiPriority w:val="99"/>
    <w:unhideWhenUsed/>
    <w:rsid w:val="00333678"/>
    <w:pPr>
      <w:tabs>
        <w:tab w:val="center" w:pos="4680"/>
        <w:tab w:val="right" w:pos="9360"/>
      </w:tabs>
    </w:pPr>
  </w:style>
  <w:style w:type="character" w:customStyle="1" w:styleId="FooterChar">
    <w:name w:val="Footer Char"/>
    <w:basedOn w:val="DefaultParagraphFont"/>
    <w:link w:val="Footer"/>
    <w:uiPriority w:val="99"/>
    <w:rsid w:val="003336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729323">
      <w:bodyDiv w:val="1"/>
      <w:marLeft w:val="0"/>
      <w:marRight w:val="0"/>
      <w:marTop w:val="0"/>
      <w:marBottom w:val="0"/>
      <w:divBdr>
        <w:top w:val="none" w:sz="0" w:space="0" w:color="auto"/>
        <w:left w:val="none" w:sz="0" w:space="0" w:color="auto"/>
        <w:bottom w:val="none" w:sz="0" w:space="0" w:color="auto"/>
        <w:right w:val="none" w:sz="0" w:space="0" w:color="auto"/>
      </w:divBdr>
    </w:div>
    <w:div w:id="846288279">
      <w:bodyDiv w:val="1"/>
      <w:marLeft w:val="0"/>
      <w:marRight w:val="0"/>
      <w:marTop w:val="0"/>
      <w:marBottom w:val="0"/>
      <w:divBdr>
        <w:top w:val="none" w:sz="0" w:space="0" w:color="auto"/>
        <w:left w:val="none" w:sz="0" w:space="0" w:color="auto"/>
        <w:bottom w:val="none" w:sz="0" w:space="0" w:color="auto"/>
        <w:right w:val="none" w:sz="0" w:space="0" w:color="auto"/>
      </w:divBdr>
    </w:div>
    <w:div w:id="18892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260071801D642AEAFC62AEF0B5E20" ma:contentTypeVersion="6" ma:contentTypeDescription="Create a new document." ma:contentTypeScope="" ma:versionID="e05f88762e7cbe813698dcf4b3c2ec6e">
  <xsd:schema xmlns:xsd="http://www.w3.org/2001/XMLSchema" xmlns:xs="http://www.w3.org/2001/XMLSchema" xmlns:p="http://schemas.microsoft.com/office/2006/metadata/properties" xmlns:ns2="37c57f3d-dbd6-493d-a25a-497d99198b0a" targetNamespace="http://schemas.microsoft.com/office/2006/metadata/properties" ma:root="true" ma:fieldsID="5fd37d7f578792f1ec02d23e2dd3f943" ns2:_="">
    <xsd:import namespace="37c57f3d-dbd6-493d-a25a-497d99198b0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57f3d-dbd6-493d-a25a-497d99198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A7AC57-3F75-49D0-8575-93E776A02C50}"/>
</file>

<file path=customXml/itemProps2.xml><?xml version="1.0" encoding="utf-8"?>
<ds:datastoreItem xmlns:ds="http://schemas.openxmlformats.org/officeDocument/2006/customXml" ds:itemID="{15164FB1-A6D6-4081-AACF-7FA7DBBFFDFA}"/>
</file>

<file path=customXml/itemProps3.xml><?xml version="1.0" encoding="utf-8"?>
<ds:datastoreItem xmlns:ds="http://schemas.openxmlformats.org/officeDocument/2006/customXml" ds:itemID="{5F170690-BBD8-4414-88F1-91BA022BB567}"/>
</file>

<file path=docProps/app.xml><?xml version="1.0" encoding="utf-8"?>
<Properties xmlns="http://schemas.openxmlformats.org/officeDocument/2006/extended-properties" xmlns:vt="http://schemas.openxmlformats.org/officeDocument/2006/docPropsVTypes">
  <Template>Normal.dotm</Template>
  <TotalTime>6</TotalTime>
  <Pages>6</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Talundzic, Eldin (CDC/DDPHSIS/CGH/DPDM)</dc:creator>
  <cp:keywords/>
  <dc:description/>
  <cp:lastModifiedBy>Talundzic, Eldin (CDC/DDPHSIS/CGH/DPDM)</cp:lastModifiedBy>
  <cp:revision>4</cp:revision>
  <dcterms:created xsi:type="dcterms:W3CDTF">2020-05-22T18:18:00Z</dcterms:created>
  <dcterms:modified xsi:type="dcterms:W3CDTF">2020-05-26T18:50:00Z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0x01010024D260071801D642AEAFC62AEF0B5E20</vt:lpwstr>
  </property>
</Properties>
</file>