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Logical Database Design - Instructional Technology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UML Diagram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Diagrams.net Link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https://drive.google.com/file/d/1wt_LH8MZB4Hp6eK-Ugvxhx6VWJbdwV1e/view?usp=sharing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Logical Database Design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tblEmployees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RedID</w:t>
      </w:r>
      <w:r w:rsidDel="00000000" w:rsidR="00000000" w:rsidRPr="00000000">
        <w:rPr>
          <w:sz w:val="20"/>
          <w:szCs w:val="20"/>
          <w:rtl w:val="0"/>
        </w:rPr>
        <w:t xml:space="preserve">, FirstName, LastName, SupervisorID, CallSign, EmploymentStatus, Team)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fk SupervisorID references tblEmployees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tblTools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ToolID</w:t>
      </w:r>
      <w:r w:rsidDel="00000000" w:rsidR="00000000" w:rsidRPr="00000000">
        <w:rPr>
          <w:sz w:val="20"/>
          <w:szCs w:val="20"/>
          <w:rtl w:val="0"/>
        </w:rPr>
        <w:t xml:space="preserve">, ToolName, ToolDescription, VendorID)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fk VendorID references tblVendors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Not null VendorID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tblToolLogs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RedID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ToolID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CheckOutDateTime</w:t>
      </w:r>
      <w:r w:rsidDel="00000000" w:rsidR="00000000" w:rsidRPr="00000000">
        <w:rPr>
          <w:sz w:val="20"/>
          <w:szCs w:val="20"/>
          <w:rtl w:val="0"/>
        </w:rPr>
        <w:t xml:space="preserve">, CheckInDateTime, ServiceTicketID)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fk RedID references tblEmployees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fk ToolID references tblTools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tblConsumableInventory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ConsumableID</w:t>
      </w:r>
      <w:r w:rsidDel="00000000" w:rsidR="00000000" w:rsidRPr="00000000">
        <w:rPr>
          <w:sz w:val="20"/>
          <w:szCs w:val="20"/>
          <w:rtl w:val="0"/>
        </w:rPr>
        <w:t xml:space="preserve">, ConsumableName, ConsumableDescription, ConsumableQuantity)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tblConsumableLogs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RedID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ConsumableID</w:t>
      </w:r>
      <w:r w:rsidDel="00000000" w:rsidR="00000000" w:rsidRPr="00000000">
        <w:rPr>
          <w:sz w:val="20"/>
          <w:szCs w:val="20"/>
          <w:rtl w:val="0"/>
        </w:rPr>
        <w:t xml:space="preserve">,TakenDateTime, NumTaken, NumReturned)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fk RedID references tblEmployees</w:t>
      </w:r>
    </w:p>
    <w:p w:rsidR="00000000" w:rsidDel="00000000" w:rsidP="00000000" w:rsidRDefault="00000000" w:rsidRPr="00000000" w14:paraId="000000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 ConsumableID references tblConsumableInventory</w:t>
      </w:r>
    </w:p>
    <w:p w:rsidR="00000000" w:rsidDel="00000000" w:rsidP="00000000" w:rsidRDefault="00000000" w:rsidRPr="00000000" w14:paraId="000000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null NumTaken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tblVendors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VendorID</w:t>
      </w:r>
      <w:r w:rsidDel="00000000" w:rsidR="00000000" w:rsidRPr="00000000">
        <w:rPr>
          <w:sz w:val="20"/>
          <w:szCs w:val="20"/>
          <w:rtl w:val="0"/>
        </w:rPr>
        <w:t xml:space="preserve">, VendorName, VendorPhone, VendorAddress)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tblShippingManifest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ManifestID</w:t>
      </w:r>
      <w:r w:rsidDel="00000000" w:rsidR="00000000" w:rsidRPr="00000000">
        <w:rPr>
          <w:sz w:val="20"/>
          <w:szCs w:val="20"/>
          <w:rtl w:val="0"/>
        </w:rPr>
        <w:t xml:space="preserve">, OrderNumber, ShippingDate, VendorID)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fk VendorID references Vendors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Not null VendorID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tblManifestItems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ConsumableID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VendorID</w:t>
      </w:r>
      <w:r w:rsidDel="00000000" w:rsidR="00000000" w:rsidRPr="00000000">
        <w:rPr>
          <w:sz w:val="20"/>
          <w:szCs w:val="20"/>
          <w:rtl w:val="0"/>
        </w:rPr>
        <w:t xml:space="preserve">, ItemDescription, ManifestQuantity, ManifestID)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fk ConsumableID references tblConsumableInventory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fk VendorID references tblVendors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fk ManifestID references tblShippingManifest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Not null ManifestID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t_LH8MZB4Hp6eK-Ugvxhx6VWJbdwV1e/view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