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240"/>
        <w:jc w:val="center"/>
      </w:pPr>
      <w:r>
        <w:rPr>
          <w:rFonts w:ascii="Arial" w:hAnsi="Arial"/>
          <w:b/>
          <w:color w:val="003366"/>
          <w:sz w:val="44"/>
        </w:rPr>
        <w:t>PAQUETE DE ENTREGA COMERCIAL Y TÉCNICO</w:t>
        <w:br/>
        <w:t>PLATAFORMA UPGRADE SYSTEMS</w:t>
      </w:r>
    </w:p>
    <w:p>
      <w:pPr>
        <w:spacing w:after="480"/>
        <w:jc w:val="center"/>
      </w:pPr>
      <w:r>
        <w:rPr>
          <w:rFonts w:ascii="Arial" w:hAnsi="Arial"/>
          <w:i/>
          <w:color w:val="475569"/>
          <w:sz w:val="23"/>
        </w:rPr>
        <w:t>Propuesta Comercial, Contrato SLA, Acta de Entrega,</w:t>
        <w:br/>
        <w:t>Manuales de Usuario y Administración, Guía de Despliegue,</w:t>
        <w:br/>
        <w:t>Diccionario de Datos, API AJAX y Manual de Mantenimiento.</w:t>
      </w:r>
    </w:p>
    <w:p>
      <w:pPr>
        <w:spacing w:before="2800"/>
        <w:jc w:val="center"/>
      </w:pPr>
      <w:r>
        <w:rPr>
          <w:rFonts w:ascii="Arial" w:hAnsi="Arial"/>
          <w:color w:val="94A3B8"/>
          <w:sz w:val="19"/>
        </w:rPr>
        <w:t>Versión de Entrega: 2.0 (Marca Blanca Upgrade Systems)</w:t>
        <w:br/>
        <w:t>Fecha: Julio 2026</w:t>
        <w:br/>
        <w:t>Clasificación: Documentación Comercial y Legal de Entrega Final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hAnsi="Arial"/>
          <w:b/>
          <w:color w:val="003366"/>
          <w:sz w:val="36"/>
        </w:rPr>
        <w:t>1. PROPUESTA COMERCIAL Y COTIZACIÓN DEL SISTEMA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Esta sección detalla los términos económicos, alcances del licenciamiento y servicios provistos para el despliegue del sistema Upgrade Systems.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1.1 Alcance del Licenciamiento y Entregables: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El licenciamiento comercial otorga el derecho de uso, explotación y distribución de la plataforma bajo la modalidad de Marca Blanca. El paquete incluye:</w:t>
      </w:r>
    </w:p>
    <w:p>
      <w:pPr>
        <w:pStyle w:val="ListBullet"/>
        <w:spacing w:before="60" w:after="60"/>
      </w:pPr>
      <w:r>
        <w:rPr>
          <w:rFonts w:ascii="Arial" w:hAnsi="Arial"/>
          <w:color w:val="333333"/>
          <w:sz w:val="20"/>
        </w:rPr>
        <w:t xml:space="preserve"> Código fuente del portal de clientes y de la consola de administración en formato PHP/HTML/CSS/JS.</w:t>
      </w:r>
    </w:p>
    <w:p>
      <w:pPr>
        <w:pStyle w:val="ListBullet"/>
        <w:spacing w:before="60" w:after="60"/>
      </w:pPr>
      <w:r>
        <w:rPr>
          <w:rFonts w:ascii="Arial" w:hAnsi="Arial"/>
          <w:color w:val="333333"/>
          <w:sz w:val="20"/>
        </w:rPr>
        <w:t xml:space="preserve"> Estructura de base de datos MySQL relacional lista para producción.</w:t>
      </w:r>
    </w:p>
    <w:p>
      <w:pPr>
        <w:pStyle w:val="ListBullet"/>
        <w:spacing w:before="60" w:after="60"/>
      </w:pPr>
      <w:r>
        <w:rPr>
          <w:rFonts w:ascii="Arial" w:hAnsi="Arial"/>
          <w:color w:val="333333"/>
          <w:sz w:val="20"/>
        </w:rPr>
        <w:t xml:space="preserve"> Scripts de automatización de alertas en segundo plano (Cron).</w:t>
      </w:r>
    </w:p>
    <w:p>
      <w:pPr>
        <w:pStyle w:val="ListBullet"/>
        <w:spacing w:before="60" w:after="60"/>
      </w:pPr>
      <w:r>
        <w:rPr>
          <w:rFonts w:ascii="Arial" w:hAnsi="Arial"/>
          <w:color w:val="333333"/>
          <w:sz w:val="20"/>
        </w:rPr>
        <w:t xml:space="preserve"> Integración del visor interactivo de Google Maps sin cargos recurrentes por API.</w:t>
      </w:r>
    </w:p>
    <w:p>
      <w:pPr>
        <w:pStyle w:val="ListBullet"/>
        <w:spacing w:before="60" w:after="60"/>
      </w:pPr>
      <w:r>
        <w:rPr>
          <w:rFonts w:ascii="Arial" w:hAnsi="Arial"/>
          <w:color w:val="333333"/>
          <w:sz w:val="20"/>
        </w:rPr>
        <w:t xml:space="preserve"> Licencia perpetua sin cargos por volumen de sucursales o consultores creados.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1.2 Propuesta Económica (Cotización):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2E8F0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  <w:shd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Concepto / Servicio Comercial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  <w:shd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Costo (MXN / Neto)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Licencia Perpetua del Software (Marca Blanca Xonexka/Upgrade)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$ 85,000.00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Implementación, Configuración de Servidor y Carga Inicial de Base de Datos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$ 25,000.00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Configuración del Motor de Alertas (Cron Jobs) y Pruebas SMTP de Correo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$ 15,000.00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Capacitación técnica a administradores y personal operativo (8 horas)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$ 10,000.00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Soporte Técnico Preventivo y Correctivo (Primeros 12 meses)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Bonificado / $ 0.00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TOTAL NETO: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$ 135,000.00 MXN</w:t>
            </w:r>
          </w:p>
        </w:tc>
      </w:tr>
    </w:tbl>
    <w:p>
      <w:pPr>
        <w:spacing w:after="240"/>
      </w:pPr>
    </w:p>
    <w:p>
      <w:pPr>
        <w:pStyle w:val="Heading1"/>
        <w:spacing w:before="400" w:after="200"/>
      </w:pPr>
      <w:r>
        <w:rPr>
          <w:rFonts w:ascii="Arial" w:hAnsi="Arial"/>
          <w:b/>
          <w:color w:val="003366"/>
          <w:sz w:val="36"/>
        </w:rPr>
        <w:t>2. ACUERDO DE NIVEL DE SERVICIO (SLA)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El presente Acuerdo de Nivel de Servicio (SLA) define las garantías de disponibilidad y los tiempos de respuesta del soporte correctivo para la plataforma Upgrade Systems.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2.1 Garantía de Disponibilidad de la Plataforma: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Se garantiza una disponibilidad mensual mínima del 99.9% para la aplicación y el acceso a los expedientes. Las ventanas de mantenimiento programadas en horario nocturno (12:00 AM - 04:00 AM) quedan excluidas del cálculo de disponibilidad.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2.2 Matriz de Tiempos de Respuesta del Soporte Técnico: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2E8F0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  <w:shd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Severidad del Incidente / Error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  <w:shd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Tiempo de Respuesta Comprometido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Crítica (Sistema inoperativo, imposibilidad de login global)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Menor a 2 horas (Atención 24/7)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Alta (Fallas en subida de archivos o error de mapa de sucursales)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Menor a 6 horas (Horario hábil)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Media (Ajustes de texto en etiquetas o retraso menor en correos)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Menor a 12 horas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Baja (Dudas operativas de usuario o consultas de base de datos)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Menor a 24 horas</w:t>
            </w:r>
          </w:p>
        </w:tc>
      </w:tr>
    </w:tbl>
    <w:p>
      <w:pPr>
        <w:spacing w:after="240"/>
      </w:pPr>
    </w:p>
    <w:p>
      <w:pPr>
        <w:pStyle w:val="Heading1"/>
        <w:spacing w:before="400" w:after="200"/>
      </w:pPr>
      <w:r>
        <w:rPr>
          <w:rFonts w:ascii="Arial" w:hAnsi="Arial"/>
          <w:b/>
          <w:color w:val="003366"/>
          <w:sz w:val="36"/>
        </w:rPr>
        <w:t>3. ACTA DE ENTREGA Y RECEPCIÓN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En la Ciudad de México, a la fecha de firma electrónica de este documento, se hace constar la entrega del software e inicio del período de operaciones.</w:t>
      </w:r>
    </w:p>
    <w:p>
      <w:pPr>
        <w:spacing w:before="0" w:after="120"/>
      </w:pPr>
      <w:r>
        <w:rPr>
          <w:rFonts w:ascii="Arial" w:hAnsi="Arial"/>
          <w:b/>
          <w:color w:val="333333"/>
          <w:sz w:val="20"/>
        </w:rPr>
        <w:t>Objeto del Acta:</w:t>
      </w:r>
      <w:r>
        <w:rPr>
          <w:rFonts w:ascii="Arial" w:hAnsi="Arial"/>
          <w:color w:val="333333"/>
          <w:sz w:val="20"/>
        </w:rPr>
        <w:t xml:space="preserve"> El proveedor hace entrega formal del software instalado y configurado en el servidor web de producción del cliente, incluyendo los accesos administrativos, base de datos MySQL activa y el manual técnico.</w:t>
      </w:r>
    </w:p>
    <w:p>
      <w:pPr>
        <w:spacing w:before="0" w:after="120"/>
      </w:pPr>
      <w:r>
        <w:rPr>
          <w:rFonts w:ascii="Arial" w:hAnsi="Arial"/>
          <w:b/>
          <w:color w:val="333333"/>
          <w:sz w:val="20"/>
        </w:rPr>
        <w:t>Declaración de Aceptación:</w:t>
      </w:r>
      <w:r>
        <w:rPr>
          <w:rFonts w:ascii="Arial" w:hAnsi="Arial"/>
          <w:color w:val="333333"/>
          <w:sz w:val="20"/>
        </w:rPr>
        <w:t xml:space="preserve"> El cliente declara recibir a su entera satisfacción la aplicación web, manifestando que cumple con los requerimientos operativos acordados de vigencias, alertas y seguridad corporativa.</w:t>
      </w:r>
    </w:p>
    <w:p>
      <w:pPr>
        <w:spacing w:before="800" w:after="800"/>
      </w:pPr>
      <w:r>
        <w:t>___________________________                  ___________________________</w:t>
        <w:br/>
        <w:t xml:space="preserve">   Firma por el Proveedor                       Firma por el Cliente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hAnsi="Arial"/>
          <w:b/>
          <w:color w:val="003366"/>
          <w:sz w:val="36"/>
        </w:rPr>
        <w:t>4. MANUAL DE USUARIO (PORTAL CLIENTES)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El portal de clientes permite gestionar expedientes. Su acceso se realiza mediante la ruta /public/cliente/login.html.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4.1 Lógica del Semáforo de Cumplimiento:</w:t>
      </w:r>
    </w:p>
    <w:p>
      <w:pPr>
        <w:pStyle w:val="ListBullet"/>
        <w:spacing w:before="60" w:after="60"/>
      </w:pPr>
      <w:r>
        <w:rPr>
          <w:rFonts w:ascii="Arial" w:hAnsi="Arial"/>
          <w:b/>
          <w:color w:val="333333"/>
          <w:sz w:val="20"/>
        </w:rPr>
        <w:t>Verde:</w:t>
      </w:r>
      <w:r>
        <w:rPr>
          <w:rFonts w:ascii="Arial" w:hAnsi="Arial"/>
          <w:color w:val="333333"/>
          <w:sz w:val="20"/>
        </w:rPr>
        <w:t xml:space="preserve"> Vigente. Consumo menor al 80% de la vida del archivo.</w:t>
      </w:r>
    </w:p>
    <w:p>
      <w:pPr>
        <w:pStyle w:val="ListBullet"/>
        <w:spacing w:before="60" w:after="60"/>
      </w:pPr>
      <w:r>
        <w:rPr>
          <w:rFonts w:ascii="Arial" w:hAnsi="Arial"/>
          <w:b/>
          <w:color w:val="333333"/>
          <w:sz w:val="20"/>
        </w:rPr>
        <w:t>Amarillo 1:</w:t>
      </w:r>
      <w:r>
        <w:rPr>
          <w:rFonts w:ascii="Arial" w:hAnsi="Arial"/>
          <w:color w:val="333333"/>
          <w:sz w:val="20"/>
        </w:rPr>
        <w:t xml:space="preserve"> Preventivo. Consumo entre 80% y 89.99%. Alerta por correo al contacto principal.</w:t>
      </w:r>
    </w:p>
    <w:p>
      <w:pPr>
        <w:pStyle w:val="ListBullet"/>
        <w:spacing w:before="60" w:after="60"/>
      </w:pPr>
      <w:r>
        <w:rPr>
          <w:rFonts w:ascii="Arial" w:hAnsi="Arial"/>
          <w:b/>
          <w:color w:val="333333"/>
          <w:sz w:val="20"/>
        </w:rPr>
        <w:t>Amarillo 2 / Rojo:</w:t>
      </w:r>
      <w:r>
        <w:rPr>
          <w:rFonts w:ascii="Arial" w:hAnsi="Arial"/>
          <w:color w:val="333333"/>
          <w:sz w:val="20"/>
        </w:rPr>
        <w:t xml:space="preserve"> Crítico. Consumo mayor al 90%. Alerta al contacto principal y a los correos extras.</w:t>
      </w:r>
    </w:p>
    <w:p>
      <w:pPr>
        <w:pStyle w:val="ListBullet"/>
        <w:spacing w:before="60" w:after="60"/>
      </w:pPr>
      <w:r>
        <w:rPr>
          <w:rFonts w:ascii="Arial" w:hAnsi="Arial"/>
          <w:b/>
          <w:color w:val="333333"/>
          <w:sz w:val="20"/>
        </w:rPr>
        <w:t>Alerta de 24 Horas:</w:t>
      </w:r>
      <w:r>
        <w:rPr>
          <w:rFonts w:ascii="Arial" w:hAnsi="Arial"/>
          <w:color w:val="333333"/>
          <w:sz w:val="20"/>
        </w:rPr>
        <w:t xml:space="preserve"> Aviso crítico final exactamente 1 día antes del vencimiento.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4.2 Carga de Documentos Paso a Paso: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1. Ingrese a 'Cargar / Actualizar Documento'.</w:t>
        <w:br/>
        <w:t>2. Si es Consultor, seleccione la sucursal del dropdown.</w:t>
        <w:br/>
        <w:t>3. Escriba la Categoría (ej: Dictamen Estructural) y Nombre de la Versión.</w:t>
        <w:br/>
        <w:t>4. Seleccione la fecha de vencimiento.</w:t>
        <w:br/>
        <w:t>5. Ingrese el Correo Principal y presione '+ Agregar Correo Extra' para ingresar hasta 5 correos adicionales.</w:t>
        <w:br/>
        <w:t>6. Seleccione el PDF o imagen (hasta 50MB) e indexe el archivo.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hAnsi="Arial"/>
          <w:b/>
          <w:color w:val="003366"/>
          <w:sz w:val="36"/>
        </w:rPr>
        <w:t>5. MANUAL DE ADMINISTRACIÓN (STAFF GLOBAL)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Consola de aprovisionamiento global ubicada en la ruta /public/admin/login.html.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5.1 Flujos de Registro:</w:t>
      </w:r>
    </w:p>
    <w:p>
      <w:pPr>
        <w:spacing w:before="0" w:after="120"/>
      </w:pPr>
      <w:r>
        <w:rPr>
          <w:rFonts w:ascii="Arial" w:hAnsi="Arial"/>
          <w:b/>
          <w:color w:val="333333"/>
          <w:sz w:val="20"/>
        </w:rPr>
        <w:t>1. Registrar Consultores:</w:t>
      </w:r>
      <w:r>
        <w:rPr>
          <w:rFonts w:ascii="Arial" w:hAnsi="Arial"/>
          <w:color w:val="333333"/>
          <w:sz w:val="20"/>
        </w:rPr>
        <w:t xml:space="preserve"> Alta de corporativos principales. Requiere Nombre de la Organización, un ID único manual (código base, ej: PORSCHE), encargado, correo y teléfonos. Asigna el rango de Consultor de forma automática. Integra mapa interactivo de Google Maps.</w:t>
      </w:r>
    </w:p>
    <w:p>
      <w:pPr>
        <w:spacing w:before="0" w:after="120"/>
      </w:pPr>
      <w:r>
        <w:rPr>
          <w:rFonts w:ascii="Arial" w:hAnsi="Arial"/>
          <w:b/>
          <w:color w:val="333333"/>
          <w:sz w:val="20"/>
        </w:rPr>
        <w:t>2. Registrar Sucursales:</w:t>
      </w:r>
      <w:r>
        <w:rPr>
          <w:rFonts w:ascii="Arial" w:hAnsi="Arial"/>
          <w:color w:val="333333"/>
          <w:sz w:val="20"/>
        </w:rPr>
        <w:t xml:space="preserve"> Alta de establecimientos subordinados. Requiere Nombre de la Sucursal, encargado, correo principal, correo del director y vincular de forma obligatoria al Consultor Corporativo superior. Asigna el rango de Tipo 1 de forma automática.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5.2 Matriz de Auditoría y Edición de Licencias: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Permite editar datos de la licencia, actualizar el Correo del Director, cambiar el logotipo de la empresa, arrastrar el pin de coordenadas de Google Maps, y suspender/activar el acceso de forma global.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hAnsi="Arial"/>
          <w:b/>
          <w:color w:val="003366"/>
          <w:sz w:val="36"/>
        </w:rPr>
        <w:t>6. GUÍA DE INSTALACIÓN Y DESPLIEGUE EN PRODUCCIÓN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Instrucciones de despliegue en un hosting con cPanel o un servidor privado VPS Linux.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6.1 Requisitos Mínimos:</w:t>
      </w:r>
    </w:p>
    <w:p>
      <w:pPr>
        <w:pStyle w:val="ListBullet"/>
        <w:spacing w:before="60" w:after="60"/>
      </w:pPr>
      <w:r>
        <w:rPr>
          <w:rFonts w:ascii="Arial" w:hAnsi="Arial"/>
          <w:color w:val="333333"/>
          <w:sz w:val="20"/>
        </w:rPr>
        <w:t xml:space="preserve"> Servidor Web Apache con mod_rewrite y mod_headers activos.</w:t>
      </w:r>
    </w:p>
    <w:p>
      <w:pPr>
        <w:pStyle w:val="ListBullet"/>
        <w:spacing w:before="60" w:after="60"/>
      </w:pPr>
      <w:r>
        <w:rPr>
          <w:rFonts w:ascii="Arial" w:hAnsi="Arial"/>
          <w:color w:val="333333"/>
          <w:sz w:val="20"/>
        </w:rPr>
        <w:t xml:space="preserve"> PHP 8.0 o superior (GD, Session, JSON y MySQLi activas).</w:t>
      </w:r>
    </w:p>
    <w:p>
      <w:pPr>
        <w:pStyle w:val="ListBullet"/>
        <w:spacing w:before="60" w:after="60"/>
      </w:pPr>
      <w:r>
        <w:rPr>
          <w:rFonts w:ascii="Arial" w:hAnsi="Arial"/>
          <w:color w:val="333333"/>
          <w:sz w:val="20"/>
        </w:rPr>
        <w:t xml:space="preserve"> MySQL 5.7+ o MariaDB 10.3+.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6.2 Pasos de Instalación: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1. Suba los archivos de código a la carpeta pública de su dominio.</w:t>
        <w:br/>
        <w:t>2. Cree una base de datos MySQL e importe el archivo de respaldo 'upgrade_systems_db.sql'.</w:t>
        <w:br/>
        <w:t>3. Configure las credenciales de base de datos en config/conexion.php.</w:t>
        <w:br/>
        <w:t>4. Dé permisos de escritura (chmod 755) en /uploads_dictamenes/ y /public/uploads/logos/.</w:t>
        <w:br/>
        <w:t>5. Programe un Cron Job diario a las 08:00 AM para ejecutar el motor de alertas:</w:t>
      </w:r>
    </w:p>
    <w:p>
      <w:pPr>
        <w:spacing w:before="160" w:after="160"/>
        <w:ind w:left="360"/>
        <w:shd w:fill="F8FAFC"/>
      </w:pPr>
      <w:r>
        <w:rPr>
          <w:rFonts w:ascii="Consolas" w:hAnsi="Consolas"/>
          <w:color w:val="1E293B"/>
          <w:sz w:val="18"/>
        </w:rPr>
        <w:t>/usr/local/bin/php -q /home/usuario/public_html/controllers/alertas_automaticas.php &gt; /dev/null 2&gt;&amp;1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hAnsi="Arial"/>
          <w:b/>
          <w:color w:val="003366"/>
          <w:sz w:val="36"/>
        </w:rPr>
        <w:t>7. DICCIONARIO DE DATOS Y DIAGRAMA ER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Estructura física de las tablas del sistema de base de datos MySQL: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7.1 Tabla: empresas_clientes (Usuarios e Inquilinos)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2E8F0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  <w:shd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Columna / Tipo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  <w:shd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`id` INT (PK, AI)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Identificador secuencial autoincremental de la empresa.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`cod` VARCHAR(255)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Código jerárquico identificador (ej: PORSCHE y sucursal PORSCHE/T1A).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`nombre` VARCHAR(255)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Nombre comercial de la organización o sucursal.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`encargado` VARCHAR(255)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Nombre del responsable operativo del nodo.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`email` VARCHAR(255) (UNIQUE)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Correo principal de acceso a la plataforma.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`director_email` VARCHAR(255)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Correo del director para envío de alertas de 24 horas.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`telefono_principal` VARCHAR(50)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Teléfono principal para notificaciones de WhatsApp.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`logo` VARCHAR(255)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Nombre físico del logotipo en /uploads/logos/.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`pass` VARCHAR(255)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Contraseña cifrada con algoritmo BCrypt.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`rol` VARCHAR(50)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Rango ('Consultor', 'Responsable Nacional', 'Tipo 1', 'Tipo 2', 'Tipo 3').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`activo` TINYINT(1)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Estatus de la licencia (1 = Activa, 0 = Suspendida).</w:t>
            </w:r>
          </w:p>
        </w:tc>
      </w:tr>
    </w:tbl>
    <w:p>
      <w:pPr>
        <w:spacing w:after="240"/>
      </w:pP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7.2 Tabla: documentos_pc (Expedientes y Alertas)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2E8F0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  <w:shd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Columna / Tipo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  <w:shd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`id` INT (PK, AI)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Identificador único de archivo indexado.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`empresa_cod` VARCHAR(255)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Código de la empresa dueña del archivo (relación lógica).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`tipo_doc` VARCHAR(255)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Categoría del documento (ej: Dictamen Estructural).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`nombre_personalizado` VARCHAR(255)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Nombre físico codificado del archivo PDF en uploads_dictamenes/.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`fecha_vencimiento` DATE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Fecha límite de vigencia del archivo.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`notificar_correos` TEXT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Lista de hasta 5 correos adicionales separados por comas.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`activo` TINYINT(1)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Estatus del expediente (1 = Vigente, 0 = Borrado).</w:t>
            </w:r>
          </w:p>
        </w:tc>
      </w:tr>
    </w:tbl>
    <w:p>
      <w:pPr>
        <w:spacing w:after="240"/>
      </w:pP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7.3 Diagrama Entidad-Relación Lógico: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Las tablas se vinculan de manera lógica a través de los códigos jerárquicos organizacionales en lugar de restricciones de cascada física SQL, garantizando que el sistema sea extremadamente rápido y compatible con migraciones complejas de bases de datos:</w:t>
      </w:r>
    </w:p>
    <w:p>
      <w:pPr>
        <w:pStyle w:val="ListBullet"/>
        <w:spacing w:before="60" w:after="60"/>
      </w:pPr>
      <w:r>
        <w:rPr>
          <w:rFonts w:ascii="Arial" w:hAnsi="Arial"/>
          <w:b/>
          <w:color w:val="333333"/>
          <w:sz w:val="20"/>
        </w:rPr>
        <w:t>Sucursales -&gt; Consultor:</w:t>
      </w:r>
      <w:r>
        <w:rPr>
          <w:rFonts w:ascii="Arial" w:hAnsi="Arial"/>
          <w:color w:val="333333"/>
          <w:sz w:val="20"/>
        </w:rPr>
        <w:t xml:space="preserve"> se vincula a su consultor raíz en la tabla empresas_clientes mediante la coincidencia de códigos base.</w:t>
      </w:r>
    </w:p>
    <w:p>
      <w:pPr>
        <w:pStyle w:val="ListBullet"/>
        <w:spacing w:before="60" w:after="60"/>
      </w:pPr>
      <w:r>
        <w:rPr>
          <w:rFonts w:ascii="Arial" w:hAnsi="Arial"/>
          <w:b/>
          <w:color w:val="333333"/>
          <w:sz w:val="20"/>
        </w:rPr>
        <w:t>documentos_pc -&gt; empresas_clientes:</w:t>
      </w:r>
      <w:r>
        <w:rPr>
          <w:rFonts w:ascii="Arial" w:hAnsi="Arial"/>
          <w:color w:val="333333"/>
          <w:sz w:val="20"/>
        </w:rPr>
        <w:t xml:space="preserve"> se relaciona a la sucursal o consultor dueño a través del campo empresa_cod.</w:t>
      </w:r>
    </w:p>
    <w:p>
      <w:pPr>
        <w:pStyle w:val="ListBullet"/>
        <w:spacing w:before="60" w:after="60"/>
      </w:pPr>
      <w:r>
        <w:rPr>
          <w:rFonts w:ascii="Arial" w:hAnsi="Arial"/>
          <w:b/>
          <w:color w:val="333333"/>
          <w:sz w:val="20"/>
        </w:rPr>
        <w:t>historial_documentos -&gt; documentos_pc:</w:t>
      </w:r>
      <w:r>
        <w:rPr>
          <w:rFonts w:ascii="Arial" w:hAnsi="Arial"/>
          <w:color w:val="333333"/>
          <w:sz w:val="20"/>
        </w:rPr>
        <w:t xml:space="preserve"> mantiene la trazabilidad de versiones anteriores mediante la columna foreign key documento_id.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hAnsi="Arial"/>
          <w:b/>
          <w:color w:val="003366"/>
          <w:sz w:val="36"/>
        </w:rPr>
        <w:t>8. DOCUMENTACIÓN DE ARQUITECTURA Y API INTERNA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Especificación de las solicitudes POST AJAX de comunicación entre el frontend y el backend: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8.1 API del Portal Cliente (cliente_procesar.php):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2E8F0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  <w:shd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Acción (POST 'accion')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  <w:shd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de Entrada / Salida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333333"/>
                <w:sz w:val="19"/>
              </w:rPr>
              <w:t>listar_documentos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Retorna JSON con los documentos asignados al usuario logueado en la sesión activa.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333333"/>
                <w:sz w:val="19"/>
              </w:rPr>
              <w:t>listar_mis_nodos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Retorna JSON con las sucursales dadas de alta por el Consultor.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333333"/>
                <w:sz w:val="19"/>
              </w:rPr>
              <w:t>crear_usuario_operativo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Inserta colaboradores o sucursales. Carga logotipos y guarda coordenadas GPS.</w:t>
            </w:r>
          </w:p>
        </w:tc>
      </w:tr>
    </w:tbl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8.2 API Administrativa (ups_procesar.php):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2E8F0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  <w:shd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Acción (POST 'accion')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  <w:shd w:fill="003366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 de Entrada / Salida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333333"/>
                <w:sz w:val="19"/>
              </w:rPr>
              <w:t>registrar_nueva_empresa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Crea la cuenta de Consultor o Sucursal vinculada. Aplica BCrypt a la contraseña y genera su carpeta física.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color w:val="333333"/>
                <w:sz w:val="19"/>
              </w:rPr>
              <w:t>editar_empresa_cliente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color w:val="333333"/>
                <w:sz w:val="19"/>
              </w:rPr>
              <w:t>Modifica los metadatos de la licencia, encargado y Correo del Director.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hAnsi="Arial"/>
          <w:b/>
          <w:color w:val="003366"/>
          <w:sz w:val="36"/>
        </w:rPr>
        <w:t>9. MANUAL DE MANTENIMIENTO Y RESPALDOS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Líneas de acción para garantizar el rendimiento, seguridad e integridad física de los datos del sistema: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9.1 Ajustes del Servidor (php.ini):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Configure las siguientes directivas en php.ini para evitar fallas en subidas de expedientes grandes:</w:t>
      </w:r>
    </w:p>
    <w:p>
      <w:pPr>
        <w:spacing w:before="160" w:after="160"/>
        <w:ind w:left="360"/>
        <w:shd w:fill="F8FAFC"/>
      </w:pPr>
      <w:r>
        <w:rPr>
          <w:rFonts w:ascii="Consolas" w:hAnsi="Consolas"/>
          <w:color w:val="1E293B"/>
          <w:sz w:val="18"/>
        </w:rPr>
        <w:t>upload_max_filesize = 50M</w:t>
        <w:br/>
        <w:t>post_max_size = 55M</w:t>
        <w:br/>
        <w:t>memory_limit = 128M</w:t>
        <w:br/>
        <w:t>max_execution_time = 300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9.2 Plan de Seguridad y Copias de Seguridad:</w:t>
      </w:r>
    </w:p>
    <w:p>
      <w:pPr>
        <w:pStyle w:val="ListBullet"/>
        <w:spacing w:before="60" w:after="60"/>
      </w:pPr>
      <w:r>
        <w:rPr>
          <w:rFonts w:ascii="Arial" w:hAnsi="Arial"/>
          <w:color w:val="333333"/>
          <w:sz w:val="20"/>
        </w:rPr>
        <w:t>Bloqueo por .htaccess: Regla 'Deny from all' en /uploads_dictamenes/ para bloquear accesos directos HTTP.</w:t>
      </w:r>
    </w:p>
    <w:p>
      <w:pPr>
        <w:pStyle w:val="ListBullet"/>
        <w:spacing w:before="60" w:after="60"/>
      </w:pPr>
      <w:r>
        <w:rPr>
          <w:rFonts w:ascii="Arial" w:hAnsi="Arial"/>
          <w:color w:val="333333"/>
          <w:sz w:val="20"/>
        </w:rPr>
        <w:t>Validación en servidor: Validación de sesión PHP activa e impedimento de descargas cruzadas en documento_descargar.php.</w:t>
      </w:r>
    </w:p>
    <w:p>
      <w:pPr>
        <w:pStyle w:val="Heading2"/>
        <w:spacing w:before="400" w:after="200"/>
      </w:pPr>
      <w:r>
        <w:rPr>
          <w:rFonts w:ascii="Arial" w:hAnsi="Arial"/>
          <w:b/>
          <w:color w:val="0066CC"/>
          <w:sz w:val="26"/>
        </w:rPr>
        <w:t>9.3 Script de Respaldos de Base de Datos MySQL:</w:t>
      </w:r>
    </w:p>
    <w:p>
      <w:pPr>
        <w:spacing w:before="0" w:after="120"/>
      </w:pPr>
      <w:r>
        <w:rPr>
          <w:rFonts w:ascii="Arial" w:hAnsi="Arial"/>
          <w:color w:val="333333"/>
          <w:sz w:val="20"/>
        </w:rPr>
        <w:t>Configure un script programado en Bash para servidores Linux que ejecute mysqldump diariamente:</w:t>
      </w:r>
    </w:p>
    <w:p>
      <w:pPr>
        <w:spacing w:before="160" w:after="160"/>
        <w:ind w:left="360"/>
        <w:shd w:fill="F8FAFC"/>
      </w:pPr>
      <w:r>
        <w:rPr>
          <w:rFonts w:ascii="Consolas" w:hAnsi="Consolas"/>
          <w:color w:val="1E293B"/>
          <w:sz w:val="18"/>
        </w:rPr>
        <w:t>#!/bin/bash</w:t>
        <w:br/>
        <w:t>BACKUP_DIR="/home/usuario/backups/db"</w:t>
        <w:br/>
        <w:t>DB_NAME="upgrade_systems"</w:t>
        <w:br/>
        <w:t>DB_USER="usuario_db"</w:t>
        <w:br/>
        <w:t>DB_PASS="contraseña_db"</w:t>
        <w:br/>
        <w:t>DATE=$(date +"%Y-%m-%d_%H-%M-%S")</w:t>
        <w:br/>
        <w:br/>
        <w:t>mysqldump -u$DB_USER -p$DB_PASS $DB_NAME &gt; $BACKUP_DIR/backup_$DATE.sql</w:t>
        <w:br/>
        <w:t>tar -czf /home/usuario/backups/files/files_$DATE.tar.gz /var/www/html/uploads_dictamenes/</w:t>
        <w:br/>
        <w:br/>
        <w:t>find $BACKUP_DIR -type f -mtime +15 -delete # Conservar 15 días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