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003366"/>
          <w:sz w:val="36"/>
        </w:rPr>
        <w:t>DOCUMENTACIÓN TÉCNICA Y OPERATIVA DEL PROYECTO</w:t>
        <w:br/>
        <w:t>SISTEMA DE GESTIÓN Y CONTROL DE VIGENCIA DE EXPEDIENTES CORPORATIVOS</w:t>
      </w:r>
    </w:p>
    <w:p>
      <w:pPr>
        <w:spacing w:after="240"/>
        <w:jc w:val="center"/>
      </w:pPr>
      <w:r>
        <w:rPr>
          <w:rFonts w:ascii="Arial" w:hAnsi="Arial"/>
          <w:b/>
          <w:color w:val="CC0000"/>
          <w:sz w:val="28"/>
        </w:rPr>
        <w:t>- MARCA BLANCA: XONEXKA -</w:t>
      </w:r>
    </w:p>
    <w:p>
      <w:pPr>
        <w:spacing w:after="240"/>
      </w:pPr>
    </w:p>
    <w:p>
      <w:pPr>
        <w:pStyle w:val="Heading1"/>
        <w:spacing w:before="240" w:after="120"/>
      </w:pPr>
      <w:r>
        <w:rPr>
          <w:rFonts w:ascii="Arial" w:hAnsi="Arial"/>
          <w:b/>
          <w:color w:val="003366"/>
          <w:sz w:val="40"/>
        </w:rPr>
        <w:t>1. DESCRIPCIÓN GENERAL</w:t>
      </w:r>
    </w:p>
    <w:p>
      <w:pPr>
        <w:spacing w:before="0" w:after="120"/>
      </w:pPr>
      <w:r>
        <w:rPr>
          <w:rFonts w:ascii="Arial" w:hAnsi="Arial"/>
          <w:color w:val="333333"/>
          <w:sz w:val="21"/>
        </w:rPr>
        <w:t>El sistema es una plataforma web multi-inquilino (multi-tenant) diseñada para automatizar la indexación, auditoría y control de vigencia de expedientes obligatorios para corporativos, consultores y sucursales subordinadas. Su principal objetivo es prevenir multas o interrupciones operativas mediante alertas visuales (semáforos de estado) y notificaciones automatizadas multicanal (Email y WhatsApp) ante el vencimiento de licencias, dictámenes o permisos.</w:t>
      </w:r>
    </w:p>
    <w:p>
      <w:pPr>
        <w:pStyle w:val="Heading1"/>
        <w:spacing w:before="240" w:after="120"/>
      </w:pPr>
      <w:r>
        <w:rPr>
          <w:rFonts w:ascii="Arial" w:hAnsi="Arial"/>
          <w:b/>
          <w:color w:val="003366"/>
          <w:sz w:val="40"/>
        </w:rPr>
        <w:t>2. ARQUITECTURA Y TECNOLOGÍAS</w:t>
      </w:r>
    </w:p>
    <w:p>
      <w:pPr>
        <w:spacing w:before="0" w:after="120"/>
      </w:pPr>
      <w:r>
        <w:rPr>
          <w:rFonts w:ascii="Arial" w:hAnsi="Arial"/>
          <w:color w:val="333333"/>
          <w:sz w:val="21"/>
        </w:rPr>
        <w:t>La aplicación está construida sobre una arquitectura clásica monolítica de alto rendimiento, optimizada para entornos locales (como XAMPP) y servidores de producción Linux/Apache:</w:t>
      </w:r>
    </w:p>
    <w:p>
      <w:pPr>
        <w:spacing w:before="0" w:after="120"/>
      </w:pPr>
      <w:r>
        <w:rPr>
          <w:rFonts w:ascii="Arial" w:hAnsi="Arial"/>
          <w:b/>
          <w:color w:val="333333"/>
          <w:sz w:val="21"/>
        </w:rPr>
        <w:t>Frontend (HTML5 &amp; CSS3):</w:t>
      </w:r>
      <w:r>
        <w:rPr>
          <w:rFonts w:ascii="Arial" w:hAnsi="Arial"/>
          <w:color w:val="333333"/>
          <w:sz w:val="21"/>
        </w:rPr>
        <w:t xml:space="preserve"> Diseño responsivo modular hecho a medida, sin librerías pesadas como TailwindCSS para garantizar máxima velocidad. Incluye un preloader dinámico premium, paneles colapsables optimizados para smartphones (diseño móvil-primero) e imágenes en alta resolución con filtros avanzados de suavizado.</w:t>
      </w:r>
    </w:p>
    <w:p>
      <w:pPr>
        <w:spacing w:before="0" w:after="120"/>
      </w:pPr>
      <w:r>
        <w:rPr>
          <w:rFonts w:ascii="Arial" w:hAnsi="Arial"/>
          <w:b/>
          <w:color w:val="333333"/>
          <w:sz w:val="21"/>
        </w:rPr>
        <w:t>Frontend Logic (JavaScript ES6+):</w:t>
      </w:r>
      <w:r>
        <w:rPr>
          <w:rFonts w:ascii="Arial" w:hAnsi="Arial"/>
          <w:color w:val="333333"/>
          <w:sz w:val="21"/>
        </w:rPr>
        <w:t xml:space="preserve"> Programación asíncrona pura para la interactividad de la interfaz. Manejo de formularios mediante FormData para subida de logotipos y expedientes pesados.</w:t>
      </w:r>
    </w:p>
    <w:p>
      <w:pPr>
        <w:spacing w:before="0" w:after="120"/>
      </w:pPr>
      <w:r>
        <w:rPr>
          <w:rFonts w:ascii="Arial" w:hAnsi="Arial"/>
          <w:b/>
          <w:color w:val="333333"/>
          <w:sz w:val="21"/>
        </w:rPr>
        <w:t>Mapas (Leaflet.js con Google Maps):</w:t>
      </w:r>
      <w:r>
        <w:rPr>
          <w:rFonts w:ascii="Arial" w:hAnsi="Arial"/>
          <w:color w:val="333333"/>
          <w:sz w:val="21"/>
        </w:rPr>
        <w:t xml:space="preserve"> Integración de mapas interactivos que cargan directamente la cartografía oficial de Google Maps, permitiendo posicionar marcadores y obtener coordenadas precisas en tiempo real de forma gratuita (sin requerir claves de API pagas).</w:t>
      </w:r>
    </w:p>
    <w:p>
      <w:pPr>
        <w:spacing w:before="0" w:after="120"/>
      </w:pPr>
      <w:r>
        <w:rPr>
          <w:rFonts w:ascii="Arial" w:hAnsi="Arial"/>
          <w:b/>
          <w:color w:val="333333"/>
          <w:sz w:val="21"/>
        </w:rPr>
        <w:t>Backend (PHP 8.x):</w:t>
      </w:r>
      <w:r>
        <w:rPr>
          <w:rFonts w:ascii="Arial" w:hAnsi="Arial"/>
          <w:color w:val="333333"/>
          <w:sz w:val="21"/>
        </w:rPr>
        <w:t xml:space="preserve"> Lenguaje del lado del servidor que procesa las solicitudes a través de un modelo controlador de API REST nativo.</w:t>
      </w:r>
    </w:p>
    <w:p>
      <w:pPr>
        <w:spacing w:before="0" w:after="120"/>
      </w:pPr>
      <w:r>
        <w:rPr>
          <w:rFonts w:ascii="Arial" w:hAnsi="Arial"/>
          <w:b/>
          <w:color w:val="333333"/>
          <w:sz w:val="21"/>
        </w:rPr>
        <w:t>Base de Datos (MySQL / MariaDB):</w:t>
      </w:r>
      <w:r>
        <w:rPr>
          <w:rFonts w:ascii="Arial" w:hAnsi="Arial"/>
          <w:color w:val="333333"/>
          <w:sz w:val="21"/>
        </w:rPr>
        <w:t xml:space="preserve"> Motor relacional estructurado para la persistencia de datos.</w:t>
      </w:r>
    </w:p>
    <w:p>
      <w:pPr>
        <w:spacing w:before="0" w:after="120"/>
      </w:pPr>
      <w:r>
        <w:rPr>
          <w:rFonts w:ascii="Arial" w:hAnsi="Arial"/>
          <w:b/>
          <w:color w:val="333333"/>
          <w:sz w:val="21"/>
        </w:rPr>
        <w:t>Seguridad:</w:t>
      </w:r>
      <w:r>
        <w:rPr>
          <w:rFonts w:ascii="Arial" w:hAnsi="Arial"/>
          <w:color w:val="333333"/>
          <w:sz w:val="21"/>
        </w:rPr>
        <w:t xml:space="preserve"> Sesiones seguras nativas de PHP (PHPSESSID) y hashes criptográficos robustos mediante BCrypt para contraseñas de usuarios.</w:t>
      </w:r>
    </w:p>
    <w:p>
      <w:pPr>
        <w:pStyle w:val="Heading1"/>
        <w:spacing w:before="240" w:after="120"/>
      </w:pPr>
      <w:r>
        <w:rPr>
          <w:rFonts w:ascii="Arial" w:hAnsi="Arial"/>
          <w:b/>
          <w:color w:val="003366"/>
          <w:sz w:val="40"/>
        </w:rPr>
        <w:t>3. ESTRUCTURA DE CARPETAS DEL PROYECTO</w:t>
      </w:r>
    </w:p>
    <w:p>
      <w:pPr>
        <w:spacing w:before="0" w:after="120"/>
      </w:pPr>
      <w:r>
        <w:rPr>
          <w:rFonts w:ascii="Arial" w:hAnsi="Arial"/>
          <w:color w:val="333333"/>
          <w:sz w:val="21"/>
        </w:rPr>
        <w:t>El proyecto cuenta con una organización limpia y modular:</w:t>
      </w:r>
    </w:p>
    <w:p>
      <w:pPr>
        <w:spacing w:before="120" w:after="120"/>
        <w:ind w:left="360"/>
        <w:shd w:fill="F4F4F4"/>
      </w:pPr>
      <w:r>
        <w:rPr>
          <w:rFonts w:ascii="Consolas" w:hAnsi="Consolas"/>
          <w:color w:val="222222"/>
          <w:sz w:val="19"/>
        </w:rPr>
        <w:t>config/</w:t>
        <w:br/>
        <w:t xml:space="preserve">  └── conexion.php           # Configuración de credenciales de la base de datos MySQL</w:t>
        <w:br/>
        <w:t>controllers/</w:t>
        <w:br/>
        <w:t xml:space="preserve">  ├── alertas_automaticas.php # Cron / Script de alertas automáticas (vencimientos)</w:t>
        <w:br/>
        <w:t xml:space="preserve">  ├── cliente_procesar.php   # API Backend para operaciones del portal de clientes</w:t>
        <w:br/>
        <w:t xml:space="preserve">  ├── documento_descargar.php # Controlador seguro para descarga de archivos indexados</w:t>
        <w:br/>
        <w:t xml:space="preserve">  ├── login_procesar.php     # Validador de credenciales y creador de sesiones PHP</w:t>
        <w:br/>
        <w:t xml:space="preserve">  ├── logout.php             # Script de destrucción segura de sesiones</w:t>
        <w:br/>
        <w:t xml:space="preserve">  └── ups_procesar.php       # API Backend para la consola del Administrador UPS</w:t>
        <w:br/>
        <w:t>public/</w:t>
        <w:br/>
        <w:t xml:space="preserve">  ├── admin/                 # Consola del Administrador Global</w:t>
        <w:br/>
        <w:t xml:space="preserve">  │   ├── css/index.css      # Estilos generales del panel administrativo</w:t>
        <w:br/>
        <w:t xml:space="preserve">  │   ├── js/index.js        # Lógica y mapas de la vista de administrador</w:t>
        <w:br/>
        <w:t xml:space="preserve">  │   ├── index.html         # Maqueta HTML del Dashboard de administración</w:t>
        <w:br/>
        <w:t xml:space="preserve">  │   └── login.html         # Pantalla de login de administración</w:t>
        <w:br/>
        <w:t xml:space="preserve">  ├── cliente/               # Portal de Clientes, Consultores y Sucursales</w:t>
        <w:br/>
        <w:t xml:space="preserve">  │   ├── css/index.css      # Estilos generales responsivos</w:t>
        <w:br/>
        <w:t xml:space="preserve">  │   ├── js/index.js        # Lógica, tablas y mapas del cliente</w:t>
        <w:br/>
        <w:t xml:space="preserve">  │   ├── index.html         # Maqueta HTML del Dashboard corporativo</w:t>
        <w:br/>
        <w:t xml:space="preserve">  │   └── login.html         # Pantalla de login alineado a la derecha</w:t>
        <w:br/>
        <w:t xml:space="preserve">  └── uploads/logos/         # Directorio de almacenamiento de logotipos</w:t>
        <w:br/>
        <w:t>uploads_dictamenes/        # Almacenamiento seguro de archivos (bloqueado por .htaccess)</w:t>
      </w:r>
    </w:p>
    <w:p>
      <w:pPr>
        <w:pStyle w:val="Heading1"/>
        <w:spacing w:before="240" w:after="120"/>
      </w:pPr>
      <w:r>
        <w:rPr>
          <w:rFonts w:ascii="Arial" w:hAnsi="Arial"/>
          <w:b/>
          <w:color w:val="003366"/>
          <w:sz w:val="40"/>
        </w:rPr>
        <w:t>4. DISEÑO DE BASE DE DATOS</w:t>
      </w:r>
    </w:p>
    <w:p>
      <w:pPr>
        <w:spacing w:before="0" w:after="120"/>
      </w:pPr>
      <w:r>
        <w:rPr>
          <w:rFonts w:ascii="Arial" w:hAnsi="Arial"/>
          <w:color w:val="333333"/>
          <w:sz w:val="21"/>
        </w:rPr>
        <w:t>El sistema utiliza 4 tablas principales en el esquema relacional:</w:t>
      </w:r>
    </w:p>
    <w:p>
      <w:pPr>
        <w:pStyle w:val="Heading2"/>
        <w:spacing w:before="240" w:after="120"/>
      </w:pPr>
      <w:r>
        <w:rPr>
          <w:rFonts w:ascii="Arial" w:hAnsi="Arial"/>
          <w:b/>
          <w:color w:val="0066CC"/>
          <w:sz w:val="28"/>
        </w:rPr>
        <w:t>A. Tabla: empresas_clientes</w:t>
      </w:r>
    </w:p>
    <w:p>
      <w:pPr>
        <w:spacing w:before="0" w:after="120"/>
      </w:pPr>
      <w:r>
        <w:rPr>
          <w:rFonts w:ascii="Arial" w:hAnsi="Arial"/>
          <w:color w:val="333333"/>
          <w:sz w:val="21"/>
        </w:rPr>
        <w:t>Representa a los usuarios del portal cliente y define la jerarquía organizacional.</w:t>
      </w:r>
    </w:p>
    <w:tbl>
      <w:tblPr>
        <w:tblW w:type="auto" w:w="0"/>
        <w:tblLook w:firstColumn="1" w:firstRow="1" w:lastColumn="0" w:lastRow="0" w:noHBand="0" w:noVBand="1" w:val="04A0"/>
        <w:tblBorders>
          <w:top w:val="single" w:sz="4" w:space="0" w:color="CCCCCC"/>
          <w:bottom w:val="single" w:sz="4" w:space="0" w:color="CCCCCC"/>
          <w:insideH w:val="single" w:sz="4" w:space="0" w:color="E0E0E0"/>
          <w:left w:val="none"/>
          <w:right w:val="none"/>
          <w:insideV w:val="none"/>
        </w:tblBorders>
      </w:tblPr>
      <w:tblGrid>
        <w:gridCol w:w="4680"/>
        <w:gridCol w:w="4680"/>
      </w:tblGrid>
      <w:tr>
        <w:tc>
          <w:tcPr>
            <w:tcW w:type="dxa" w:w="4680"/>
            <w:tcMar>
              <w:top w:w="100" w:type="dxa"/>
              <w:bottom w:w="100" w:type="dxa"/>
              <w:left w:w="150" w:type="dxa"/>
              <w:right w:w="150" w:type="dxa"/>
            </w:tcMar>
            <w:shd w:fill="003366"/>
          </w:tcPr>
          <w:p>
            <w:r>
              <w:rPr>
                <w:rFonts w:ascii="Arial" w:hAnsi="Arial"/>
                <w:b/>
                <w:color w:val="FFFFFF"/>
              </w:rPr>
              <w:t>Columna / Campo</w:t>
            </w:r>
          </w:p>
        </w:tc>
        <w:tc>
          <w:tcPr>
            <w:tcW w:type="dxa" w:w="4680"/>
            <w:tcMar>
              <w:top w:w="100" w:type="dxa"/>
              <w:bottom w:w="100" w:type="dxa"/>
              <w:left w:w="150" w:type="dxa"/>
              <w:right w:w="150" w:type="dxa"/>
            </w:tcMar>
            <w:shd w:fill="003366"/>
          </w:tcPr>
          <w:p>
            <w:r>
              <w:rPr>
                <w:rFonts w:ascii="Arial" w:hAnsi="Arial"/>
                <w:b/>
                <w:color w:val="FFFFFF"/>
              </w:rPr>
              <w:t>Descripción técnica</w:t>
            </w:r>
          </w:p>
        </w:tc>
      </w:tr>
      <w:tr>
        <w:tc>
          <w:tcPr>
            <w:tcW w:type="dxa" w:w="4680"/>
            <w:tcMar>
              <w:top w:w="100" w:type="dxa"/>
              <w:bottom w:w="100" w:type="dxa"/>
              <w:left w:w="150" w:type="dxa"/>
              <w:right w:w="150" w:type="dxa"/>
            </w:tcMar>
          </w:tcPr>
          <w:p>
            <w:r>
              <w:rPr>
                <w:rFonts w:ascii="Consolas" w:hAnsi="Consolas"/>
                <w:color w:val="333333"/>
                <w:sz w:val="20"/>
              </w:rPr>
              <w:t>id</w:t>
            </w:r>
          </w:p>
        </w:tc>
        <w:tc>
          <w:tcPr>
            <w:tcW w:type="dxa" w:w="4680"/>
            <w:tcMar>
              <w:top w:w="100" w:type="dxa"/>
              <w:bottom w:w="100" w:type="dxa"/>
              <w:left w:w="150" w:type="dxa"/>
              <w:right w:w="150" w:type="dxa"/>
            </w:tcMar>
          </w:tcPr>
          <w:p>
            <w:r>
              <w:rPr>
                <w:rFonts w:ascii="Arial" w:hAnsi="Arial"/>
                <w:color w:val="333333"/>
                <w:sz w:val="20"/>
              </w:rPr>
              <w:t>INT, Primary Key, Auto-increment.</w:t>
            </w:r>
          </w:p>
        </w:tc>
      </w:tr>
      <w:tr>
        <w:tc>
          <w:tcPr>
            <w:tcW w:type="dxa" w:w="4680"/>
            <w:tcMar>
              <w:top w:w="100" w:type="dxa"/>
              <w:bottom w:w="100" w:type="dxa"/>
              <w:left w:w="150" w:type="dxa"/>
              <w:right w:w="150" w:type="dxa"/>
            </w:tcMar>
          </w:tcPr>
          <w:p>
            <w:r>
              <w:rPr>
                <w:rFonts w:ascii="Consolas" w:hAnsi="Consolas"/>
                <w:color w:val="333333"/>
                <w:sz w:val="20"/>
              </w:rPr>
              <w:t>cod</w:t>
            </w:r>
          </w:p>
        </w:tc>
        <w:tc>
          <w:tcPr>
            <w:tcW w:type="dxa" w:w="4680"/>
            <w:tcMar>
              <w:top w:w="100" w:type="dxa"/>
              <w:bottom w:w="100" w:type="dxa"/>
              <w:left w:w="150" w:type="dxa"/>
              <w:right w:w="150" w:type="dxa"/>
            </w:tcMar>
          </w:tcPr>
          <w:p>
            <w:r>
              <w:rPr>
                <w:rFonts w:ascii="Arial" w:hAnsi="Arial"/>
                <w:color w:val="333333"/>
                <w:sz w:val="20"/>
              </w:rPr>
              <w:t>VARCHAR: Código identificador de la organización (ej: Roto123, o Roto123/T1A).</w:t>
            </w:r>
          </w:p>
        </w:tc>
      </w:tr>
      <w:tr>
        <w:tc>
          <w:tcPr>
            <w:tcW w:type="dxa" w:w="4680"/>
            <w:tcMar>
              <w:top w:w="100" w:type="dxa"/>
              <w:bottom w:w="100" w:type="dxa"/>
              <w:left w:w="150" w:type="dxa"/>
              <w:right w:w="150" w:type="dxa"/>
            </w:tcMar>
          </w:tcPr>
          <w:p>
            <w:r>
              <w:rPr>
                <w:rFonts w:ascii="Consolas" w:hAnsi="Consolas"/>
                <w:color w:val="333333"/>
                <w:sz w:val="20"/>
              </w:rPr>
              <w:t>nombre</w:t>
            </w:r>
          </w:p>
        </w:tc>
        <w:tc>
          <w:tcPr>
            <w:tcW w:type="dxa" w:w="4680"/>
            <w:tcMar>
              <w:top w:w="100" w:type="dxa"/>
              <w:bottom w:w="100" w:type="dxa"/>
              <w:left w:w="150" w:type="dxa"/>
              <w:right w:w="150" w:type="dxa"/>
            </w:tcMar>
          </w:tcPr>
          <w:p>
            <w:r>
              <w:rPr>
                <w:rFonts w:ascii="Arial" w:hAnsi="Arial"/>
                <w:color w:val="333333"/>
                <w:sz w:val="20"/>
              </w:rPr>
              <w:t>VARCHAR: Nombre comercial de la organización o sucursal.</w:t>
            </w:r>
          </w:p>
        </w:tc>
      </w:tr>
      <w:tr>
        <w:tc>
          <w:tcPr>
            <w:tcW w:type="dxa" w:w="4680"/>
            <w:tcMar>
              <w:top w:w="100" w:type="dxa"/>
              <w:bottom w:w="100" w:type="dxa"/>
              <w:left w:w="150" w:type="dxa"/>
              <w:right w:w="150" w:type="dxa"/>
            </w:tcMar>
          </w:tcPr>
          <w:p>
            <w:r>
              <w:rPr>
                <w:rFonts w:ascii="Consolas" w:hAnsi="Consolas"/>
                <w:color w:val="333333"/>
                <w:sz w:val="20"/>
              </w:rPr>
              <w:t>encargado</w:t>
            </w:r>
          </w:p>
        </w:tc>
        <w:tc>
          <w:tcPr>
            <w:tcW w:type="dxa" w:w="4680"/>
            <w:tcMar>
              <w:top w:w="100" w:type="dxa"/>
              <w:bottom w:w="100" w:type="dxa"/>
              <w:left w:w="150" w:type="dxa"/>
              <w:right w:w="150" w:type="dxa"/>
            </w:tcMar>
          </w:tcPr>
          <w:p>
            <w:r>
              <w:rPr>
                <w:rFonts w:ascii="Arial" w:hAnsi="Arial"/>
                <w:color w:val="333333"/>
                <w:sz w:val="20"/>
              </w:rPr>
              <w:t>VARCHAR: Nombre del responsable operativo del nodo.</w:t>
            </w:r>
          </w:p>
        </w:tc>
      </w:tr>
      <w:tr>
        <w:tc>
          <w:tcPr>
            <w:tcW w:type="dxa" w:w="4680"/>
            <w:tcMar>
              <w:top w:w="100" w:type="dxa"/>
              <w:bottom w:w="100" w:type="dxa"/>
              <w:left w:w="150" w:type="dxa"/>
              <w:right w:w="150" w:type="dxa"/>
            </w:tcMar>
          </w:tcPr>
          <w:p>
            <w:r>
              <w:rPr>
                <w:rFonts w:ascii="Consolas" w:hAnsi="Consolas"/>
                <w:color w:val="333333"/>
                <w:sz w:val="20"/>
              </w:rPr>
              <w:t>email</w:t>
            </w:r>
          </w:p>
        </w:tc>
        <w:tc>
          <w:tcPr>
            <w:tcW w:type="dxa" w:w="4680"/>
            <w:tcMar>
              <w:top w:w="100" w:type="dxa"/>
              <w:bottom w:w="100" w:type="dxa"/>
              <w:left w:w="150" w:type="dxa"/>
              <w:right w:w="150" w:type="dxa"/>
            </w:tcMar>
          </w:tcPr>
          <w:p>
            <w:r>
              <w:rPr>
                <w:rFonts w:ascii="Arial" w:hAnsi="Arial"/>
                <w:color w:val="333333"/>
                <w:sz w:val="20"/>
              </w:rPr>
              <w:t>VARCHAR, Unique: Correo principal (usado para iniciar sesión).</w:t>
            </w:r>
          </w:p>
        </w:tc>
      </w:tr>
      <w:tr>
        <w:tc>
          <w:tcPr>
            <w:tcW w:type="dxa" w:w="4680"/>
            <w:tcMar>
              <w:top w:w="100" w:type="dxa"/>
              <w:bottom w:w="100" w:type="dxa"/>
              <w:left w:w="150" w:type="dxa"/>
              <w:right w:w="150" w:type="dxa"/>
            </w:tcMar>
          </w:tcPr>
          <w:p>
            <w:r>
              <w:rPr>
                <w:rFonts w:ascii="Consolas" w:hAnsi="Consolas"/>
                <w:color w:val="333333"/>
                <w:sz w:val="20"/>
              </w:rPr>
              <w:t>director_email</w:t>
            </w:r>
          </w:p>
        </w:tc>
        <w:tc>
          <w:tcPr>
            <w:tcW w:type="dxa" w:w="4680"/>
            <w:tcMar>
              <w:top w:w="100" w:type="dxa"/>
              <w:bottom w:w="100" w:type="dxa"/>
              <w:left w:w="150" w:type="dxa"/>
              <w:right w:w="150" w:type="dxa"/>
            </w:tcMar>
          </w:tcPr>
          <w:p>
            <w:r>
              <w:rPr>
                <w:rFonts w:ascii="Arial" w:hAnsi="Arial"/>
                <w:color w:val="333333"/>
                <w:sz w:val="20"/>
              </w:rPr>
              <w:t>VARCHAR: Correo del director de la sucursal para envíos críticos de 24h.</w:t>
            </w:r>
          </w:p>
        </w:tc>
      </w:tr>
      <w:tr>
        <w:tc>
          <w:tcPr>
            <w:tcW w:type="dxa" w:w="4680"/>
            <w:tcMar>
              <w:top w:w="100" w:type="dxa"/>
              <w:bottom w:w="100" w:type="dxa"/>
              <w:left w:w="150" w:type="dxa"/>
              <w:right w:w="150" w:type="dxa"/>
            </w:tcMar>
          </w:tcPr>
          <w:p>
            <w:r>
              <w:rPr>
                <w:rFonts w:ascii="Consolas" w:hAnsi="Consolas"/>
                <w:color w:val="333333"/>
                <w:sz w:val="20"/>
              </w:rPr>
              <w:t>email_adicional</w:t>
            </w:r>
          </w:p>
        </w:tc>
        <w:tc>
          <w:tcPr>
            <w:tcW w:type="dxa" w:w="4680"/>
            <w:tcMar>
              <w:top w:w="100" w:type="dxa"/>
              <w:bottom w:w="100" w:type="dxa"/>
              <w:left w:w="150" w:type="dxa"/>
              <w:right w:w="150" w:type="dxa"/>
            </w:tcMar>
          </w:tcPr>
          <w:p>
            <w:r>
              <w:rPr>
                <w:rFonts w:ascii="Arial" w:hAnsi="Arial"/>
                <w:color w:val="333333"/>
                <w:sz w:val="20"/>
              </w:rPr>
              <w:t>VARCHAR: Correo electrónico secundario de contacto.</w:t>
            </w:r>
          </w:p>
        </w:tc>
      </w:tr>
      <w:tr>
        <w:tc>
          <w:tcPr>
            <w:tcW w:type="dxa" w:w="4680"/>
            <w:tcMar>
              <w:top w:w="100" w:type="dxa"/>
              <w:bottom w:w="100" w:type="dxa"/>
              <w:left w:w="150" w:type="dxa"/>
              <w:right w:w="150" w:type="dxa"/>
            </w:tcMar>
          </w:tcPr>
          <w:p>
            <w:r>
              <w:rPr>
                <w:rFonts w:ascii="Consolas" w:hAnsi="Consolas"/>
                <w:color w:val="333333"/>
                <w:sz w:val="20"/>
              </w:rPr>
              <w:t>telefono_principal</w:t>
            </w:r>
          </w:p>
        </w:tc>
        <w:tc>
          <w:tcPr>
            <w:tcW w:type="dxa" w:w="4680"/>
            <w:tcMar>
              <w:top w:w="100" w:type="dxa"/>
              <w:bottom w:w="100" w:type="dxa"/>
              <w:left w:w="150" w:type="dxa"/>
              <w:right w:w="150" w:type="dxa"/>
            </w:tcMar>
          </w:tcPr>
          <w:p>
            <w:r>
              <w:rPr>
                <w:rFonts w:ascii="Arial" w:hAnsi="Arial"/>
                <w:color w:val="333333"/>
                <w:sz w:val="20"/>
              </w:rPr>
              <w:t>VARCHAR: Teléfono primario (usado para alertas de WhatsApp).</w:t>
            </w:r>
          </w:p>
        </w:tc>
      </w:tr>
      <w:tr>
        <w:tc>
          <w:tcPr>
            <w:tcW w:type="dxa" w:w="4680"/>
            <w:tcMar>
              <w:top w:w="100" w:type="dxa"/>
              <w:bottom w:w="100" w:type="dxa"/>
              <w:left w:w="150" w:type="dxa"/>
              <w:right w:w="150" w:type="dxa"/>
            </w:tcMar>
          </w:tcPr>
          <w:p>
            <w:r>
              <w:rPr>
                <w:rFonts w:ascii="Consolas" w:hAnsi="Consolas"/>
                <w:color w:val="333333"/>
                <w:sz w:val="20"/>
              </w:rPr>
              <w:t>telefono_adicional</w:t>
            </w:r>
          </w:p>
        </w:tc>
        <w:tc>
          <w:tcPr>
            <w:tcW w:type="dxa" w:w="4680"/>
            <w:tcMar>
              <w:top w:w="100" w:type="dxa"/>
              <w:bottom w:w="100" w:type="dxa"/>
              <w:left w:w="150" w:type="dxa"/>
              <w:right w:w="150" w:type="dxa"/>
            </w:tcMar>
          </w:tcPr>
          <w:p>
            <w:r>
              <w:rPr>
                <w:rFonts w:ascii="Arial" w:hAnsi="Arial"/>
                <w:color w:val="333333"/>
                <w:sz w:val="20"/>
              </w:rPr>
              <w:t>VARCHAR: Teléfono secundario.</w:t>
            </w:r>
          </w:p>
        </w:tc>
      </w:tr>
      <w:tr>
        <w:tc>
          <w:tcPr>
            <w:tcW w:type="dxa" w:w="4680"/>
            <w:tcMar>
              <w:top w:w="100" w:type="dxa"/>
              <w:bottom w:w="100" w:type="dxa"/>
              <w:left w:w="150" w:type="dxa"/>
              <w:right w:w="150" w:type="dxa"/>
            </w:tcMar>
          </w:tcPr>
          <w:p>
            <w:r>
              <w:rPr>
                <w:rFonts w:ascii="Consolas" w:hAnsi="Consolas"/>
                <w:color w:val="333333"/>
                <w:sz w:val="20"/>
              </w:rPr>
              <w:t>direccion</w:t>
            </w:r>
          </w:p>
        </w:tc>
        <w:tc>
          <w:tcPr>
            <w:tcW w:type="dxa" w:w="4680"/>
            <w:tcMar>
              <w:top w:w="100" w:type="dxa"/>
              <w:bottom w:w="100" w:type="dxa"/>
              <w:left w:w="150" w:type="dxa"/>
              <w:right w:w="150" w:type="dxa"/>
            </w:tcMar>
          </w:tcPr>
          <w:p>
            <w:r>
              <w:rPr>
                <w:rFonts w:ascii="Arial" w:hAnsi="Arial"/>
                <w:color w:val="333333"/>
                <w:sz w:val="20"/>
              </w:rPr>
              <w:t>TEXT: Ubicación física.</w:t>
            </w:r>
          </w:p>
        </w:tc>
      </w:tr>
      <w:tr>
        <w:tc>
          <w:tcPr>
            <w:tcW w:type="dxa" w:w="4680"/>
            <w:tcMar>
              <w:top w:w="100" w:type="dxa"/>
              <w:bottom w:w="100" w:type="dxa"/>
              <w:left w:w="150" w:type="dxa"/>
              <w:right w:w="150" w:type="dxa"/>
            </w:tcMar>
          </w:tcPr>
          <w:p>
            <w:r>
              <w:rPr>
                <w:rFonts w:ascii="Consolas" w:hAnsi="Consolas"/>
                <w:color w:val="333333"/>
                <w:sz w:val="20"/>
              </w:rPr>
              <w:t>coordenadas</w:t>
            </w:r>
          </w:p>
        </w:tc>
        <w:tc>
          <w:tcPr>
            <w:tcW w:type="dxa" w:w="4680"/>
            <w:tcMar>
              <w:top w:w="100" w:type="dxa"/>
              <w:bottom w:w="100" w:type="dxa"/>
              <w:left w:w="150" w:type="dxa"/>
              <w:right w:w="150" w:type="dxa"/>
            </w:tcMar>
          </w:tcPr>
          <w:p>
            <w:r>
              <w:rPr>
                <w:rFonts w:ascii="Arial" w:hAnsi="Arial"/>
                <w:color w:val="333333"/>
                <w:sz w:val="20"/>
              </w:rPr>
              <w:t>VARCHAR: Ubicación GPS en formato 'latitud, longitud'.</w:t>
            </w:r>
          </w:p>
        </w:tc>
      </w:tr>
      <w:tr>
        <w:tc>
          <w:tcPr>
            <w:tcW w:type="dxa" w:w="4680"/>
            <w:tcMar>
              <w:top w:w="100" w:type="dxa"/>
              <w:bottom w:w="100" w:type="dxa"/>
              <w:left w:w="150" w:type="dxa"/>
              <w:right w:w="150" w:type="dxa"/>
            </w:tcMar>
          </w:tcPr>
          <w:p>
            <w:r>
              <w:rPr>
                <w:rFonts w:ascii="Consolas" w:hAnsi="Consolas"/>
                <w:color w:val="333333"/>
                <w:sz w:val="20"/>
              </w:rPr>
              <w:t>logo</w:t>
            </w:r>
          </w:p>
        </w:tc>
        <w:tc>
          <w:tcPr>
            <w:tcW w:type="dxa" w:w="4680"/>
            <w:tcMar>
              <w:top w:w="100" w:type="dxa"/>
              <w:bottom w:w="100" w:type="dxa"/>
              <w:left w:w="150" w:type="dxa"/>
              <w:right w:w="150" w:type="dxa"/>
            </w:tcMar>
          </w:tcPr>
          <w:p>
            <w:r>
              <w:rPr>
                <w:rFonts w:ascii="Arial" w:hAnsi="Arial"/>
                <w:color w:val="333333"/>
                <w:sz w:val="20"/>
              </w:rPr>
              <w:t>VARCHAR: Nombre del archivo físico del logotipo subido.</w:t>
            </w:r>
          </w:p>
        </w:tc>
      </w:tr>
      <w:tr>
        <w:tc>
          <w:tcPr>
            <w:tcW w:type="dxa" w:w="4680"/>
            <w:tcMar>
              <w:top w:w="100" w:type="dxa"/>
              <w:bottom w:w="100" w:type="dxa"/>
              <w:left w:w="150" w:type="dxa"/>
              <w:right w:w="150" w:type="dxa"/>
            </w:tcMar>
          </w:tcPr>
          <w:p>
            <w:r>
              <w:rPr>
                <w:rFonts w:ascii="Consolas" w:hAnsi="Consolas"/>
                <w:color w:val="333333"/>
                <w:sz w:val="20"/>
              </w:rPr>
              <w:t>pass</w:t>
            </w:r>
          </w:p>
        </w:tc>
        <w:tc>
          <w:tcPr>
            <w:tcW w:type="dxa" w:w="4680"/>
            <w:tcMar>
              <w:top w:w="100" w:type="dxa"/>
              <w:bottom w:w="100" w:type="dxa"/>
              <w:left w:w="150" w:type="dxa"/>
              <w:right w:w="150" w:type="dxa"/>
            </w:tcMar>
          </w:tcPr>
          <w:p>
            <w:r>
              <w:rPr>
                <w:rFonts w:ascii="Arial" w:hAnsi="Arial"/>
                <w:color w:val="333333"/>
                <w:sz w:val="20"/>
              </w:rPr>
              <w:t>VARCHAR: Contraseña encriptada en BCrypt.</w:t>
            </w:r>
          </w:p>
        </w:tc>
      </w:tr>
      <w:tr>
        <w:tc>
          <w:tcPr>
            <w:tcW w:type="dxa" w:w="4680"/>
            <w:tcMar>
              <w:top w:w="100" w:type="dxa"/>
              <w:bottom w:w="100" w:type="dxa"/>
              <w:left w:w="150" w:type="dxa"/>
              <w:right w:w="150" w:type="dxa"/>
            </w:tcMar>
          </w:tcPr>
          <w:p>
            <w:r>
              <w:rPr>
                <w:rFonts w:ascii="Consolas" w:hAnsi="Consolas"/>
                <w:color w:val="333333"/>
                <w:sz w:val="20"/>
              </w:rPr>
              <w:t>rol</w:t>
            </w:r>
          </w:p>
        </w:tc>
        <w:tc>
          <w:tcPr>
            <w:tcW w:type="dxa" w:w="4680"/>
            <w:tcMar>
              <w:top w:w="100" w:type="dxa"/>
              <w:bottom w:w="100" w:type="dxa"/>
              <w:left w:w="150" w:type="dxa"/>
              <w:right w:w="150" w:type="dxa"/>
            </w:tcMar>
          </w:tcPr>
          <w:p>
            <w:r>
              <w:rPr>
                <w:rFonts w:ascii="Arial" w:hAnsi="Arial"/>
                <w:color w:val="333333"/>
                <w:sz w:val="20"/>
              </w:rPr>
              <w:t>VARCHAR: Rango organizacional (Consultor, Responsable Nacional, Tipo 1, Tipo 2, Tipo 3).</w:t>
            </w:r>
          </w:p>
        </w:tc>
      </w:tr>
      <w:tr>
        <w:tc>
          <w:tcPr>
            <w:tcW w:type="dxa" w:w="4680"/>
            <w:tcMar>
              <w:top w:w="100" w:type="dxa"/>
              <w:bottom w:w="100" w:type="dxa"/>
              <w:left w:w="150" w:type="dxa"/>
              <w:right w:w="150" w:type="dxa"/>
            </w:tcMar>
          </w:tcPr>
          <w:p>
            <w:r>
              <w:rPr>
                <w:rFonts w:ascii="Consolas" w:hAnsi="Consolas"/>
                <w:color w:val="333333"/>
                <w:sz w:val="20"/>
              </w:rPr>
              <w:t>activo</w:t>
            </w:r>
          </w:p>
        </w:tc>
        <w:tc>
          <w:tcPr>
            <w:tcW w:type="dxa" w:w="4680"/>
            <w:tcMar>
              <w:top w:w="100" w:type="dxa"/>
              <w:bottom w:w="100" w:type="dxa"/>
              <w:left w:w="150" w:type="dxa"/>
              <w:right w:w="150" w:type="dxa"/>
            </w:tcMar>
          </w:tcPr>
          <w:p>
            <w:r>
              <w:rPr>
                <w:rFonts w:ascii="Arial" w:hAnsi="Arial"/>
                <w:color w:val="333333"/>
                <w:sz w:val="20"/>
              </w:rPr>
              <w:t>TINYINT: Estatus de la licencia (1 = Activa, 0 = Suspendida).</w:t>
            </w:r>
          </w:p>
        </w:tc>
      </w:tr>
    </w:tbl>
    <w:p>
      <w:pPr>
        <w:spacing w:after="240"/>
      </w:pPr>
    </w:p>
    <w:p>
      <w:pPr>
        <w:pStyle w:val="Heading2"/>
        <w:spacing w:before="240" w:after="120"/>
      </w:pPr>
      <w:r>
        <w:rPr>
          <w:rFonts w:ascii="Arial" w:hAnsi="Arial"/>
          <w:b/>
          <w:color w:val="0066CC"/>
          <w:sz w:val="28"/>
        </w:rPr>
        <w:t>B. Tabla: documentos_pc</w:t>
      </w:r>
    </w:p>
    <w:p>
      <w:pPr>
        <w:spacing w:before="0" w:after="120"/>
      </w:pPr>
      <w:r>
        <w:rPr>
          <w:rFonts w:ascii="Arial" w:hAnsi="Arial"/>
          <w:color w:val="333333"/>
          <w:sz w:val="21"/>
        </w:rPr>
        <w:t>Almacena la información de vigencia y semáforos de los expedientes subidos.</w:t>
      </w:r>
    </w:p>
    <w:tbl>
      <w:tblPr>
        <w:tblW w:type="auto" w:w="0"/>
        <w:tblLook w:firstColumn="1" w:firstRow="1" w:lastColumn="0" w:lastRow="0" w:noHBand="0" w:noVBand="1" w:val="04A0"/>
        <w:tblBorders>
          <w:top w:val="single" w:sz="4" w:space="0" w:color="CCCCCC"/>
          <w:bottom w:val="single" w:sz="4" w:space="0" w:color="CCCCCC"/>
          <w:insideH w:val="single" w:sz="4" w:space="0" w:color="E0E0E0"/>
          <w:left w:val="none"/>
          <w:right w:val="none"/>
          <w:insideV w:val="none"/>
        </w:tblBorders>
      </w:tblPr>
      <w:tblGrid>
        <w:gridCol w:w="4680"/>
        <w:gridCol w:w="4680"/>
      </w:tblGrid>
      <w:tr>
        <w:tc>
          <w:tcPr>
            <w:tcW w:type="dxa" w:w="4680"/>
            <w:tcMar>
              <w:top w:w="100" w:type="dxa"/>
              <w:bottom w:w="100" w:type="dxa"/>
              <w:left w:w="150" w:type="dxa"/>
              <w:right w:w="150" w:type="dxa"/>
            </w:tcMar>
            <w:shd w:fill="003366"/>
          </w:tcPr>
          <w:p>
            <w:r>
              <w:rPr>
                <w:rFonts w:ascii="Arial" w:hAnsi="Arial"/>
                <w:b/>
                <w:color w:val="FFFFFF"/>
              </w:rPr>
              <w:t>Columna / Campo</w:t>
            </w:r>
          </w:p>
        </w:tc>
        <w:tc>
          <w:tcPr>
            <w:tcW w:type="dxa" w:w="4680"/>
            <w:tcMar>
              <w:top w:w="100" w:type="dxa"/>
              <w:bottom w:w="100" w:type="dxa"/>
              <w:left w:w="150" w:type="dxa"/>
              <w:right w:w="150" w:type="dxa"/>
            </w:tcMar>
            <w:shd w:fill="003366"/>
          </w:tcPr>
          <w:p>
            <w:r>
              <w:rPr>
                <w:rFonts w:ascii="Arial" w:hAnsi="Arial"/>
                <w:b/>
                <w:color w:val="FFFFFF"/>
              </w:rPr>
              <w:t>Descripción técnica</w:t>
            </w:r>
          </w:p>
        </w:tc>
      </w:tr>
      <w:tr>
        <w:tc>
          <w:tcPr>
            <w:tcW w:type="dxa" w:w="4680"/>
            <w:tcMar>
              <w:top w:w="100" w:type="dxa"/>
              <w:bottom w:w="100" w:type="dxa"/>
              <w:left w:w="150" w:type="dxa"/>
              <w:right w:w="150" w:type="dxa"/>
            </w:tcMar>
          </w:tcPr>
          <w:p>
            <w:r>
              <w:rPr>
                <w:rFonts w:ascii="Consolas" w:hAnsi="Consolas"/>
                <w:color w:val="333333"/>
                <w:sz w:val="20"/>
              </w:rPr>
              <w:t>id</w:t>
            </w:r>
          </w:p>
        </w:tc>
        <w:tc>
          <w:tcPr>
            <w:tcW w:type="dxa" w:w="4680"/>
            <w:tcMar>
              <w:top w:w="100" w:type="dxa"/>
              <w:bottom w:w="100" w:type="dxa"/>
              <w:left w:w="150" w:type="dxa"/>
              <w:right w:w="150" w:type="dxa"/>
            </w:tcMar>
          </w:tcPr>
          <w:p>
            <w:r>
              <w:rPr>
                <w:rFonts w:ascii="Arial" w:hAnsi="Arial"/>
                <w:color w:val="333333"/>
                <w:sz w:val="20"/>
              </w:rPr>
              <w:t>INT, Primary Key, Auto-increment.</w:t>
            </w:r>
          </w:p>
        </w:tc>
      </w:tr>
      <w:tr>
        <w:tc>
          <w:tcPr>
            <w:tcW w:type="dxa" w:w="4680"/>
            <w:tcMar>
              <w:top w:w="100" w:type="dxa"/>
              <w:bottom w:w="100" w:type="dxa"/>
              <w:left w:w="150" w:type="dxa"/>
              <w:right w:w="150" w:type="dxa"/>
            </w:tcMar>
          </w:tcPr>
          <w:p>
            <w:r>
              <w:rPr>
                <w:rFonts w:ascii="Consolas" w:hAnsi="Consolas"/>
                <w:color w:val="333333"/>
                <w:sz w:val="20"/>
              </w:rPr>
              <w:t>empresa_cod</w:t>
            </w:r>
          </w:p>
        </w:tc>
        <w:tc>
          <w:tcPr>
            <w:tcW w:type="dxa" w:w="4680"/>
            <w:tcMar>
              <w:top w:w="100" w:type="dxa"/>
              <w:bottom w:w="100" w:type="dxa"/>
              <w:left w:w="150" w:type="dxa"/>
              <w:right w:w="150" w:type="dxa"/>
            </w:tcMar>
          </w:tcPr>
          <w:p>
            <w:r>
              <w:rPr>
                <w:rFonts w:ascii="Arial" w:hAnsi="Arial"/>
                <w:color w:val="333333"/>
                <w:sz w:val="20"/>
              </w:rPr>
              <w:t>VARCHAR: Vincula el archivo al código de la empresa dueña.</w:t>
            </w:r>
          </w:p>
        </w:tc>
      </w:tr>
      <w:tr>
        <w:tc>
          <w:tcPr>
            <w:tcW w:type="dxa" w:w="4680"/>
            <w:tcMar>
              <w:top w:w="100" w:type="dxa"/>
              <w:bottom w:w="100" w:type="dxa"/>
              <w:left w:w="150" w:type="dxa"/>
              <w:right w:w="150" w:type="dxa"/>
            </w:tcMar>
          </w:tcPr>
          <w:p>
            <w:r>
              <w:rPr>
                <w:rFonts w:ascii="Consolas" w:hAnsi="Consolas"/>
                <w:color w:val="333333"/>
                <w:sz w:val="20"/>
              </w:rPr>
              <w:t>tipo_doc</w:t>
            </w:r>
          </w:p>
        </w:tc>
        <w:tc>
          <w:tcPr>
            <w:tcW w:type="dxa" w:w="4680"/>
            <w:tcMar>
              <w:top w:w="100" w:type="dxa"/>
              <w:bottom w:w="100" w:type="dxa"/>
              <w:left w:w="150" w:type="dxa"/>
              <w:right w:w="150" w:type="dxa"/>
            </w:tcMar>
          </w:tcPr>
          <w:p>
            <w:r>
              <w:rPr>
                <w:rFonts w:ascii="Arial" w:hAnsi="Arial"/>
                <w:color w:val="333333"/>
                <w:sz w:val="20"/>
              </w:rPr>
              <w:t>VARCHAR: Categoría del documento (ej: Dictamen Estructural).</w:t>
            </w:r>
          </w:p>
        </w:tc>
      </w:tr>
      <w:tr>
        <w:tc>
          <w:tcPr>
            <w:tcW w:type="dxa" w:w="4680"/>
            <w:tcMar>
              <w:top w:w="100" w:type="dxa"/>
              <w:bottom w:w="100" w:type="dxa"/>
              <w:left w:w="150" w:type="dxa"/>
              <w:right w:w="150" w:type="dxa"/>
            </w:tcMar>
          </w:tcPr>
          <w:p>
            <w:r>
              <w:rPr>
                <w:rFonts w:ascii="Consolas" w:hAnsi="Consolas"/>
                <w:color w:val="333333"/>
                <w:sz w:val="20"/>
              </w:rPr>
              <w:t>nombre_personalizado</w:t>
            </w:r>
          </w:p>
        </w:tc>
        <w:tc>
          <w:tcPr>
            <w:tcW w:type="dxa" w:w="4680"/>
            <w:tcMar>
              <w:top w:w="100" w:type="dxa"/>
              <w:bottom w:w="100" w:type="dxa"/>
              <w:left w:w="150" w:type="dxa"/>
              <w:right w:w="150" w:type="dxa"/>
            </w:tcMar>
          </w:tcPr>
          <w:p>
            <w:r>
              <w:rPr>
                <w:rFonts w:ascii="Arial" w:hAnsi="Arial"/>
                <w:color w:val="333333"/>
                <w:sz w:val="20"/>
              </w:rPr>
              <w:t>VARCHAR: Nombre físico del archivo en el servidor.</w:t>
            </w:r>
          </w:p>
        </w:tc>
      </w:tr>
      <w:tr>
        <w:tc>
          <w:tcPr>
            <w:tcW w:type="dxa" w:w="4680"/>
            <w:tcMar>
              <w:top w:w="100" w:type="dxa"/>
              <w:bottom w:w="100" w:type="dxa"/>
              <w:left w:w="150" w:type="dxa"/>
              <w:right w:w="150" w:type="dxa"/>
            </w:tcMar>
          </w:tcPr>
          <w:p>
            <w:r>
              <w:rPr>
                <w:rFonts w:ascii="Consolas" w:hAnsi="Consolas"/>
                <w:color w:val="333333"/>
                <w:sz w:val="20"/>
              </w:rPr>
              <w:t>fecha_vencimiento</w:t>
            </w:r>
          </w:p>
        </w:tc>
        <w:tc>
          <w:tcPr>
            <w:tcW w:type="dxa" w:w="4680"/>
            <w:tcMar>
              <w:top w:w="100" w:type="dxa"/>
              <w:bottom w:w="100" w:type="dxa"/>
              <w:left w:w="150" w:type="dxa"/>
              <w:right w:w="150" w:type="dxa"/>
            </w:tcMar>
          </w:tcPr>
          <w:p>
            <w:r>
              <w:rPr>
                <w:rFonts w:ascii="Arial" w:hAnsi="Arial"/>
                <w:color w:val="333333"/>
                <w:sz w:val="20"/>
              </w:rPr>
              <w:t>DATE: Fecha en que expira el documento.</w:t>
            </w:r>
          </w:p>
        </w:tc>
      </w:tr>
      <w:tr>
        <w:tc>
          <w:tcPr>
            <w:tcW w:type="dxa" w:w="4680"/>
            <w:tcMar>
              <w:top w:w="100" w:type="dxa"/>
              <w:bottom w:w="100" w:type="dxa"/>
              <w:left w:w="150" w:type="dxa"/>
              <w:right w:w="150" w:type="dxa"/>
            </w:tcMar>
          </w:tcPr>
          <w:p>
            <w:r>
              <w:rPr>
                <w:rFonts w:ascii="Consolas" w:hAnsi="Consolas"/>
                <w:color w:val="333333"/>
                <w:sz w:val="20"/>
              </w:rPr>
              <w:t>notificar_correos</w:t>
            </w:r>
          </w:p>
        </w:tc>
        <w:tc>
          <w:tcPr>
            <w:tcW w:type="dxa" w:w="4680"/>
            <w:tcMar>
              <w:top w:w="100" w:type="dxa"/>
              <w:bottom w:w="100" w:type="dxa"/>
              <w:left w:w="150" w:type="dxa"/>
              <w:right w:w="150" w:type="dxa"/>
            </w:tcMar>
          </w:tcPr>
          <w:p>
            <w:r>
              <w:rPr>
                <w:rFonts w:ascii="Arial" w:hAnsi="Arial"/>
                <w:color w:val="333333"/>
                <w:sz w:val="20"/>
              </w:rPr>
              <w:t>TEXT: Lista separada por comas de hasta 5 correos adicionales para alertas extras.</w:t>
            </w:r>
          </w:p>
        </w:tc>
      </w:tr>
      <w:tr>
        <w:tc>
          <w:tcPr>
            <w:tcW w:type="dxa" w:w="4680"/>
            <w:tcMar>
              <w:top w:w="100" w:type="dxa"/>
              <w:bottom w:w="100" w:type="dxa"/>
              <w:left w:w="150" w:type="dxa"/>
              <w:right w:w="150" w:type="dxa"/>
            </w:tcMar>
          </w:tcPr>
          <w:p>
            <w:r>
              <w:rPr>
                <w:rFonts w:ascii="Consolas" w:hAnsi="Consolas"/>
                <w:color w:val="333333"/>
                <w:sz w:val="20"/>
              </w:rPr>
              <w:t>activo</w:t>
            </w:r>
          </w:p>
        </w:tc>
        <w:tc>
          <w:tcPr>
            <w:tcW w:type="dxa" w:w="4680"/>
            <w:tcMar>
              <w:top w:w="100" w:type="dxa"/>
              <w:bottom w:w="100" w:type="dxa"/>
              <w:left w:w="150" w:type="dxa"/>
              <w:right w:w="150" w:type="dxa"/>
            </w:tcMar>
          </w:tcPr>
          <w:p>
            <w:r>
              <w:rPr>
                <w:rFonts w:ascii="Arial" w:hAnsi="Arial"/>
                <w:color w:val="333333"/>
                <w:sz w:val="20"/>
              </w:rPr>
              <w:t>TINYINT: Estatus del expediente (1 = Vigente, 0 = Suspendido / Inactivo).</w:t>
            </w:r>
          </w:p>
        </w:tc>
      </w:tr>
    </w:tbl>
    <w:p>
      <w:pPr>
        <w:spacing w:after="240"/>
      </w:pPr>
    </w:p>
    <w:p>
      <w:pPr>
        <w:pStyle w:val="Heading2"/>
        <w:spacing w:before="240" w:after="120"/>
      </w:pPr>
      <w:r>
        <w:rPr>
          <w:rFonts w:ascii="Arial" w:hAnsi="Arial"/>
          <w:b/>
          <w:color w:val="0066CC"/>
          <w:sz w:val="28"/>
        </w:rPr>
        <w:t>C. Tabla: historial_documentos</w:t>
      </w:r>
    </w:p>
    <w:p>
      <w:pPr>
        <w:spacing w:before="0" w:after="120"/>
      </w:pPr>
      <w:r>
        <w:rPr>
          <w:rFonts w:ascii="Arial" w:hAnsi="Arial"/>
          <w:color w:val="333333"/>
          <w:sz w:val="21"/>
        </w:rPr>
        <w:t>Lleva la trazabilidad histórica de versiones anteriores de archivos reemplazados.</w:t>
      </w:r>
    </w:p>
    <w:tbl>
      <w:tblPr>
        <w:tblW w:type="auto" w:w="0"/>
        <w:tblLook w:firstColumn="1" w:firstRow="1" w:lastColumn="0" w:lastRow="0" w:noHBand="0" w:noVBand="1" w:val="04A0"/>
        <w:tblBorders>
          <w:top w:val="single" w:sz="4" w:space="0" w:color="CCCCCC"/>
          <w:bottom w:val="single" w:sz="4" w:space="0" w:color="CCCCCC"/>
          <w:insideH w:val="single" w:sz="4" w:space="0" w:color="E0E0E0"/>
          <w:left w:val="none"/>
          <w:right w:val="none"/>
          <w:insideV w:val="none"/>
        </w:tblBorders>
      </w:tblPr>
      <w:tblGrid>
        <w:gridCol w:w="4680"/>
        <w:gridCol w:w="4680"/>
      </w:tblGrid>
      <w:tr>
        <w:tc>
          <w:tcPr>
            <w:tcW w:type="dxa" w:w="4680"/>
            <w:tcMar>
              <w:top w:w="100" w:type="dxa"/>
              <w:bottom w:w="100" w:type="dxa"/>
              <w:left w:w="150" w:type="dxa"/>
              <w:right w:w="150" w:type="dxa"/>
            </w:tcMar>
            <w:shd w:fill="003366"/>
          </w:tcPr>
          <w:p>
            <w:r>
              <w:rPr>
                <w:rFonts w:ascii="Arial" w:hAnsi="Arial"/>
                <w:b/>
                <w:color w:val="FFFFFF"/>
              </w:rPr>
              <w:t>Columna / Campo</w:t>
            </w:r>
          </w:p>
        </w:tc>
        <w:tc>
          <w:tcPr>
            <w:tcW w:type="dxa" w:w="4680"/>
            <w:tcMar>
              <w:top w:w="100" w:type="dxa"/>
              <w:bottom w:w="100" w:type="dxa"/>
              <w:left w:w="150" w:type="dxa"/>
              <w:right w:w="150" w:type="dxa"/>
            </w:tcMar>
            <w:shd w:fill="003366"/>
          </w:tcPr>
          <w:p>
            <w:r>
              <w:rPr>
                <w:rFonts w:ascii="Arial" w:hAnsi="Arial"/>
                <w:b/>
                <w:color w:val="FFFFFF"/>
              </w:rPr>
              <w:t>Descripción técnica</w:t>
            </w:r>
          </w:p>
        </w:tc>
      </w:tr>
      <w:tr>
        <w:tc>
          <w:tcPr>
            <w:tcW w:type="dxa" w:w="4680"/>
            <w:tcMar>
              <w:top w:w="100" w:type="dxa"/>
              <w:bottom w:w="100" w:type="dxa"/>
              <w:left w:w="150" w:type="dxa"/>
              <w:right w:w="150" w:type="dxa"/>
            </w:tcMar>
          </w:tcPr>
          <w:p>
            <w:r>
              <w:rPr>
                <w:rFonts w:ascii="Consolas" w:hAnsi="Consolas"/>
                <w:color w:val="333333"/>
                <w:sz w:val="20"/>
              </w:rPr>
              <w:t>id</w:t>
            </w:r>
          </w:p>
        </w:tc>
        <w:tc>
          <w:tcPr>
            <w:tcW w:type="dxa" w:w="4680"/>
            <w:tcMar>
              <w:top w:w="100" w:type="dxa"/>
              <w:bottom w:w="100" w:type="dxa"/>
              <w:left w:w="150" w:type="dxa"/>
              <w:right w:w="150" w:type="dxa"/>
            </w:tcMar>
          </w:tcPr>
          <w:p>
            <w:r>
              <w:rPr>
                <w:rFonts w:ascii="Arial" w:hAnsi="Arial"/>
                <w:color w:val="333333"/>
                <w:sz w:val="20"/>
              </w:rPr>
              <w:t>INT, Primary Key, Auto-increment.</w:t>
            </w:r>
          </w:p>
        </w:tc>
      </w:tr>
      <w:tr>
        <w:tc>
          <w:tcPr>
            <w:tcW w:type="dxa" w:w="4680"/>
            <w:tcMar>
              <w:top w:w="100" w:type="dxa"/>
              <w:bottom w:w="100" w:type="dxa"/>
              <w:left w:w="150" w:type="dxa"/>
              <w:right w:w="150" w:type="dxa"/>
            </w:tcMar>
          </w:tcPr>
          <w:p>
            <w:r>
              <w:rPr>
                <w:rFonts w:ascii="Consolas" w:hAnsi="Consolas"/>
                <w:color w:val="333333"/>
                <w:sz w:val="20"/>
              </w:rPr>
              <w:t>documento_id</w:t>
            </w:r>
          </w:p>
        </w:tc>
        <w:tc>
          <w:tcPr>
            <w:tcW w:type="dxa" w:w="4680"/>
            <w:tcMar>
              <w:top w:w="100" w:type="dxa"/>
              <w:bottom w:w="100" w:type="dxa"/>
              <w:left w:w="150" w:type="dxa"/>
              <w:right w:w="150" w:type="dxa"/>
            </w:tcMar>
          </w:tcPr>
          <w:p>
            <w:r>
              <w:rPr>
                <w:rFonts w:ascii="Arial" w:hAnsi="Arial"/>
                <w:color w:val="333333"/>
                <w:sz w:val="20"/>
              </w:rPr>
              <w:t>INT: Relación con el documento padre en documentos_pc.</w:t>
            </w:r>
          </w:p>
        </w:tc>
      </w:tr>
      <w:tr>
        <w:tc>
          <w:tcPr>
            <w:tcW w:type="dxa" w:w="4680"/>
            <w:tcMar>
              <w:top w:w="100" w:type="dxa"/>
              <w:bottom w:w="100" w:type="dxa"/>
              <w:left w:w="150" w:type="dxa"/>
              <w:right w:w="150" w:type="dxa"/>
            </w:tcMar>
          </w:tcPr>
          <w:p>
            <w:r>
              <w:rPr>
                <w:rFonts w:ascii="Consolas" w:hAnsi="Consolas"/>
                <w:color w:val="333333"/>
                <w:sz w:val="20"/>
              </w:rPr>
              <w:t>nombre_archivo_fisico</w:t>
            </w:r>
          </w:p>
        </w:tc>
        <w:tc>
          <w:tcPr>
            <w:tcW w:type="dxa" w:w="4680"/>
            <w:tcMar>
              <w:top w:w="100" w:type="dxa"/>
              <w:bottom w:w="100" w:type="dxa"/>
              <w:left w:w="150" w:type="dxa"/>
              <w:right w:w="150" w:type="dxa"/>
            </w:tcMar>
          </w:tcPr>
          <w:p>
            <w:r>
              <w:rPr>
                <w:rFonts w:ascii="Arial" w:hAnsi="Arial"/>
                <w:color w:val="333333"/>
                <w:sz w:val="20"/>
              </w:rPr>
              <w:t>VARCHAR: Nombre del archivo anterior respaldado.</w:t>
            </w:r>
          </w:p>
        </w:tc>
      </w:tr>
      <w:tr>
        <w:tc>
          <w:tcPr>
            <w:tcW w:type="dxa" w:w="4680"/>
            <w:tcMar>
              <w:top w:w="100" w:type="dxa"/>
              <w:bottom w:w="100" w:type="dxa"/>
              <w:left w:w="150" w:type="dxa"/>
              <w:right w:w="150" w:type="dxa"/>
            </w:tcMar>
          </w:tcPr>
          <w:p>
            <w:r>
              <w:rPr>
                <w:rFonts w:ascii="Consolas" w:hAnsi="Consolas"/>
                <w:color w:val="333333"/>
                <w:sz w:val="20"/>
              </w:rPr>
              <w:t>fecha_registro</w:t>
            </w:r>
          </w:p>
        </w:tc>
        <w:tc>
          <w:tcPr>
            <w:tcW w:type="dxa" w:w="4680"/>
            <w:tcMar>
              <w:top w:w="100" w:type="dxa"/>
              <w:bottom w:w="100" w:type="dxa"/>
              <w:left w:w="150" w:type="dxa"/>
              <w:right w:w="150" w:type="dxa"/>
            </w:tcMar>
          </w:tcPr>
          <w:p>
            <w:r>
              <w:rPr>
                <w:rFonts w:ascii="Arial" w:hAnsi="Arial"/>
                <w:color w:val="333333"/>
                <w:sz w:val="20"/>
              </w:rPr>
              <w:t>TIMESTAMP: Fecha y hora del cambio de versión.</w:t>
            </w:r>
          </w:p>
        </w:tc>
      </w:tr>
      <w:tr>
        <w:tc>
          <w:tcPr>
            <w:tcW w:type="dxa" w:w="4680"/>
            <w:tcMar>
              <w:top w:w="100" w:type="dxa"/>
              <w:bottom w:w="100" w:type="dxa"/>
              <w:left w:w="150" w:type="dxa"/>
              <w:right w:w="150" w:type="dxa"/>
            </w:tcMar>
          </w:tcPr>
          <w:p>
            <w:r>
              <w:rPr>
                <w:rFonts w:ascii="Consolas" w:hAnsi="Consolas"/>
                <w:color w:val="333333"/>
                <w:sz w:val="20"/>
              </w:rPr>
              <w:t>empresa_cod</w:t>
            </w:r>
          </w:p>
        </w:tc>
        <w:tc>
          <w:tcPr>
            <w:tcW w:type="dxa" w:w="4680"/>
            <w:tcMar>
              <w:top w:w="100" w:type="dxa"/>
              <w:bottom w:w="100" w:type="dxa"/>
              <w:left w:w="150" w:type="dxa"/>
              <w:right w:w="150" w:type="dxa"/>
            </w:tcMar>
          </w:tcPr>
          <w:p>
            <w:r>
              <w:rPr>
                <w:rFonts w:ascii="Arial" w:hAnsi="Arial"/>
                <w:color w:val="333333"/>
                <w:sz w:val="20"/>
              </w:rPr>
              <w:t>VARCHAR: Empresa que realizó la actualización.</w:t>
            </w:r>
          </w:p>
        </w:tc>
      </w:tr>
    </w:tbl>
    <w:p>
      <w:pPr>
        <w:spacing w:after="240"/>
      </w:pPr>
    </w:p>
    <w:p>
      <w:pPr>
        <w:pStyle w:val="Heading2"/>
        <w:spacing w:before="240" w:after="120"/>
      </w:pPr>
      <w:r>
        <w:rPr>
          <w:rFonts w:ascii="Arial" w:hAnsi="Arial"/>
          <w:b/>
          <w:color w:val="0066CC"/>
          <w:sz w:val="28"/>
        </w:rPr>
        <w:t>D. Tabla: admin_ups</w:t>
      </w:r>
    </w:p>
    <w:p>
      <w:pPr>
        <w:spacing w:before="0" w:after="120"/>
      </w:pPr>
      <w:r>
        <w:rPr>
          <w:rFonts w:ascii="Arial" w:hAnsi="Arial"/>
          <w:color w:val="333333"/>
          <w:sz w:val="21"/>
        </w:rPr>
        <w:t>Almacena el personal interno encargado del aprovisionamiento y administración máster.</w:t>
      </w:r>
    </w:p>
    <w:tbl>
      <w:tblPr>
        <w:tblW w:type="auto" w:w="0"/>
        <w:tblLook w:firstColumn="1" w:firstRow="1" w:lastColumn="0" w:lastRow="0" w:noHBand="0" w:noVBand="1" w:val="04A0"/>
        <w:tblBorders>
          <w:top w:val="single" w:sz="4" w:space="0" w:color="CCCCCC"/>
          <w:bottom w:val="single" w:sz="4" w:space="0" w:color="CCCCCC"/>
          <w:insideH w:val="single" w:sz="4" w:space="0" w:color="E0E0E0"/>
          <w:left w:val="none"/>
          <w:right w:val="none"/>
          <w:insideV w:val="none"/>
        </w:tblBorders>
      </w:tblPr>
      <w:tblGrid>
        <w:gridCol w:w="4680"/>
        <w:gridCol w:w="4680"/>
      </w:tblGrid>
      <w:tr>
        <w:tc>
          <w:tcPr>
            <w:tcW w:type="dxa" w:w="4680"/>
            <w:tcMar>
              <w:top w:w="100" w:type="dxa"/>
              <w:bottom w:w="100" w:type="dxa"/>
              <w:left w:w="150" w:type="dxa"/>
              <w:right w:w="150" w:type="dxa"/>
            </w:tcMar>
            <w:shd w:fill="003366"/>
          </w:tcPr>
          <w:p>
            <w:r>
              <w:rPr>
                <w:rFonts w:ascii="Arial" w:hAnsi="Arial"/>
                <w:b/>
                <w:color w:val="FFFFFF"/>
              </w:rPr>
              <w:t>Columna / Campo</w:t>
            </w:r>
          </w:p>
        </w:tc>
        <w:tc>
          <w:tcPr>
            <w:tcW w:type="dxa" w:w="4680"/>
            <w:tcMar>
              <w:top w:w="100" w:type="dxa"/>
              <w:bottom w:w="100" w:type="dxa"/>
              <w:left w:w="150" w:type="dxa"/>
              <w:right w:w="150" w:type="dxa"/>
            </w:tcMar>
            <w:shd w:fill="003366"/>
          </w:tcPr>
          <w:p>
            <w:r>
              <w:rPr>
                <w:rFonts w:ascii="Arial" w:hAnsi="Arial"/>
                <w:b/>
                <w:color w:val="FFFFFF"/>
              </w:rPr>
              <w:t>Descripción técnica</w:t>
            </w:r>
          </w:p>
        </w:tc>
      </w:tr>
      <w:tr>
        <w:tc>
          <w:tcPr>
            <w:tcW w:type="dxa" w:w="4680"/>
            <w:tcMar>
              <w:top w:w="100" w:type="dxa"/>
              <w:bottom w:w="100" w:type="dxa"/>
              <w:left w:w="150" w:type="dxa"/>
              <w:right w:w="150" w:type="dxa"/>
            </w:tcMar>
          </w:tcPr>
          <w:p>
            <w:r>
              <w:rPr>
                <w:rFonts w:ascii="Consolas" w:hAnsi="Consolas"/>
                <w:color w:val="333333"/>
                <w:sz w:val="20"/>
              </w:rPr>
              <w:t>id</w:t>
            </w:r>
          </w:p>
        </w:tc>
        <w:tc>
          <w:tcPr>
            <w:tcW w:type="dxa" w:w="4680"/>
            <w:tcMar>
              <w:top w:w="100" w:type="dxa"/>
              <w:bottom w:w="100" w:type="dxa"/>
              <w:left w:w="150" w:type="dxa"/>
              <w:right w:w="150" w:type="dxa"/>
            </w:tcMar>
          </w:tcPr>
          <w:p>
            <w:r>
              <w:rPr>
                <w:rFonts w:ascii="Arial" w:hAnsi="Arial"/>
                <w:color w:val="333333"/>
                <w:sz w:val="20"/>
              </w:rPr>
              <w:t>INT, Primary Key, Auto-increment.</w:t>
            </w:r>
          </w:p>
        </w:tc>
      </w:tr>
      <w:tr>
        <w:tc>
          <w:tcPr>
            <w:tcW w:type="dxa" w:w="4680"/>
            <w:tcMar>
              <w:top w:w="100" w:type="dxa"/>
              <w:bottom w:w="100" w:type="dxa"/>
              <w:left w:w="150" w:type="dxa"/>
              <w:right w:w="150" w:type="dxa"/>
            </w:tcMar>
          </w:tcPr>
          <w:p>
            <w:r>
              <w:rPr>
                <w:rFonts w:ascii="Consolas" w:hAnsi="Consolas"/>
                <w:color w:val="333333"/>
                <w:sz w:val="20"/>
              </w:rPr>
              <w:t>nombre</w:t>
            </w:r>
          </w:p>
        </w:tc>
        <w:tc>
          <w:tcPr>
            <w:tcW w:type="dxa" w:w="4680"/>
            <w:tcMar>
              <w:top w:w="100" w:type="dxa"/>
              <w:bottom w:w="100" w:type="dxa"/>
              <w:left w:w="150" w:type="dxa"/>
              <w:right w:w="150" w:type="dxa"/>
            </w:tcMar>
          </w:tcPr>
          <w:p>
            <w:r>
              <w:rPr>
                <w:rFonts w:ascii="Arial" w:hAnsi="Arial"/>
                <w:color w:val="333333"/>
                <w:sz w:val="20"/>
              </w:rPr>
              <w:t>VARCHAR: Nombre completo.</w:t>
            </w:r>
          </w:p>
        </w:tc>
      </w:tr>
      <w:tr>
        <w:tc>
          <w:tcPr>
            <w:tcW w:type="dxa" w:w="4680"/>
            <w:tcMar>
              <w:top w:w="100" w:type="dxa"/>
              <w:bottom w:w="100" w:type="dxa"/>
              <w:left w:w="150" w:type="dxa"/>
              <w:right w:w="150" w:type="dxa"/>
            </w:tcMar>
          </w:tcPr>
          <w:p>
            <w:r>
              <w:rPr>
                <w:rFonts w:ascii="Consolas" w:hAnsi="Consolas"/>
                <w:color w:val="333333"/>
                <w:sz w:val="20"/>
              </w:rPr>
              <w:t>email</w:t>
            </w:r>
          </w:p>
        </w:tc>
        <w:tc>
          <w:tcPr>
            <w:tcW w:type="dxa" w:w="4680"/>
            <w:tcMar>
              <w:top w:w="100" w:type="dxa"/>
              <w:bottom w:w="100" w:type="dxa"/>
              <w:left w:w="150" w:type="dxa"/>
              <w:right w:w="150" w:type="dxa"/>
            </w:tcMar>
          </w:tcPr>
          <w:p>
            <w:r>
              <w:rPr>
                <w:rFonts w:ascii="Arial" w:hAnsi="Arial"/>
                <w:color w:val="333333"/>
                <w:sz w:val="20"/>
              </w:rPr>
              <w:t>VARCHAR, Unique: Correo del administrador para acceso.</w:t>
            </w:r>
          </w:p>
        </w:tc>
      </w:tr>
      <w:tr>
        <w:tc>
          <w:tcPr>
            <w:tcW w:type="dxa" w:w="4680"/>
            <w:tcMar>
              <w:top w:w="100" w:type="dxa"/>
              <w:bottom w:w="100" w:type="dxa"/>
              <w:left w:w="150" w:type="dxa"/>
              <w:right w:w="150" w:type="dxa"/>
            </w:tcMar>
          </w:tcPr>
          <w:p>
            <w:r>
              <w:rPr>
                <w:rFonts w:ascii="Consolas" w:hAnsi="Consolas"/>
                <w:color w:val="333333"/>
                <w:sz w:val="20"/>
              </w:rPr>
              <w:t>pass</w:t>
            </w:r>
          </w:p>
        </w:tc>
        <w:tc>
          <w:tcPr>
            <w:tcW w:type="dxa" w:w="4680"/>
            <w:tcMar>
              <w:top w:w="100" w:type="dxa"/>
              <w:bottom w:w="100" w:type="dxa"/>
              <w:left w:w="150" w:type="dxa"/>
              <w:right w:w="150" w:type="dxa"/>
            </w:tcMar>
          </w:tcPr>
          <w:p>
            <w:r>
              <w:rPr>
                <w:rFonts w:ascii="Arial" w:hAnsi="Arial"/>
                <w:color w:val="333333"/>
                <w:sz w:val="20"/>
              </w:rPr>
              <w:t>VARCHAR: Contraseña encriptada en BCrypt.</w:t>
            </w:r>
          </w:p>
        </w:tc>
      </w:tr>
      <w:tr>
        <w:tc>
          <w:tcPr>
            <w:tcW w:type="dxa" w:w="4680"/>
            <w:tcMar>
              <w:top w:w="100" w:type="dxa"/>
              <w:bottom w:w="100" w:type="dxa"/>
              <w:left w:w="150" w:type="dxa"/>
              <w:right w:w="150" w:type="dxa"/>
            </w:tcMar>
          </w:tcPr>
          <w:p>
            <w:r>
              <w:rPr>
                <w:rFonts w:ascii="Consolas" w:hAnsi="Consolas"/>
                <w:color w:val="333333"/>
                <w:sz w:val="20"/>
              </w:rPr>
              <w:t>rol</w:t>
            </w:r>
          </w:p>
        </w:tc>
        <w:tc>
          <w:tcPr>
            <w:tcW w:type="dxa" w:w="4680"/>
            <w:tcMar>
              <w:top w:w="100" w:type="dxa"/>
              <w:bottom w:w="100" w:type="dxa"/>
              <w:left w:w="150" w:type="dxa"/>
              <w:right w:w="150" w:type="dxa"/>
            </w:tcMar>
          </w:tcPr>
          <w:p>
            <w:r>
              <w:rPr>
                <w:rFonts w:ascii="Arial" w:hAnsi="Arial"/>
                <w:color w:val="333333"/>
                <w:sz w:val="20"/>
              </w:rPr>
              <w:t>VARCHAR: Rango administrativo (Administrador, Usuario Estándar, Invitado).</w:t>
            </w:r>
          </w:p>
        </w:tc>
      </w:tr>
      <w:tr>
        <w:tc>
          <w:tcPr>
            <w:tcW w:type="dxa" w:w="4680"/>
            <w:tcMar>
              <w:top w:w="100" w:type="dxa"/>
              <w:bottom w:w="100" w:type="dxa"/>
              <w:left w:w="150" w:type="dxa"/>
              <w:right w:w="150" w:type="dxa"/>
            </w:tcMar>
          </w:tcPr>
          <w:p>
            <w:r>
              <w:rPr>
                <w:rFonts w:ascii="Consolas" w:hAnsi="Consolas"/>
                <w:color w:val="333333"/>
                <w:sz w:val="20"/>
              </w:rPr>
              <w:t>estatus</w:t>
            </w:r>
          </w:p>
        </w:tc>
        <w:tc>
          <w:tcPr>
            <w:tcW w:type="dxa" w:w="4680"/>
            <w:tcMar>
              <w:top w:w="100" w:type="dxa"/>
              <w:bottom w:w="100" w:type="dxa"/>
              <w:left w:w="150" w:type="dxa"/>
              <w:right w:w="150" w:type="dxa"/>
            </w:tcMar>
          </w:tcPr>
          <w:p>
            <w:r>
              <w:rPr>
                <w:rFonts w:ascii="Arial" w:hAnsi="Arial"/>
                <w:color w:val="333333"/>
                <w:sz w:val="20"/>
              </w:rPr>
              <w:t>VARCHAR: Estado de la cuenta (Activo o Suspendido).</w:t>
            </w:r>
          </w:p>
        </w:tc>
      </w:tr>
    </w:tbl>
    <w:p>
      <w:pPr>
        <w:pStyle w:val="Heading1"/>
        <w:spacing w:before="240" w:after="120"/>
      </w:pPr>
      <w:r>
        <w:rPr>
          <w:rFonts w:ascii="Arial" w:hAnsi="Arial"/>
          <w:b/>
          <w:color w:val="003366"/>
          <w:sz w:val="40"/>
        </w:rPr>
        <w:t>5. ESQUEMA DE SEGURIDAD DE ARCHIVOS Y SESIÓN</w:t>
      </w:r>
    </w:p>
    <w:p>
      <w:pPr>
        <w:spacing w:before="0" w:after="120"/>
      </w:pPr>
      <w:r>
        <w:rPr>
          <w:rFonts w:ascii="Arial" w:hAnsi="Arial"/>
          <w:color w:val="333333"/>
          <w:sz w:val="21"/>
        </w:rPr>
        <w:t>Para cumplir con los más estrictos estándares de confidencialidad de la información corporativa, se implementó un sistema de seguridad de triple candado:</w:t>
      </w:r>
    </w:p>
    <w:p>
      <w:pPr>
        <w:pStyle w:val="ListBullet"/>
        <w:spacing w:before="40" w:after="40"/>
      </w:pPr>
      <w:r>
        <w:rPr>
          <w:rFonts w:ascii="Arial" w:hAnsi="Arial"/>
          <w:color w:val="333333"/>
          <w:sz w:val="21"/>
        </w:rPr>
        <w:t>Bloqueo de Acceso Directo por Servidor (.htaccess): La carpeta /uploads_dictamenes/ contiene un archivo .htaccess con la regla 'Deny from all'. Esto bloquea por completo cualquier intento de acceder a un PDF o imagen escribiendo su URL directa en el navegador, respondiendo con un error 403 Forbidden.</w:t>
      </w:r>
    </w:p>
    <w:p>
      <w:pPr>
        <w:pStyle w:val="ListBullet"/>
        <w:spacing w:before="40" w:after="40"/>
      </w:pPr>
      <w:r>
        <w:rPr>
          <w:rFonts w:ascii="Arial" w:hAnsi="Arial"/>
          <w:color w:val="333333"/>
          <w:sz w:val="21"/>
        </w:rPr>
        <w:t>Validación de Sesión PHP en el Servidor: Al iniciar sesión exitosamente, el servidor guarda una sesión nativa. El script de descarga documento_descargar.php verifica que la cookie de sesión coincida. Si copias la URL de un documento e intentas abrirla en otro navegador (o modo incógnito) donde no hayas iniciado sesión, el servidor denegará el acceso inmediatamente.</w:t>
      </w:r>
    </w:p>
    <w:p>
      <w:pPr>
        <w:pStyle w:val="ListBullet"/>
        <w:spacing w:before="40" w:after="40"/>
      </w:pPr>
      <w:r>
        <w:rPr>
          <w:rFonts w:ascii="Arial" w:hAnsi="Arial"/>
          <w:color w:val="333333"/>
          <w:sz w:val="21"/>
        </w:rPr>
        <w:t>Prevención de Descargas Cruzadas (Cross-Tenant): Cuando un usuario solicita un archivo, el sistema valida que el código base de la empresa del usuario logueado en la sesión coincida con el código de empresa dueño del archivo solicitado. Solo el Staff Máster (UPS-STAFF) puede descargar cualquier documento. Un cliente de otra organización que intente forzar la URL recibirá un mensaje de Acceso Denegado (403).</w:t>
      </w:r>
    </w:p>
    <w:p>
      <w:pPr>
        <w:pStyle w:val="Heading1"/>
        <w:spacing w:before="240" w:after="120"/>
      </w:pPr>
      <w:r>
        <w:rPr>
          <w:rFonts w:ascii="Arial" w:hAnsi="Arial"/>
          <w:b/>
          <w:color w:val="003366"/>
          <w:sz w:val="40"/>
        </w:rPr>
        <w:t>6. MOTOR DE ALERTAS AUTOMÁTICAS (CRON)</w:t>
      </w:r>
    </w:p>
    <w:p>
      <w:pPr>
        <w:spacing w:before="0" w:after="120"/>
      </w:pPr>
      <w:r>
        <w:rPr>
          <w:rFonts w:ascii="Arial" w:hAnsi="Arial"/>
          <w:color w:val="333333"/>
          <w:sz w:val="21"/>
        </w:rPr>
        <w:t>El archivo alertas_automaticas.php actúa como un motor de fondo que calcula la vigencia de cada documento comparando la fecha de vencimiento:</w:t>
        <w:br/>
        <w:br/>
        <w:t>• Verde / Seguro: Tiempo consumido menor al 80%.</w:t>
        <w:br/>
        <w:t>• Amarillo 1 (Próximo a Vencer): Tiempo consumido entre el 80% y 89.99%. Se envía un correo de advertencia únicamente al correo principal de la sucursal.</w:t>
        <w:br/>
        <w:t>• Amarillo 2 / Rojo (Fases Críticas): Tiempo consumido mayor o igual al 90%. El sistema envía las notificaciones por correo electrónico al correo principal y también a la lista de Correos Extras (hasta 5 correos adicionales guardados en notificar_correos).</w:t>
        <w:br/>
        <w:t>• Aviso de 24 Horas (Última Alerta): Exactamente 1 día antes de vencer, el sistema envía un correo crítico con formato de párrafos firmado por Xonexka directamente al contacto de la empresa y, en copia, al Correo del Director registrado en la base de datos.</w:t>
        <w:br/>
        <w:t>• Escalamiento a Staff Máster: Si el documento vence y sigue sin actualizarse, la alerta escala automáticamente a los correos del personal de administración del sistema para su auditoría física.</w:t>
      </w:r>
    </w:p>
    <w:p>
      <w:pPr>
        <w:pStyle w:val="Heading1"/>
        <w:spacing w:before="240" w:after="120"/>
      </w:pPr>
      <w:r>
        <w:rPr>
          <w:rFonts w:ascii="Arial" w:hAnsi="Arial"/>
          <w:b/>
          <w:color w:val="003366"/>
          <w:sz w:val="40"/>
        </w:rPr>
        <w:t>7. FLUJOS DE USUARIO Y OPERATIVIDAD</w:t>
      </w:r>
    </w:p>
    <w:p>
      <w:pPr>
        <w:spacing w:before="0" w:after="120"/>
      </w:pPr>
      <w:r>
        <w:rPr>
          <w:rFonts w:ascii="Arial" w:hAnsi="Arial"/>
          <w:color w:val="333333"/>
          <w:sz w:val="21"/>
        </w:rPr>
        <w:t>El sistema se compone de dos interfaces independientes:</w:t>
      </w:r>
    </w:p>
    <w:p>
      <w:pPr>
        <w:spacing w:before="0" w:after="120"/>
      </w:pPr>
      <w:r>
        <w:rPr>
          <w:rFonts w:ascii="Arial" w:hAnsi="Arial"/>
          <w:b/>
          <w:color w:val="333333"/>
          <w:sz w:val="21"/>
        </w:rPr>
        <w:t>Registrar Consultores (Administración):</w:t>
      </w:r>
      <w:r>
        <w:rPr>
          <w:rFonts w:ascii="Arial" w:hAnsi="Arial"/>
          <w:color w:val="333333"/>
          <w:sz w:val="21"/>
        </w:rPr>
        <w:t xml:space="preserve"> Permite dar de alta corporativos raíz. Requiere definir un Nombre de Organización, un ID único manual y contraseña. El rango asignado es siempre Consultor.</w:t>
      </w:r>
    </w:p>
    <w:p>
      <w:pPr>
        <w:spacing w:before="0" w:after="120"/>
      </w:pPr>
      <w:r>
        <w:rPr>
          <w:rFonts w:ascii="Arial" w:hAnsi="Arial"/>
          <w:b/>
          <w:color w:val="333333"/>
          <w:sz w:val="21"/>
        </w:rPr>
        <w:t>Registrar Sucursales (Administración):</w:t>
      </w:r>
      <w:r>
        <w:rPr>
          <w:rFonts w:ascii="Arial" w:hAnsi="Arial"/>
          <w:color w:val="333333"/>
          <w:sz w:val="21"/>
        </w:rPr>
        <w:t xml:space="preserve"> Permite dar de alta empresas hijas. Es obligatorio seleccionar un Consultor Superior de la lista para vincular la sucursal. El rango asignado es siempre Tipo 1.</w:t>
      </w:r>
    </w:p>
    <w:p>
      <w:pPr>
        <w:spacing w:before="0" w:after="120"/>
      </w:pPr>
      <w:r>
        <w:rPr>
          <w:rFonts w:ascii="Arial" w:hAnsi="Arial"/>
          <w:b/>
          <w:color w:val="333333"/>
          <w:sz w:val="21"/>
        </w:rPr>
        <w:t>Auditoría de Licencias (Administración):</w:t>
      </w:r>
      <w:r>
        <w:rPr>
          <w:rFonts w:ascii="Arial" w:hAnsi="Arial"/>
          <w:color w:val="333333"/>
          <w:sz w:val="21"/>
        </w:rPr>
        <w:t xml:space="preserve"> Tabla de visualización y filtrado por empresa raíz para suspender o activar licencias, editar contraseñas, logotipos, encargados y direcciones.</w:t>
      </w:r>
    </w:p>
    <w:p>
      <w:pPr>
        <w:spacing w:before="0" w:after="120"/>
      </w:pPr>
      <w:r>
        <w:rPr>
          <w:rFonts w:ascii="Arial" w:hAnsi="Arial"/>
          <w:b/>
          <w:color w:val="333333"/>
          <w:sz w:val="21"/>
        </w:rPr>
        <w:t>Control de Expedientes (Cliente):</w:t>
      </w:r>
      <w:r>
        <w:rPr>
          <w:rFonts w:ascii="Arial" w:hAnsi="Arial"/>
          <w:color w:val="333333"/>
          <w:sz w:val="21"/>
        </w:rPr>
        <w:t xml:space="preserve"> Permite al Consultor o Colaborador indexar nuevos archivos, registrar un Nombre de Versión y fecha de vencimiento, definir un Correo de Alerta Principal y agregar dinámicamente campos de texto para enviar alertas a correos adicionales (máximo 5).</w:t>
      </w:r>
    </w:p>
    <w:p>
      <w:pPr>
        <w:spacing w:before="0" w:after="120"/>
      </w:pPr>
      <w:r>
        <w:rPr>
          <w:rFonts w:ascii="Arial" w:hAnsi="Arial"/>
          <w:b/>
          <w:color w:val="333333"/>
          <w:sz w:val="21"/>
        </w:rPr>
        <w:t>Asignación a Sucursales (Cliente):</w:t>
      </w:r>
      <w:r>
        <w:rPr>
          <w:rFonts w:ascii="Arial" w:hAnsi="Arial"/>
          <w:color w:val="333333"/>
          <w:sz w:val="21"/>
        </w:rPr>
        <w:t xml:space="preserve"> Si el usuario logueado es un Consultor, al cargar un expediente puede seleccionar a cuál de sus empresas o sucursales subordinadas pertenecerá el documento directamente.</w:t>
      </w:r>
    </w:p>
    <w:p>
      <w:pPr>
        <w:spacing w:before="0" w:after="120"/>
      </w:pPr>
      <w:r>
        <w:rPr>
          <w:rFonts w:ascii="Arial" w:hAnsi="Arial"/>
          <w:b/>
          <w:color w:val="333333"/>
          <w:sz w:val="21"/>
        </w:rPr>
        <w:t>Estructura Interna (Cliente):</w:t>
      </w:r>
      <w:r>
        <w:rPr>
          <w:rFonts w:ascii="Arial" w:hAnsi="Arial"/>
          <w:color w:val="333333"/>
          <w:sz w:val="21"/>
        </w:rPr>
        <w:t xml:space="preserve"> Apartado para crear y gestionar cuentas de personal operativo (Tipo 1, Tipo 2, Tipo 3) vinculándolos a su correspondiente sucursal.</w:t>
      </w:r>
    </w:p>
    <w:p>
      <w:pPr>
        <w:pStyle w:val="Heading1"/>
        <w:spacing w:before="240" w:after="120"/>
      </w:pPr>
      <w:r>
        <w:rPr>
          <w:rFonts w:ascii="Arial" w:hAnsi="Arial"/>
          <w:b/>
          <w:color w:val="003366"/>
          <w:sz w:val="40"/>
        </w:rPr>
        <w:t>8. MANUAL DE INSTALACIÓN Y DESPLIEGUE LOCAL</w:t>
      </w:r>
    </w:p>
    <w:p>
      <w:pPr>
        <w:spacing w:before="0" w:after="120"/>
      </w:pPr>
      <w:r>
        <w:rPr>
          <w:rFonts w:ascii="Arial" w:hAnsi="Arial"/>
          <w:color w:val="333333"/>
          <w:sz w:val="21"/>
        </w:rPr>
        <w:t>1. Instalar XAMPP con soporte para PHP 8.0 o superior.</w:t>
        <w:br/>
        <w:t>2. Colocar la carpeta del proyecto en C:\xampp\htdocs\upgrade_systems_xonexka</w:t>
        <w:br/>
        <w:t>3. Crear una base de datos llamada 'upgrade_systems' en PHPMyAdmin e importar el archivo 'upgrade_systems_db.sql'.</w:t>
        <w:br/>
        <w:t>4. Iniciar los servicios Apache y MySQL en XAMPP.</w:t>
        <w:br/>
        <w:t>5. Abrir en el navegador:</w:t>
        <w:br/>
        <w:t xml:space="preserve">   • Portal Cliente: http://localhost:8080/upgrade_systems_xonexka/public/cliente/login.html</w:t>
        <w:br/>
        <w:t xml:space="preserve">   • Administración: http://localhost:8080/upgrade_systems_xonexka/public/admin/login.html</w:t>
        <w:br/>
        <w:t>6. Configurar el motor de alertas automáticas (alertas_automaticas.php) mediante una Tarea Programada en Windows o un CronJob en Linux para ejecución diaria.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