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03366"/>
          <w:sz w:val="44"/>
        </w:rPr>
        <w:t>DOCUMENTACIÓN TÉCNICA AVANZADA Y MANUALES CORPORATIVOS</w:t>
        <w:br/>
        <w:t>PLATAFORMA XONEXKA</w:t>
      </w:r>
    </w:p>
    <w:p>
      <w:pPr>
        <w:spacing w:after="480"/>
        <w:jc w:val="center"/>
      </w:pPr>
      <w:r>
        <w:rPr>
          <w:rFonts w:ascii="Arial" w:hAnsi="Arial"/>
          <w:i/>
          <w:color w:val="475569"/>
          <w:sz w:val="22"/>
        </w:rPr>
        <w:t>Edición de Distribución Comercial Extendida</w:t>
        <w:br/>
        <w:t>Manual de Usuario de Clientes, Manual de Administración del Staff, Guía de Despliegue en Producción,</w:t>
        <w:br/>
        <w:t>Diccionario de Datos y Modelo Entidad-Relación, Especificación de API AJAX,</w:t>
        <w:br/>
        <w:t>Políticas de Respaldos, Seguridad, Rendimiento y Guía de Casos de Prueba (QA Test Cases).</w:t>
      </w:r>
    </w:p>
    <w:p>
      <w:pPr>
        <w:spacing w:before="2400"/>
        <w:jc w:val="center"/>
      </w:pPr>
      <w:r>
        <w:rPr>
          <w:rFonts w:ascii="Arial" w:hAnsi="Arial"/>
          <w:color w:val="94A3B8"/>
          <w:sz w:val="19"/>
        </w:rPr>
        <w:t>Versión de Distribución: Comercial 2.0 (Edición Avanzada Roja)</w:t>
        <w:br/>
        <w:t>Propietario del Software: Xonexka</w:t>
        <w:br/>
        <w:t>Fecha de Publicación: Julio 2026</w:t>
        <w:br/>
        <w:t>Clasificación: Información Técnica de Carácter Confidencial y Comercializable</w:t>
      </w:r>
    </w:p>
    <w:p>
      <w:r>
        <w:br w:type="page"/>
      </w:r>
    </w:p>
    <w:p>
      <w:pPr>
        <w:pStyle w:val="Heading1"/>
        <w:spacing w:before="440" w:after="240"/>
      </w:pPr>
      <w:r>
        <w:rPr>
          <w:rFonts w:ascii="Arial" w:hAnsi="Arial"/>
          <w:b/>
          <w:color w:val="003366"/>
          <w:sz w:val="36"/>
        </w:rPr>
        <w:t>PROPÓSITO Y ALCANCE DE ESTA SUITE DOCUMENTAL AVANZADA</w:t>
      </w:r>
    </w:p>
    <w:p>
      <w:pPr>
        <w:spacing w:before="0" w:after="120"/>
      </w:pPr>
      <w:r>
        <w:rPr>
          <w:rFonts w:ascii="Arial" w:hAnsi="Arial"/>
          <w:color w:val="333333"/>
          <w:sz w:val="20"/>
        </w:rPr>
        <w:t>Este dossier constituye el paquete oficial de documentación entregable avanzada para la comercialización, implantación y soporte del sistema Xonexka. Está redactado con un nivel de detalle técnico exhaustivo que permite a los compradores, desarrolladores y directores de sistemas una total autonomía en el aprovisionamiento, mantenimiento y auditoría de la plataforma en entornos corporativos de alta demanda.</w:t>
      </w:r>
    </w:p>
    <w:p>
      <w:pPr>
        <w:pStyle w:val="Heading2"/>
        <w:spacing w:before="440" w:after="240"/>
      </w:pPr>
      <w:r>
        <w:rPr>
          <w:rFonts w:ascii="Arial" w:hAnsi="Arial"/>
          <w:b/>
          <w:color w:val="0066CC"/>
          <w:sz w:val="26"/>
        </w:rPr>
        <w:t>Estructura General del Dossier:</w:t>
      </w:r>
    </w:p>
    <w:p>
      <w:pPr>
        <w:pStyle w:val="ListBullet"/>
        <w:spacing w:before="60" w:after="60"/>
      </w:pPr>
      <w:r>
        <w:rPr>
          <w:rFonts w:ascii="Arial" w:hAnsi="Arial"/>
          <w:b/>
          <w:color w:val="333333"/>
          <w:sz w:val="20"/>
        </w:rPr>
        <w:t>Sección 1: Manual de Usuario.</w:t>
      </w:r>
      <w:r>
        <w:rPr>
          <w:rFonts w:ascii="Arial" w:hAnsi="Arial"/>
          <w:color w:val="333333"/>
          <w:sz w:val="20"/>
        </w:rPr>
        <w:t xml:space="preserve"> Manual operativo del portal de clientes, roles corporativos y gestión de vigencias paso a paso.</w:t>
      </w:r>
    </w:p>
    <w:p>
      <w:pPr>
        <w:pStyle w:val="ListBullet"/>
        <w:spacing w:before="60" w:after="60"/>
      </w:pPr>
      <w:r>
        <w:rPr>
          <w:rFonts w:ascii="Arial" w:hAnsi="Arial"/>
          <w:b/>
          <w:color w:val="333333"/>
          <w:sz w:val="20"/>
        </w:rPr>
        <w:t>Sección 2: Manual de Administración (Consola).</w:t>
      </w:r>
      <w:r>
        <w:rPr>
          <w:rFonts w:ascii="Arial" w:hAnsi="Arial"/>
          <w:color w:val="333333"/>
          <w:sz w:val="20"/>
        </w:rPr>
        <w:t xml:space="preserve"> Guía para el aprovisionamiento de licencias, administración de staff y control de empresas.</w:t>
      </w:r>
    </w:p>
    <w:p>
      <w:pPr>
        <w:pStyle w:val="ListBullet"/>
        <w:spacing w:before="60" w:after="60"/>
      </w:pPr>
      <w:r>
        <w:rPr>
          <w:rFonts w:ascii="Arial" w:hAnsi="Arial"/>
          <w:b/>
          <w:color w:val="333333"/>
          <w:sz w:val="20"/>
        </w:rPr>
        <w:t>Sección 3: Guía de Despliegue en Producción.</w:t>
      </w:r>
      <w:r>
        <w:rPr>
          <w:rFonts w:ascii="Arial" w:hAnsi="Arial"/>
          <w:color w:val="333333"/>
          <w:sz w:val="20"/>
        </w:rPr>
        <w:t xml:space="preserve"> Guía detallada para desplegar en hosting cPanel o servidores VPS Linux.</w:t>
      </w:r>
    </w:p>
    <w:p>
      <w:pPr>
        <w:pStyle w:val="ListBullet"/>
        <w:spacing w:before="60" w:after="60"/>
      </w:pPr>
      <w:r>
        <w:rPr>
          <w:rFonts w:ascii="Arial" w:hAnsi="Arial"/>
          <w:b/>
          <w:color w:val="333333"/>
          <w:sz w:val="20"/>
        </w:rPr>
        <w:t>Sección 4: Diccionario de Datos y Relaciones.</w:t>
      </w:r>
      <w:r>
        <w:rPr>
          <w:rFonts w:ascii="Arial" w:hAnsi="Arial"/>
          <w:color w:val="333333"/>
          <w:sz w:val="20"/>
        </w:rPr>
        <w:t xml:space="preserve"> Detalle estructurado de campos, tablas y tipos del motor MySQL.</w:t>
      </w:r>
    </w:p>
    <w:p>
      <w:pPr>
        <w:pStyle w:val="ListBullet"/>
        <w:spacing w:before="60" w:after="60"/>
      </w:pPr>
      <w:r>
        <w:rPr>
          <w:rFonts w:ascii="Arial" w:hAnsi="Arial"/>
          <w:b/>
          <w:color w:val="333333"/>
          <w:sz w:val="20"/>
        </w:rPr>
        <w:t>Sección 5: Especificación de Endpoints (API).</w:t>
      </w:r>
      <w:r>
        <w:rPr>
          <w:rFonts w:ascii="Arial" w:hAnsi="Arial"/>
          <w:color w:val="333333"/>
          <w:sz w:val="20"/>
        </w:rPr>
        <w:t xml:space="preserve"> Manual de referencia para solicitudes asíncronas AJAX (API interna).</w:t>
      </w:r>
    </w:p>
    <w:p>
      <w:pPr>
        <w:pStyle w:val="ListBullet"/>
        <w:spacing w:before="60" w:after="60"/>
      </w:pPr>
      <w:r>
        <w:rPr>
          <w:rFonts w:ascii="Arial" w:hAnsi="Arial"/>
          <w:b/>
          <w:color w:val="333333"/>
          <w:sz w:val="20"/>
        </w:rPr>
        <w:t>Sección 6: Respaldos, Rendimiento y Seguridad.</w:t>
      </w:r>
      <w:r>
        <w:rPr>
          <w:rFonts w:ascii="Arial" w:hAnsi="Arial"/>
          <w:color w:val="333333"/>
          <w:sz w:val="20"/>
        </w:rPr>
        <w:t xml:space="preserve"> Políticas de configuración PHP, protección anti-compartido y scripts de backup automáticos.</w:t>
      </w:r>
    </w:p>
    <w:p>
      <w:pPr>
        <w:pStyle w:val="ListBullet"/>
        <w:spacing w:before="60" w:after="60"/>
      </w:pPr>
      <w:r>
        <w:rPr>
          <w:rFonts w:ascii="Arial" w:hAnsi="Arial"/>
          <w:b/>
          <w:color w:val="333333"/>
          <w:sz w:val="20"/>
        </w:rPr>
        <w:t>Sección 7: Guía de Personalización y Marca Blanca.</w:t>
      </w:r>
      <w:r>
        <w:rPr>
          <w:rFonts w:ascii="Arial" w:hAnsi="Arial"/>
          <w:color w:val="333333"/>
          <w:sz w:val="20"/>
        </w:rPr>
        <w:t xml:space="preserve"> Guía detallada para cambiar colores CSS, logotipos, fondos y adaptar a marca blanca.</w:t>
      </w:r>
    </w:p>
    <w:p>
      <w:pPr>
        <w:pStyle w:val="ListBullet"/>
        <w:spacing w:before="60" w:after="60"/>
      </w:pPr>
      <w:r>
        <w:rPr>
          <w:rFonts w:ascii="Arial" w:hAnsi="Arial"/>
          <w:b/>
          <w:color w:val="333333"/>
          <w:sz w:val="20"/>
        </w:rPr>
        <w:t>Sección 8: Casos de Prueba de Calidad (QA Test Cases).</w:t>
      </w:r>
      <w:r>
        <w:rPr>
          <w:rFonts w:ascii="Arial" w:hAnsi="Arial"/>
          <w:color w:val="333333"/>
          <w:sz w:val="20"/>
        </w:rPr>
        <w:t xml:space="preserve"> Casos de prueba paso a paso con datos de entrada y salidas esperadas para control de calidad.</w:t>
      </w:r>
    </w:p>
    <w:p>
      <w:pPr>
        <w:pStyle w:val="ListBullet"/>
        <w:spacing w:before="60" w:after="60"/>
      </w:pPr>
      <w:r>
        <w:rPr>
          <w:rFonts w:ascii="Arial" w:hAnsi="Arial"/>
          <w:b/>
          <w:color w:val="333333"/>
          <w:sz w:val="20"/>
        </w:rPr>
        <w:t>Sección 9: Guía de Solución de Problemas (Troubleshooting).</w:t>
      </w:r>
      <w:r>
        <w:rPr>
          <w:rFonts w:ascii="Arial" w:hAnsi="Arial"/>
          <w:color w:val="333333"/>
          <w:sz w:val="20"/>
        </w:rPr>
        <w:t xml:space="preserve"> Solución rápida de problemas comunes y respuestas a preguntas de soporte técnico.</w:t>
      </w:r>
    </w:p>
    <w:p>
      <w:r>
        <w:br w:type="page"/>
      </w:r>
    </w:p>
    <w:p>
      <w:pPr>
        <w:pStyle w:val="Heading1"/>
        <w:spacing w:before="440" w:after="240"/>
      </w:pPr>
      <w:r>
        <w:rPr>
          <w:rFonts w:ascii="Arial" w:hAnsi="Arial"/>
          <w:b/>
          <w:color w:val="003366"/>
          <w:sz w:val="36"/>
        </w:rPr>
        <w:t>SECCIÓN 1: MANUAL DE USUARIO COMPLETO (PORTAL DE CLIENTES)</w:t>
      </w:r>
    </w:p>
    <w:p>
      <w:pPr>
        <w:spacing w:before="0" w:after="120"/>
      </w:pPr>
      <w:r>
        <w:rPr>
          <w:rFonts w:ascii="Arial" w:hAnsi="Arial"/>
          <w:color w:val="333333"/>
          <w:sz w:val="20"/>
        </w:rPr>
        <w:t>El Portal Corporativo de Xonexka está diseñado para que los clientes del sistema administren sus expedientes de forma centralizada. Su acceso público se realiza a través de la ruta del cliente en el servidor local o web.</w:t>
      </w:r>
    </w:p>
    <w:p>
      <w:pPr>
        <w:pStyle w:val="Heading2"/>
        <w:spacing w:before="440" w:after="240"/>
      </w:pPr>
      <w:r>
        <w:rPr>
          <w:rFonts w:ascii="Arial" w:hAnsi="Arial"/>
          <w:b/>
          <w:color w:val="0066CC"/>
          <w:sz w:val="26"/>
        </w:rPr>
        <w:t>1.1 Estructura de Roles del Portal de Cliente y Permisos:</w:t>
      </w:r>
    </w:p>
    <w:p>
      <w:pPr>
        <w:spacing w:before="0" w:after="120"/>
      </w:pPr>
      <w:r>
        <w:rPr>
          <w:rFonts w:ascii="Arial" w:hAnsi="Arial"/>
          <w:color w:val="333333"/>
          <w:sz w:val="20"/>
        </w:rPr>
        <w:t>El portal implementa una estructura jerárquica basada en roles para salvaguardar el acceso a la información corporativa sensible:</w:t>
      </w:r>
    </w:p>
    <w:p>
      <w:pPr>
        <w:spacing w:before="0" w:after="120"/>
      </w:pPr>
      <w:r>
        <w:rPr>
          <w:rFonts w:ascii="Arial" w:hAnsi="Arial"/>
          <w:b/>
          <w:color w:val="333333"/>
          <w:sz w:val="20"/>
        </w:rPr>
        <w:t>1. Rol: Consultor (Organización Superior)</w:t>
      </w:r>
      <w:r>
        <w:rPr>
          <w:rFonts w:ascii="Arial" w:hAnsi="Arial"/>
          <w:color w:val="333333"/>
          <w:sz w:val="20"/>
        </w:rPr>
        <w:t xml:space="preserve"> Nivel supremo dentro de la organización. Asigna el control del corporativo principal (ej: Porsche México). Tiene visibilidad absoluta sobre todas las sucursales subordinadas creadas bajo su código base. Puede registrar nuevas empresas, crear colaboradores locales, cargar expedientes dirigidos a cualquier sucursal y ver la tabla semaforizada completa de cumplimiento.</w:t>
      </w:r>
    </w:p>
    <w:p>
      <w:pPr>
        <w:spacing w:before="0" w:after="120"/>
      </w:pPr>
      <w:r>
        <w:rPr>
          <w:rFonts w:ascii="Arial" w:hAnsi="Arial"/>
          <w:b/>
          <w:color w:val="333333"/>
          <w:sz w:val="20"/>
        </w:rPr>
        <w:t>2. Rol: Responsable Nacional</w:t>
      </w:r>
      <w:r>
        <w:rPr>
          <w:rFonts w:ascii="Arial" w:hAnsi="Arial"/>
          <w:color w:val="333333"/>
          <w:sz w:val="20"/>
        </w:rPr>
        <w:t xml:space="preserve"> Diseñado para auditores regionales o nacionales. Posee privilegios para visualizar la documentación de todas las sucursales vinculadas y generar reportes de trazabilidad, pero tiene restringida la creación de nuevas empresas o eliminación de expedientes.</w:t>
      </w:r>
    </w:p>
    <w:p>
      <w:pPr>
        <w:spacing w:before="0" w:after="120"/>
      </w:pPr>
      <w:r>
        <w:rPr>
          <w:rFonts w:ascii="Arial" w:hAnsi="Arial"/>
          <w:b/>
          <w:color w:val="333333"/>
          <w:sz w:val="20"/>
        </w:rPr>
        <w:t>3. Rol: Tipo 1 (Encargado de Sucursal)</w:t>
      </w:r>
      <w:r>
        <w:rPr>
          <w:rFonts w:ascii="Arial" w:hAnsi="Arial"/>
          <w:color w:val="333333"/>
          <w:sz w:val="20"/>
        </w:rPr>
        <w:t xml:space="preserve"> Corresponde al encargado operativo de un establecimiento físico o sucursal (ej: Porsche Santa Fe). Es el responsable de subir y actualizar la documentación requerida exclusivamente para su sucursal. No tiene acceso a datos de otras sucursales o consultores del grupo.</w:t>
      </w:r>
    </w:p>
    <w:p>
      <w:pPr>
        <w:spacing w:before="0" w:after="120"/>
      </w:pPr>
      <w:r>
        <w:rPr>
          <w:rFonts w:ascii="Arial" w:hAnsi="Arial"/>
          <w:b/>
          <w:color w:val="333333"/>
          <w:sz w:val="20"/>
        </w:rPr>
        <w:t>4. Roles: Tipo 2 y Tipo 3 (Lectores)</w:t>
      </w:r>
      <w:r>
        <w:rPr>
          <w:rFonts w:ascii="Arial" w:hAnsi="Arial"/>
          <w:color w:val="333333"/>
          <w:sz w:val="20"/>
        </w:rPr>
        <w:t xml:space="preserve"> Operadores y personal local de lectura. Tienen privilegios de descarga y consulta de archivos vigentes asignados a su establecimiento, pero no pueden subir nuevos documentos ni modificar metadatos de alerta.</w:t>
      </w:r>
    </w:p>
    <w:p>
      <w:pPr>
        <w:pStyle w:val="Heading2"/>
        <w:spacing w:before="440" w:after="240"/>
      </w:pPr>
      <w:r>
        <w:rPr>
          <w:rFonts w:ascii="Arial" w:hAnsi="Arial"/>
          <w:b/>
          <w:color w:val="0066CC"/>
          <w:sz w:val="26"/>
        </w:rPr>
        <w:t>1.2 Tabla de Matriz de Permisos por Rol:</w:t>
      </w:r>
    </w:p>
    <w:p>
      <w:pPr>
        <w:spacing w:before="0" w:after="120"/>
      </w:pPr>
      <w:r>
        <w:rPr>
          <w:rFonts w:ascii="Arial" w:hAnsi="Arial"/>
          <w:color w:val="333333"/>
          <w:sz w:val="20"/>
        </w:rPr>
        <w:t>A continuación se resume de forma visual qué operaciones puede realizar cada rango jerárquico dentro del portal de clientes: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Rango Organizacional / Rol</w:t>
            </w:r>
          </w:p>
        </w:tc>
        <w:tc>
          <w:tcPr>
            <w:tcW w:type="dxa" w:w="4680"/>
            <w:tcMar>
              <w:top w:w="140" w:type="dxa"/>
              <w:bottom w:w="140" w:type="dxa"/>
              <w:left w:w="200" w:type="dxa"/>
              <w:right w:w="200" w:type="dxa"/>
            </w:tcMar>
            <w:shd w:fill="003366"/>
          </w:tcPr>
          <w:p>
            <w:r>
              <w:rPr>
                <w:rFonts w:ascii="Arial" w:hAnsi="Arial"/>
                <w:b/>
                <w:color w:val="FFFFFF"/>
                <w:sz w:val="20"/>
              </w:rPr>
              <w:t>Acciones Permitidas en el Sistema</w:t>
            </w:r>
          </w:p>
        </w:tc>
      </w:tr>
      <w:tr>
        <w:tc>
          <w:tcPr>
            <w:tcW w:type="dxa" w:w="4680"/>
            <w:tcMar>
              <w:top w:w="140" w:type="dxa"/>
              <w:bottom w:w="140" w:type="dxa"/>
              <w:left w:w="200" w:type="dxa"/>
              <w:right w:w="200" w:type="dxa"/>
            </w:tcMar>
          </w:tcPr>
          <w:p>
            <w:r>
              <w:rPr>
                <w:rFonts w:ascii="Consolas" w:hAnsi="Consolas"/>
                <w:color w:val="333333"/>
                <w:sz w:val="19"/>
              </w:rPr>
              <w:t>Consultor</w:t>
            </w:r>
          </w:p>
        </w:tc>
        <w:tc>
          <w:tcPr>
            <w:tcW w:type="dxa" w:w="4680"/>
            <w:tcMar>
              <w:top w:w="140" w:type="dxa"/>
              <w:bottom w:w="140" w:type="dxa"/>
              <w:left w:w="200" w:type="dxa"/>
              <w:right w:w="200" w:type="dxa"/>
            </w:tcMar>
          </w:tcPr>
          <w:p>
            <w:r>
              <w:rPr>
                <w:rFonts w:ascii="Arial" w:hAnsi="Arial"/>
                <w:color w:val="333333"/>
                <w:sz w:val="19"/>
              </w:rPr>
              <w:t>Acceso total, registrar sucursales, subir archivos a sucursales, ver estadísticas globales, descargar archivos de todo el grupo corporativo.</w:t>
            </w:r>
          </w:p>
        </w:tc>
      </w:tr>
      <w:tr>
        <w:tc>
          <w:tcPr>
            <w:tcW w:type="dxa" w:w="4680"/>
            <w:tcMar>
              <w:top w:w="140" w:type="dxa"/>
              <w:bottom w:w="140" w:type="dxa"/>
              <w:left w:w="200" w:type="dxa"/>
              <w:right w:w="200" w:type="dxa"/>
            </w:tcMar>
          </w:tcPr>
          <w:p>
            <w:r>
              <w:rPr>
                <w:rFonts w:ascii="Consolas" w:hAnsi="Consolas"/>
                <w:color w:val="333333"/>
                <w:sz w:val="19"/>
              </w:rPr>
              <w:t>Responsable Nacional</w:t>
            </w:r>
          </w:p>
        </w:tc>
        <w:tc>
          <w:tcPr>
            <w:tcW w:type="dxa" w:w="4680"/>
            <w:tcMar>
              <w:top w:w="140" w:type="dxa"/>
              <w:bottom w:w="140" w:type="dxa"/>
              <w:left w:w="200" w:type="dxa"/>
              <w:right w:w="200" w:type="dxa"/>
            </w:tcMar>
          </w:tcPr>
          <w:p>
            <w:r>
              <w:rPr>
                <w:rFonts w:ascii="Arial" w:hAnsi="Arial"/>
                <w:color w:val="333333"/>
                <w:sz w:val="19"/>
              </w:rPr>
              <w:t>Visualizar matriz completa de semáforos, buscar archivos de todas las sucursales nacionales, descargar expedientes normativos.</w:t>
            </w:r>
          </w:p>
        </w:tc>
      </w:tr>
      <w:tr>
        <w:tc>
          <w:tcPr>
            <w:tcW w:type="dxa" w:w="4680"/>
            <w:tcMar>
              <w:top w:w="140" w:type="dxa"/>
              <w:bottom w:w="140" w:type="dxa"/>
              <w:left w:w="200" w:type="dxa"/>
              <w:right w:w="200" w:type="dxa"/>
            </w:tcMar>
          </w:tcPr>
          <w:p>
            <w:r>
              <w:rPr>
                <w:rFonts w:ascii="Consolas" w:hAnsi="Consolas"/>
                <w:color w:val="333333"/>
                <w:sz w:val="19"/>
              </w:rPr>
              <w:t>Tipo 1</w:t>
            </w:r>
          </w:p>
        </w:tc>
        <w:tc>
          <w:tcPr>
            <w:tcW w:type="dxa" w:w="4680"/>
            <w:tcMar>
              <w:top w:w="140" w:type="dxa"/>
              <w:bottom w:w="140" w:type="dxa"/>
              <w:left w:w="200" w:type="dxa"/>
              <w:right w:w="200" w:type="dxa"/>
            </w:tcMar>
          </w:tcPr>
          <w:p>
            <w:r>
              <w:rPr>
                <w:rFonts w:ascii="Arial" w:hAnsi="Arial"/>
                <w:color w:val="333333"/>
                <w:sz w:val="19"/>
              </w:rPr>
              <w:t>Subir y actualizar expedientes de su sucursal asignada, registrar correos de alerta, editar datos de la sucursal, descargar archivos de su sucursal.</w:t>
            </w:r>
          </w:p>
        </w:tc>
      </w:tr>
      <w:tr>
        <w:tc>
          <w:tcPr>
            <w:tcW w:type="dxa" w:w="4680"/>
            <w:tcMar>
              <w:top w:w="140" w:type="dxa"/>
              <w:bottom w:w="140" w:type="dxa"/>
              <w:left w:w="200" w:type="dxa"/>
              <w:right w:w="200" w:type="dxa"/>
            </w:tcMar>
          </w:tcPr>
          <w:p>
            <w:r>
              <w:rPr>
                <w:rFonts w:ascii="Consolas" w:hAnsi="Consolas"/>
                <w:color w:val="333333"/>
                <w:sz w:val="19"/>
              </w:rPr>
              <w:t>Tipo 2</w:t>
            </w:r>
          </w:p>
        </w:tc>
        <w:tc>
          <w:tcPr>
            <w:tcW w:type="dxa" w:w="4680"/>
            <w:tcMar>
              <w:top w:w="140" w:type="dxa"/>
              <w:bottom w:w="140" w:type="dxa"/>
              <w:left w:w="200" w:type="dxa"/>
              <w:right w:w="200" w:type="dxa"/>
            </w:tcMar>
          </w:tcPr>
          <w:p>
            <w:r>
              <w:rPr>
                <w:rFonts w:ascii="Arial" w:hAnsi="Arial"/>
                <w:color w:val="333333"/>
                <w:sz w:val="19"/>
              </w:rPr>
              <w:t>Buscar y descargar documentos indexados de su sucursal asignada. Bloqueado subir archivos y configurar correos.</w:t>
            </w:r>
          </w:p>
        </w:tc>
      </w:tr>
      <w:tr>
        <w:tc>
          <w:tcPr>
            <w:tcW w:type="dxa" w:w="4680"/>
            <w:tcMar>
              <w:top w:w="140" w:type="dxa"/>
              <w:bottom w:w="140" w:type="dxa"/>
              <w:left w:w="200" w:type="dxa"/>
              <w:right w:w="200" w:type="dxa"/>
            </w:tcMar>
          </w:tcPr>
          <w:p>
            <w:r>
              <w:rPr>
                <w:rFonts w:ascii="Consolas" w:hAnsi="Consolas"/>
                <w:color w:val="333333"/>
                <w:sz w:val="19"/>
              </w:rPr>
              <w:t>Tipo 3</w:t>
            </w:r>
          </w:p>
        </w:tc>
        <w:tc>
          <w:tcPr>
            <w:tcW w:type="dxa" w:w="4680"/>
            <w:tcMar>
              <w:top w:w="140" w:type="dxa"/>
              <w:bottom w:w="140" w:type="dxa"/>
              <w:left w:w="200" w:type="dxa"/>
              <w:right w:w="200" w:type="dxa"/>
            </w:tcMar>
          </w:tcPr>
          <w:p>
            <w:r>
              <w:rPr>
                <w:rFonts w:ascii="Arial" w:hAnsi="Arial"/>
                <w:color w:val="333333"/>
                <w:sz w:val="19"/>
              </w:rPr>
              <w:t>Visualizar la vigencia de los archivos de su sucursal en modo lectura. Bloqueado modificar datos.</w:t>
            </w:r>
          </w:p>
        </w:tc>
      </w:tr>
    </w:tbl>
    <w:p>
      <w:pPr>
        <w:spacing w:after="240"/>
      </w:pPr>
    </w:p>
    <w:p>
      <w:pPr>
        <w:pStyle w:val="Heading2"/>
        <w:spacing w:before="440" w:after="240"/>
      </w:pPr>
      <w:r>
        <w:rPr>
          <w:rFonts w:ascii="Arial" w:hAnsi="Arial"/>
          <w:b/>
          <w:color w:val="0066CC"/>
          <w:sz w:val="26"/>
        </w:rPr>
        <w:t>1.3 Gestión Operativa de Expedientes y Código de Semáforos:</w:t>
      </w:r>
    </w:p>
    <w:p>
      <w:pPr>
        <w:spacing w:before="0" w:after="120"/>
      </w:pPr>
      <w:r>
        <w:rPr>
          <w:rFonts w:ascii="Arial" w:hAnsi="Arial"/>
          <w:color w:val="333333"/>
          <w:sz w:val="20"/>
        </w:rPr>
        <w:t>La pantalla principal ('Control Operativo y Acciones de Archivos') muestra el listado de documentos vigentes junto a un semáforo visual de tres colores. La lógica de negocio calcula el porcentaje de tiempo transcurrido del documento con base en su fecha de vencimiento:</w:t>
      </w:r>
    </w:p>
    <w:p>
      <w:pPr>
        <w:pStyle w:val="ListBullet"/>
        <w:spacing w:before="60" w:after="60"/>
      </w:pPr>
      <w:r>
        <w:rPr>
          <w:rFonts w:ascii="Arial" w:hAnsi="Arial"/>
          <w:b/>
          <w:color w:val="333333"/>
          <w:sz w:val="20"/>
        </w:rPr>
        <w:t>Semáforo Verde (Seguro):</w:t>
      </w:r>
      <w:r>
        <w:rPr>
          <w:rFonts w:ascii="Arial" w:hAnsi="Arial"/>
          <w:color w:val="333333"/>
          <w:sz w:val="20"/>
        </w:rPr>
        <w:t xml:space="preserve"> Documento vigente y en regla. El tiempo transcurrido desde su carga representa menos del 80% del tiempo de vida útil del expediente. No requiere acciones inmediatas.</w:t>
      </w:r>
    </w:p>
    <w:p>
      <w:pPr>
        <w:pStyle w:val="ListBullet"/>
        <w:spacing w:before="60" w:after="60"/>
      </w:pPr>
      <w:r>
        <w:rPr>
          <w:rFonts w:ascii="Arial" w:hAnsi="Arial"/>
          <w:b/>
          <w:color w:val="333333"/>
          <w:sz w:val="20"/>
        </w:rPr>
        <w:t>Semáforo Amarillo 1 (Próximo a Vencer):</w:t>
      </w:r>
      <w:r>
        <w:rPr>
          <w:rFonts w:ascii="Arial" w:hAnsi="Arial"/>
          <w:color w:val="333333"/>
          <w:sz w:val="20"/>
        </w:rPr>
        <w:t xml:space="preserve"> Alerta preventiva. El documento ha consumido entre el 80% y el 89.99% de su vigencia. El sistema envía notificaciones diarias por correo electrónico directamente al encargado de la sucursal.</w:t>
      </w:r>
    </w:p>
    <w:p>
      <w:pPr>
        <w:pStyle w:val="ListBullet"/>
        <w:spacing w:before="60" w:after="60"/>
      </w:pPr>
      <w:r>
        <w:rPr>
          <w:rFonts w:ascii="Arial" w:hAnsi="Arial"/>
          <w:b/>
          <w:color w:val="333333"/>
          <w:sz w:val="20"/>
        </w:rPr>
        <w:t>Semáforo Amarillo 2 / Rojo (Fases Críticas):</w:t>
      </w:r>
      <w:r>
        <w:rPr>
          <w:rFonts w:ascii="Arial" w:hAnsi="Arial"/>
          <w:color w:val="333333"/>
          <w:sz w:val="20"/>
        </w:rPr>
        <w:t xml:space="preserve"> Alerta crítica de vencimiento. El documento ha consumido el 90% o más de su vigencia. Se dispara el protocolo de alerta extendida, enviando correos automatizados al responsable principal y a los correos adicionales configurados en la lista de 'Correos Extras'. También se generan alertas en la bitácora local de WhatsApp.</w:t>
      </w:r>
    </w:p>
    <w:p>
      <w:pPr>
        <w:pStyle w:val="ListBullet"/>
        <w:spacing w:before="60" w:after="60"/>
      </w:pPr>
      <w:r>
        <w:rPr>
          <w:rFonts w:ascii="Arial" w:hAnsi="Arial"/>
          <w:b/>
          <w:color w:val="333333"/>
          <w:sz w:val="20"/>
        </w:rPr>
        <w:t>Semáforo Vencido (Vigencia Caducada):</w:t>
      </w:r>
      <w:r>
        <w:rPr>
          <w:rFonts w:ascii="Arial" w:hAnsi="Arial"/>
          <w:color w:val="333333"/>
          <w:sz w:val="20"/>
        </w:rPr>
        <w:t xml:space="preserve"> El documento ha sobrepasado su fecha límite de vigencia. Requiere una actualización urgente para evitar penalizaciones legales.</w:t>
      </w:r>
    </w:p>
    <w:p>
      <w:pPr>
        <w:pStyle w:val="Heading2"/>
        <w:spacing w:before="440" w:after="240"/>
      </w:pPr>
      <w:r>
        <w:rPr>
          <w:rFonts w:ascii="Arial" w:hAnsi="Arial"/>
          <w:b/>
          <w:color w:val="0066CC"/>
          <w:sz w:val="26"/>
        </w:rPr>
        <w:t>1.4 Guía Paso a Paso para Indexar / Subir un Documento:</w:t>
      </w:r>
    </w:p>
    <w:p>
      <w:pPr>
        <w:spacing w:before="0" w:after="120"/>
      </w:pPr>
      <w:r>
        <w:rPr>
          <w:rFonts w:ascii="Arial" w:hAnsi="Arial"/>
          <w:color w:val="333333"/>
          <w:sz w:val="20"/>
        </w:rPr>
        <w:t>1. Ingrese al panel lateral y haga clic en 'Cargar / Actualizar Documento'.</w:t>
        <w:br/>
        <w:t>2. Si ha iniciado sesión con el rol de Consultor o similar, se habilitará el listado de casillas de verificación 'Asignar Documento a Empresa(s) / Sucursal(es) (Selección Múltiple)'. Seleccione una o más casillas para indexar el archivo en múltiples empresas a la vez.</w:t>
        <w:br/>
        <w:t>3. Escriba la Categoría del Documento (ej: Dictamen de Gas) en el campo correspondiente (se recomienda usar nombres normalizados).</w:t>
        <w:br/>
        <w:t>4. Ingrese un Nombre Personalizado de Versión (ej: Dictamen Estructural Mayo 2026).</w:t>
        <w:br/>
        <w:t>5. Seleccione la fecha exacta de vencimiento utilizando el selector de calendario.</w:t>
        <w:br/>
        <w:t>6. En el campo 'Correo de Alerta Principal', ingrese el email del responsable de dar seguimiento al documento.</w:t>
        <w:br/>
        <w:t>7. Si requiere que la alerta del semáforo Amarillo 2/Rojo llegue a más personas, presione el botón '+ Agregar Correo Extra'. Podrá crear hasta 5 campos de texto adicionales independientes.</w:t>
        <w:br/>
        <w:t>8. Suba el archivo físico. El sistema acepta formatos PDF e imágenes (PNG/JPG) con un peso máximo de 50MB.</w:t>
        <w:br/>
        <w:t>9. Presione el botón 'Indexar Archivo en Sistema'. Se mostrará un mensaje de éxito y el preloader procesará la subida asíncronamente.</w:t>
      </w:r>
    </w:p>
    <w:p>
      <w:r>
        <w:br w:type="page"/>
      </w:r>
    </w:p>
    <w:p>
      <w:pPr>
        <w:pStyle w:val="Heading1"/>
        <w:spacing w:before="440" w:after="240"/>
      </w:pPr>
      <w:r>
        <w:rPr>
          <w:rFonts w:ascii="Arial" w:hAnsi="Arial"/>
          <w:b/>
          <w:color w:val="003366"/>
          <w:sz w:val="36"/>
        </w:rPr>
        <w:t>SECCIÓN 2: MANUAL DE ADMINISTRACIÓN (STAFF GLOBAL)</w:t>
      </w:r>
    </w:p>
    <w:p>
      <w:pPr>
        <w:spacing w:before="0" w:after="120"/>
      </w:pPr>
      <w:r>
        <w:rPr>
          <w:rFonts w:ascii="Arial" w:hAnsi="Arial"/>
          <w:color w:val="333333"/>
          <w:sz w:val="20"/>
        </w:rPr>
        <w:t>La Consola de Aprovisionamiento Corporativo de la plataforma está restringida para el personal técnico interno del propietario del software, permitiendo la gestión integral de licenciamientos y cuentas de staff.</w:t>
      </w:r>
    </w:p>
    <w:p>
      <w:pPr>
        <w:pStyle w:val="Heading2"/>
        <w:spacing w:before="440" w:after="240"/>
      </w:pPr>
      <w:r>
        <w:rPr>
          <w:rFonts w:ascii="Arial" w:hAnsi="Arial"/>
          <w:b/>
          <w:color w:val="0066CC"/>
          <w:sz w:val="26"/>
        </w:rPr>
        <w:t>2.1 Formularios Especializados de Aprovisionamiento:</w:t>
      </w:r>
    </w:p>
    <w:p>
      <w:pPr>
        <w:spacing w:before="0" w:after="120"/>
      </w:pPr>
      <w:r>
        <w:rPr>
          <w:rFonts w:ascii="Arial" w:hAnsi="Arial"/>
          <w:color w:val="333333"/>
          <w:sz w:val="20"/>
        </w:rPr>
        <w:t>Para evitar confusiones en los rangos y estructuras organizacionales de los clientes, la interfaz administrativa está dividida en dos flujos limpios:</w:t>
      </w:r>
    </w:p>
    <w:p>
      <w:pPr>
        <w:spacing w:before="0" w:after="120"/>
      </w:pPr>
      <w:r>
        <w:rPr>
          <w:rFonts w:ascii="Arial" w:hAnsi="Arial"/>
          <w:b/>
          <w:color w:val="333333"/>
          <w:sz w:val="20"/>
        </w:rPr>
        <w:t>1. Registrar Consultores:</w:t>
      </w:r>
      <w:r>
        <w:rPr>
          <w:rFonts w:ascii="Arial" w:hAnsi="Arial"/>
          <w:color w:val="333333"/>
          <w:sz w:val="20"/>
        </w:rPr>
        <w:t xml:space="preserve"> Permite registrar a los clientes raíz del sistema. Solicita el Nombre de la Organización (Nombre Comercial), un ID único (código alfanumérico manual que servirá como base para todos sus establecimientos, ej: CHEVROLET), el Nombre del Encargado corporativo, el Correo Principal, Teléfonos y Contraseña. Se le asigna el rango de Consultor de forma automática. Incluye mapa interactivo de Google Maps para coordenadas geográficas.</w:t>
      </w:r>
    </w:p>
    <w:p>
      <w:pPr>
        <w:spacing w:before="0" w:after="120"/>
      </w:pPr>
      <w:r>
        <w:rPr>
          <w:rFonts w:ascii="Arial" w:hAnsi="Arial"/>
          <w:b/>
          <w:color w:val="333333"/>
          <w:sz w:val="20"/>
        </w:rPr>
        <w:t>2. Registrar Sucursales:</w:t>
      </w:r>
      <w:r>
        <w:rPr>
          <w:rFonts w:ascii="Arial" w:hAnsi="Arial"/>
          <w:color w:val="333333"/>
          <w:sz w:val="20"/>
        </w:rPr>
        <w:t xml:space="preserve"> Diseñado únicamente para dar de alta sucursales de un consultor ya registrado. Solicita el Nombre de la Sucursal (ej: Chevrolet Polanco), el encargado, el Correo Principal de la sucursal y el Correo del Director. Obliga a seleccionar el Consultor Corporativo Superior de un dropdown de búsqueda. Genera de forma automatizada un código jerárquico (ej: CHEVROLET/T1A) y le asigna el rango de Tipo 1, omitiendo preguntas redundantes.</w:t>
      </w:r>
    </w:p>
    <w:p>
      <w:pPr>
        <w:pStyle w:val="Heading2"/>
        <w:spacing w:before="440" w:after="240"/>
      </w:pPr>
      <w:r>
        <w:rPr>
          <w:rFonts w:ascii="Arial" w:hAnsi="Arial"/>
          <w:b/>
          <w:color w:val="0066CC"/>
          <w:sz w:val="26"/>
        </w:rPr>
        <w:t>2.2 Panel de Auditoría de Licencias y Modal de Edición:</w:t>
      </w:r>
    </w:p>
    <w:p>
      <w:pPr>
        <w:spacing w:before="0" w:after="120"/>
      </w:pPr>
      <w:r>
        <w:rPr>
          <w:rFonts w:ascii="Arial" w:hAnsi="Arial"/>
          <w:color w:val="333333"/>
          <w:sz w:val="20"/>
        </w:rPr>
        <w:t>La tabla central de licencias muestra todas las empresas dadas de alta. Al hacer clic en el botón 'Editar' de cualquier fila, se abre un modal interactivo que permite al administrador realizar cambios inmediatos:</w:t>
        <w:br/>
        <w:t>• Modificar el nombre comercial, encargado y correo principal.</w:t>
        <w:br/>
        <w:t>• Configurar y cambiar el Correo del Director (quien recibirá las notificaciones críticas de 24 horas previas al vencimiento).</w:t>
        <w:br/>
        <w:t>• Reemplazar el logotipo de la empresa cargando un archivo de imagen.</w:t>
        <w:br/>
        <w:t>• Modificar las coordenadas geográficas mediante el visor integrado de Google Maps (arrastrando el marcador o haciendo clic).</w:t>
        <w:br/>
        <w:t>• Activar o Suspender la Licencia de la Empresa (si se marca como suspendida, el sistema bloquea inmediatamente el acceso a la cuenta del consultor y de todos sus colaboradores asociados, redirigiéndolos al login con un mensaje de advertencia).</w:t>
        <w:br/>
        <w:br/>
        <w:t>Al presionar 'Guardar Cambios', el modal realiza una llamada POST asíncrona que aplica las modificaciones en la base de datos y actualiza inmediatamente el filtro de consulta del panel sin recargar la página.</w:t>
      </w:r>
    </w:p>
    <w:p>
      <w:r>
        <w:br w:type="page"/>
      </w:r>
    </w:p>
    <w:p>
      <w:pPr>
        <w:pStyle w:val="Heading1"/>
        <w:spacing w:before="440" w:after="240"/>
      </w:pPr>
      <w:r>
        <w:rPr>
          <w:rFonts w:ascii="Arial" w:hAnsi="Arial"/>
          <w:b/>
          <w:color w:val="003366"/>
          <w:sz w:val="36"/>
        </w:rPr>
        <w:t>SECCIÓN 3: GUÍA DE DESPLIEGUE EN SERVIDOR DE PRODUCCIÓN</w:t>
      </w:r>
    </w:p>
    <w:p>
      <w:pPr>
        <w:spacing w:before="0" w:after="120"/>
      </w:pPr>
      <w:r>
        <w:rPr>
          <w:rFonts w:ascii="Arial" w:hAnsi="Arial"/>
          <w:color w:val="333333"/>
          <w:sz w:val="20"/>
        </w:rPr>
        <w:t>Este capítulo describe el procedimiento de instalación en servidores de producción como hostings cPanel o servidores VPS Linux.</w:t>
      </w:r>
    </w:p>
    <w:p>
      <w:pPr>
        <w:pStyle w:val="Heading2"/>
        <w:spacing w:before="440" w:after="240"/>
      </w:pPr>
      <w:r>
        <w:rPr>
          <w:rFonts w:ascii="Arial" w:hAnsi="Arial"/>
          <w:b/>
          <w:color w:val="0066CC"/>
          <w:sz w:val="26"/>
        </w:rPr>
        <w:t>3.1 Requisitos de Infraestructura y Servidor:</w:t>
      </w:r>
    </w:p>
    <w:p>
      <w:pPr>
        <w:pStyle w:val="ListBullet"/>
        <w:spacing w:before="60" w:after="60"/>
      </w:pPr>
      <w:r>
        <w:rPr>
          <w:rFonts w:ascii="Arial" w:hAnsi="Arial"/>
          <w:color w:val="333333"/>
          <w:sz w:val="20"/>
        </w:rPr>
        <w:t xml:space="preserve"> Servidor Web Apache 2.4 o superior con mod_rewrite y mod_headers activos.</w:t>
      </w:r>
    </w:p>
    <w:p>
      <w:pPr>
        <w:pStyle w:val="ListBullet"/>
        <w:spacing w:before="60" w:after="60"/>
      </w:pPr>
      <w:r>
        <w:rPr>
          <w:rFonts w:ascii="Arial" w:hAnsi="Arial"/>
          <w:color w:val="333333"/>
          <w:sz w:val="20"/>
        </w:rPr>
        <w:t xml:space="preserve"> Motor PHP versión 8.0, 8.1 u 8.2 (indispensable habilitar extensiones mysqli, gd, session y json).</w:t>
      </w:r>
    </w:p>
    <w:p>
      <w:pPr>
        <w:pStyle w:val="ListBullet"/>
        <w:spacing w:before="60" w:after="60"/>
      </w:pPr>
      <w:r>
        <w:rPr>
          <w:rFonts w:ascii="Arial" w:hAnsi="Arial"/>
          <w:color w:val="333333"/>
          <w:sz w:val="20"/>
        </w:rPr>
        <w:t xml:space="preserve"> Base de datos MySQL 5.7+ o MariaDB 10.3+.</w:t>
      </w:r>
    </w:p>
    <w:p>
      <w:pPr>
        <w:pStyle w:val="ListBullet"/>
        <w:spacing w:before="60" w:after="60"/>
      </w:pPr>
      <w:r>
        <w:rPr>
          <w:rFonts w:ascii="Arial" w:hAnsi="Arial"/>
          <w:color w:val="333333"/>
          <w:sz w:val="20"/>
        </w:rPr>
        <w:t xml:space="preserve"> Certificado de seguridad SSL (HTTPS) instalado en el servidor para encriptar transferencias.</w:t>
      </w:r>
    </w:p>
    <w:p>
      <w:pPr>
        <w:pStyle w:val="Heading2"/>
        <w:spacing w:before="440" w:after="240"/>
      </w:pPr>
      <w:r>
        <w:rPr>
          <w:rFonts w:ascii="Arial" w:hAnsi="Arial"/>
          <w:b/>
          <w:color w:val="0066CC"/>
          <w:sz w:val="26"/>
        </w:rPr>
        <w:t>3.2 Despliegue Paso a Paso (cPanel / Servidor Web):</w:t>
      </w:r>
    </w:p>
    <w:p>
      <w:pPr>
        <w:spacing w:before="0" w:after="120"/>
      </w:pPr>
      <w:r>
        <w:rPr>
          <w:rFonts w:ascii="Arial" w:hAnsi="Arial"/>
          <w:color w:val="333333"/>
          <w:sz w:val="20"/>
        </w:rPr>
        <w:t>1. Descargue y extraiga el código en el directorio raíz de su dominio o subdominio (ej: /public_html/).</w:t>
        <w:br/>
        <w:t>2. Ingrese a cPanel -&gt; 'Bases de Datos MySQL' y cree una nueva base de datos (ej: xonexka_db).</w:t>
        <w:br/>
        <w:t>3. Cree un usuario de base de datos con una contraseña segura, otórguele todos los privilegios sobre la base de datos y vincúlelos.</w:t>
        <w:br/>
        <w:t>4. Ingrese a PHPMyAdmin, seleccione la base de datos recién creada e importe el archivo de estructura SQL provisto ('upgrade_systems_db.sql').</w:t>
        <w:br/>
        <w:t>5. Abra el archivo config/conexion.php en su editor y edite los valores de la conexión MySQL con sus credenciales:</w:t>
        <w:br/>
        <w:t xml:space="preserve">   $conexion = new mysqli('localhost', 'xonexka_user', 'contraseña_segura', 'xonexka_db');</w:t>
        <w:br/>
        <w:t>6. Configure los permisos de escritura (chmod 755 o 775 en Linux) en las siguientes carpetas:</w:t>
        <w:br/>
        <w:t xml:space="preserve">   • /uploads_dictamenes/ (Donde se resguardan los expedientes PDF privados).</w:t>
        <w:br/>
        <w:t xml:space="preserve">   • /public/uploads/logos/ (Donde se guardan los logotipos comerciales de los clientes).</w:t>
      </w:r>
    </w:p>
    <w:p>
      <w:pPr>
        <w:pStyle w:val="Heading2"/>
        <w:spacing w:before="440" w:after="240"/>
      </w:pPr>
      <w:r>
        <w:rPr>
          <w:rFonts w:ascii="Arial" w:hAnsi="Arial"/>
          <w:b/>
          <w:color w:val="0066CC"/>
          <w:sz w:val="26"/>
        </w:rPr>
        <w:t>3.3 Configuración de la Tarea Programada (Cron Job):</w:t>
      </w:r>
    </w:p>
    <w:p>
      <w:pPr>
        <w:spacing w:before="0" w:after="120"/>
      </w:pPr>
      <w:r>
        <w:rPr>
          <w:rFonts w:ascii="Arial" w:hAnsi="Arial"/>
          <w:color w:val="333333"/>
          <w:sz w:val="20"/>
        </w:rPr>
        <w:t>El motor de alertas automáticas (alertas_automaticas.php) debe programarse para ejecutarse diariamente en el servidor, permitiendo calcular vigencias e inyectar correos electrónicos a los destinatarios a primera hora.</w:t>
      </w:r>
    </w:p>
    <w:p>
      <w:pPr>
        <w:spacing w:before="0" w:after="120"/>
      </w:pPr>
      <w:r>
        <w:rPr>
          <w:rFonts w:ascii="Arial" w:hAnsi="Arial"/>
          <w:b/>
          <w:color w:val="333333"/>
          <w:sz w:val="20"/>
        </w:rPr>
        <w:t>Configuración en cPanel:</w:t>
      </w:r>
      <w:r>
        <w:rPr>
          <w:rFonts w:ascii="Arial" w:hAnsi="Arial"/>
          <w:color w:val="333333"/>
          <w:sz w:val="20"/>
        </w:rPr>
        <w:t xml:space="preserve"> Ingrese a cPanel -&gt; 'Tareas Cron'. Seleccione el intervalo común 'Una vez al día (0 0 * * *)' y configure el comando apuntando al intérprete de PHP de su servidor:</w:t>
      </w:r>
    </w:p>
    <w:p>
      <w:pPr>
        <w:spacing w:before="160" w:after="160"/>
        <w:ind w:left="360"/>
        <w:shd w:fill="F8FAFC"/>
      </w:pPr>
      <w:r>
        <w:rPr>
          <w:rFonts w:ascii="Consolas" w:hAnsi="Consolas"/>
          <w:color w:val="1E293B"/>
          <w:sz w:val="18"/>
        </w:rPr>
        <w:t>/usr/local/bin/php -q /home/usuario/public_html/controllers/alertas_automaticas.php &gt; /dev/null 2&gt;&amp;1</w:t>
      </w:r>
    </w:p>
    <w:p>
      <w:pPr>
        <w:spacing w:before="0" w:after="120"/>
      </w:pPr>
      <w:r>
        <w:rPr>
          <w:rFonts w:ascii="Arial" w:hAnsi="Arial"/>
          <w:b/>
          <w:color w:val="333333"/>
          <w:sz w:val="20"/>
        </w:rPr>
        <w:t>Configuración en VPS Linux (Consola):</w:t>
      </w:r>
      <w:r>
        <w:rPr>
          <w:rFonts w:ascii="Arial" w:hAnsi="Arial"/>
          <w:color w:val="333333"/>
          <w:sz w:val="20"/>
        </w:rPr>
        <w:t xml:space="preserve"> Abra la terminal de SSH, acceda al crontab del usuario root o del servidor web y añada la siguiente instrucción de ejecución a las 08:00 AM de forma diaria:</w:t>
      </w:r>
    </w:p>
    <w:p>
      <w:pPr>
        <w:spacing w:before="160" w:after="160"/>
        <w:ind w:left="360"/>
        <w:shd w:fill="F8FAFC"/>
      </w:pPr>
      <w:r>
        <w:rPr>
          <w:rFonts w:ascii="Consolas" w:hAnsi="Consolas"/>
          <w:color w:val="1E293B"/>
          <w:sz w:val="18"/>
        </w:rPr>
        <w:t>crontab -e</w:t>
        <w:br/>
        <w:t>0 8 * * * /usr/bin/php /var/www/html/controllers/alertas_automaticas.php &gt; /dev/null 2&gt;&amp;1</w:t>
      </w:r>
    </w:p>
    <w:p>
      <w:r>
        <w:br w:type="page"/>
      </w:r>
    </w:p>
    <w:p>
      <w:pPr>
        <w:pStyle w:val="Heading1"/>
        <w:spacing w:before="440" w:after="240"/>
      </w:pPr>
      <w:r>
        <w:rPr>
          <w:rFonts w:ascii="Arial" w:hAnsi="Arial"/>
          <w:b/>
          <w:color w:val="003366"/>
          <w:sz w:val="36"/>
        </w:rPr>
        <w:t>SECCIÓN 4: DICCIONARIO DE DATOS Y MODELO DE RELACIONES</w:t>
      </w:r>
    </w:p>
    <w:p>
      <w:pPr>
        <w:spacing w:before="0" w:after="120"/>
      </w:pPr>
      <w:r>
        <w:rPr>
          <w:rFonts w:ascii="Arial" w:hAnsi="Arial"/>
          <w:color w:val="333333"/>
          <w:sz w:val="20"/>
        </w:rPr>
        <w:t>Esta sección detalla de forma exhaustiva la estructura y campos de las tablas del sistema de base de datos MySQL.</w:t>
      </w:r>
    </w:p>
    <w:p>
      <w:pPr>
        <w:pStyle w:val="Heading2"/>
        <w:spacing w:before="440" w:after="240"/>
      </w:pPr>
      <w:r>
        <w:rPr>
          <w:rFonts w:ascii="Arial" w:hAnsi="Arial"/>
          <w:b/>
          <w:color w:val="0066CC"/>
          <w:sz w:val="26"/>
        </w:rPr>
        <w:t>4.1 Tabla: empresas_clientes (Usuarios e Inquilinos)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secuencial único de la organización o sucursal.</w:t>
            </w:r>
          </w:p>
        </w:tc>
      </w:tr>
      <w:tr>
        <w:tc>
          <w:tcPr>
            <w:tcW w:type="dxa" w:w="4680"/>
            <w:tcMar>
              <w:top w:w="140" w:type="dxa"/>
              <w:bottom w:w="140" w:type="dxa"/>
              <w:left w:w="200" w:type="dxa"/>
              <w:right w:w="200" w:type="dxa"/>
            </w:tcMar>
          </w:tcPr>
          <w:p>
            <w:r>
              <w:rPr>
                <w:rFonts w:ascii="Arial" w:hAnsi="Arial"/>
                <w:color w:val="333333"/>
                <w:sz w:val="19"/>
              </w:rPr>
              <w:t>`cod` VARCHAR(255)</w:t>
            </w:r>
          </w:p>
        </w:tc>
        <w:tc>
          <w:tcPr>
            <w:tcW w:type="dxa" w:w="4680"/>
            <w:tcMar>
              <w:top w:w="140" w:type="dxa"/>
              <w:bottom w:w="140" w:type="dxa"/>
              <w:left w:w="200" w:type="dxa"/>
              <w:right w:w="200" w:type="dxa"/>
            </w:tcMar>
          </w:tcPr>
          <w:p>
            <w:r>
              <w:rPr>
                <w:rFonts w:ascii="Arial" w:hAnsi="Arial"/>
                <w:color w:val="333333"/>
                <w:sz w:val="19"/>
              </w:rPr>
              <w:t>Código jerárquico identificador. En consultores es el código base (ej: PORSCHE). En sucursales vinculadas hereda la base con una extensión incremental de tipo (ej: PORSCHE/T1A).</w:t>
            </w:r>
          </w:p>
        </w:tc>
      </w:tr>
      <w:tr>
        <w:tc>
          <w:tcPr>
            <w:tcW w:type="dxa" w:w="4680"/>
            <w:tcMar>
              <w:top w:w="140" w:type="dxa"/>
              <w:bottom w:w="140" w:type="dxa"/>
              <w:left w:w="200" w:type="dxa"/>
              <w:right w:w="200" w:type="dxa"/>
            </w:tcMar>
          </w:tcPr>
          <w:p>
            <w:r>
              <w:rPr>
                <w:rFonts w:ascii="Arial" w:hAnsi="Arial"/>
                <w:color w:val="333333"/>
                <w:sz w:val="19"/>
              </w:rPr>
              <w:t>`nombre` VARCHAR(255)</w:t>
            </w:r>
          </w:p>
        </w:tc>
        <w:tc>
          <w:tcPr>
            <w:tcW w:type="dxa" w:w="4680"/>
            <w:tcMar>
              <w:top w:w="140" w:type="dxa"/>
              <w:bottom w:w="140" w:type="dxa"/>
              <w:left w:w="200" w:type="dxa"/>
              <w:right w:w="200" w:type="dxa"/>
            </w:tcMar>
          </w:tcPr>
          <w:p>
            <w:r>
              <w:rPr>
                <w:rFonts w:ascii="Arial" w:hAnsi="Arial"/>
                <w:color w:val="333333"/>
                <w:sz w:val="19"/>
              </w:rPr>
              <w:t>Nombre comercial de la sucursal o consultora (ej: Porsche Santa Fe).</w:t>
            </w:r>
          </w:p>
        </w:tc>
      </w:tr>
      <w:tr>
        <w:tc>
          <w:tcPr>
            <w:tcW w:type="dxa" w:w="4680"/>
            <w:tcMar>
              <w:top w:w="140" w:type="dxa"/>
              <w:bottom w:w="140" w:type="dxa"/>
              <w:left w:w="200" w:type="dxa"/>
              <w:right w:w="200" w:type="dxa"/>
            </w:tcMar>
          </w:tcPr>
          <w:p>
            <w:r>
              <w:rPr>
                <w:rFonts w:ascii="Arial" w:hAnsi="Arial"/>
                <w:color w:val="333333"/>
                <w:sz w:val="19"/>
              </w:rPr>
              <w:t>`encargado` VARCHAR(255)</w:t>
            </w:r>
          </w:p>
        </w:tc>
        <w:tc>
          <w:tcPr>
            <w:tcW w:type="dxa" w:w="4680"/>
            <w:tcMar>
              <w:top w:w="140" w:type="dxa"/>
              <w:bottom w:w="140" w:type="dxa"/>
              <w:left w:w="200" w:type="dxa"/>
              <w:right w:w="200" w:type="dxa"/>
            </w:tcMar>
          </w:tcPr>
          <w:p>
            <w:r>
              <w:rPr>
                <w:rFonts w:ascii="Arial" w:hAnsi="Arial"/>
                <w:color w:val="333333"/>
                <w:sz w:val="19"/>
              </w:rPr>
              <w:t>Nombre del responsable de la operación a nivel local.</w:t>
            </w:r>
          </w:p>
        </w:tc>
      </w:tr>
      <w:tr>
        <w:tc>
          <w:tcPr>
            <w:tcW w:type="dxa" w:w="4680"/>
            <w:tcMar>
              <w:top w:w="140" w:type="dxa"/>
              <w:bottom w:w="140" w:type="dxa"/>
              <w:left w:w="200" w:type="dxa"/>
              <w:right w:w="200" w:type="dxa"/>
            </w:tcMar>
          </w:tcPr>
          <w:p>
            <w:r>
              <w:rPr>
                <w:rFonts w:ascii="Arial" w:hAnsi="Arial"/>
                <w:color w:val="333333"/>
                <w:sz w:val="19"/>
              </w:rPr>
              <w:t>`email` VARCHAR(255) (UNIQUE)</w:t>
            </w:r>
          </w:p>
        </w:tc>
        <w:tc>
          <w:tcPr>
            <w:tcW w:type="dxa" w:w="4680"/>
            <w:tcMar>
              <w:top w:w="140" w:type="dxa"/>
              <w:bottom w:w="140" w:type="dxa"/>
              <w:left w:w="200" w:type="dxa"/>
              <w:right w:w="200" w:type="dxa"/>
            </w:tcMar>
          </w:tcPr>
          <w:p>
            <w:r>
              <w:rPr>
                <w:rFonts w:ascii="Arial" w:hAnsi="Arial"/>
                <w:color w:val="333333"/>
                <w:sz w:val="19"/>
              </w:rPr>
              <w:t>Correo principal usado como credencial de acceso (login) al sistema.</w:t>
            </w:r>
          </w:p>
        </w:tc>
      </w:tr>
      <w:tr>
        <w:tc>
          <w:tcPr>
            <w:tcW w:type="dxa" w:w="4680"/>
            <w:tcMar>
              <w:top w:w="140" w:type="dxa"/>
              <w:bottom w:w="140" w:type="dxa"/>
              <w:left w:w="200" w:type="dxa"/>
              <w:right w:w="200" w:type="dxa"/>
            </w:tcMar>
          </w:tcPr>
          <w:p>
            <w:r>
              <w:rPr>
                <w:rFonts w:ascii="Arial" w:hAnsi="Arial"/>
                <w:color w:val="333333"/>
                <w:sz w:val="19"/>
              </w:rPr>
              <w:t>`director_email` VARCHAR(255)</w:t>
            </w:r>
          </w:p>
        </w:tc>
        <w:tc>
          <w:tcPr>
            <w:tcW w:type="dxa" w:w="4680"/>
            <w:tcMar>
              <w:top w:w="140" w:type="dxa"/>
              <w:bottom w:w="140" w:type="dxa"/>
              <w:left w:w="200" w:type="dxa"/>
              <w:right w:w="200" w:type="dxa"/>
            </w:tcMar>
          </w:tcPr>
          <w:p>
            <w:r>
              <w:rPr>
                <w:rFonts w:ascii="Arial" w:hAnsi="Arial"/>
                <w:color w:val="333333"/>
                <w:sz w:val="19"/>
              </w:rPr>
              <w:t>Correo de la dirección a notificar en alertas de 24 horas.</w:t>
            </w:r>
          </w:p>
        </w:tc>
      </w:tr>
      <w:tr>
        <w:tc>
          <w:tcPr>
            <w:tcW w:type="dxa" w:w="4680"/>
            <w:tcMar>
              <w:top w:w="140" w:type="dxa"/>
              <w:bottom w:w="140" w:type="dxa"/>
              <w:left w:w="200" w:type="dxa"/>
              <w:right w:w="200" w:type="dxa"/>
            </w:tcMar>
          </w:tcPr>
          <w:p>
            <w:r>
              <w:rPr>
                <w:rFonts w:ascii="Arial" w:hAnsi="Arial"/>
                <w:color w:val="333333"/>
                <w:sz w:val="19"/>
              </w:rPr>
              <w:t>`email_adicional` VARCHAR(255)</w:t>
            </w:r>
          </w:p>
        </w:tc>
        <w:tc>
          <w:tcPr>
            <w:tcW w:type="dxa" w:w="4680"/>
            <w:tcMar>
              <w:top w:w="140" w:type="dxa"/>
              <w:bottom w:w="140" w:type="dxa"/>
              <w:left w:w="200" w:type="dxa"/>
              <w:right w:w="200" w:type="dxa"/>
            </w:tcMar>
          </w:tcPr>
          <w:p>
            <w:r>
              <w:rPr>
                <w:rFonts w:ascii="Arial" w:hAnsi="Arial"/>
                <w:color w:val="333333"/>
                <w:sz w:val="19"/>
              </w:rPr>
              <w:t>Contacto alternativo opcional.</w:t>
            </w:r>
          </w:p>
        </w:tc>
      </w:tr>
      <w:tr>
        <w:tc>
          <w:tcPr>
            <w:tcW w:type="dxa" w:w="4680"/>
            <w:tcMar>
              <w:top w:w="140" w:type="dxa"/>
              <w:bottom w:w="140" w:type="dxa"/>
              <w:left w:w="200" w:type="dxa"/>
              <w:right w:w="200" w:type="dxa"/>
            </w:tcMar>
          </w:tcPr>
          <w:p>
            <w:r>
              <w:rPr>
                <w:rFonts w:ascii="Arial" w:hAnsi="Arial"/>
                <w:color w:val="333333"/>
                <w:sz w:val="19"/>
              </w:rPr>
              <w:t>`telefono_principal` VARCHAR(50)</w:t>
            </w:r>
          </w:p>
        </w:tc>
        <w:tc>
          <w:tcPr>
            <w:tcW w:type="dxa" w:w="4680"/>
            <w:tcMar>
              <w:top w:w="140" w:type="dxa"/>
              <w:bottom w:w="140" w:type="dxa"/>
              <w:left w:w="200" w:type="dxa"/>
              <w:right w:w="200" w:type="dxa"/>
            </w:tcMar>
          </w:tcPr>
          <w:p>
            <w:r>
              <w:rPr>
                <w:rFonts w:ascii="Arial" w:hAnsi="Arial"/>
                <w:color w:val="333333"/>
                <w:sz w:val="19"/>
              </w:rPr>
              <w:t>Teléfono principal para alertas de WhatsApp.</w:t>
            </w:r>
          </w:p>
        </w:tc>
      </w:tr>
      <w:tr>
        <w:tc>
          <w:tcPr>
            <w:tcW w:type="dxa" w:w="4680"/>
            <w:tcMar>
              <w:top w:w="140" w:type="dxa"/>
              <w:bottom w:w="140" w:type="dxa"/>
              <w:left w:w="200" w:type="dxa"/>
              <w:right w:w="200" w:type="dxa"/>
            </w:tcMar>
          </w:tcPr>
          <w:p>
            <w:r>
              <w:rPr>
                <w:rFonts w:ascii="Arial" w:hAnsi="Arial"/>
                <w:color w:val="333333"/>
                <w:sz w:val="19"/>
              </w:rPr>
              <w:t>`telefono_adicional` VARCHAR(50)</w:t>
            </w:r>
          </w:p>
        </w:tc>
        <w:tc>
          <w:tcPr>
            <w:tcW w:type="dxa" w:w="4680"/>
            <w:tcMar>
              <w:top w:w="140" w:type="dxa"/>
              <w:bottom w:w="140" w:type="dxa"/>
              <w:left w:w="200" w:type="dxa"/>
              <w:right w:w="200" w:type="dxa"/>
            </w:tcMar>
          </w:tcPr>
          <w:p>
            <w:r>
              <w:rPr>
                <w:rFonts w:ascii="Arial" w:hAnsi="Arial"/>
                <w:color w:val="333333"/>
                <w:sz w:val="19"/>
              </w:rPr>
              <w:t>Teléfono secundario opcional.</w:t>
            </w:r>
          </w:p>
        </w:tc>
      </w:tr>
      <w:tr>
        <w:tc>
          <w:tcPr>
            <w:tcW w:type="dxa" w:w="4680"/>
            <w:tcMar>
              <w:top w:w="140" w:type="dxa"/>
              <w:bottom w:w="140" w:type="dxa"/>
              <w:left w:w="200" w:type="dxa"/>
              <w:right w:w="200" w:type="dxa"/>
            </w:tcMar>
          </w:tcPr>
          <w:p>
            <w:r>
              <w:rPr>
                <w:rFonts w:ascii="Arial" w:hAnsi="Arial"/>
                <w:color w:val="333333"/>
                <w:sz w:val="19"/>
              </w:rPr>
              <w:t>`direccion` TEXT</w:t>
            </w:r>
          </w:p>
        </w:tc>
        <w:tc>
          <w:tcPr>
            <w:tcW w:type="dxa" w:w="4680"/>
            <w:tcMar>
              <w:top w:w="140" w:type="dxa"/>
              <w:bottom w:w="140" w:type="dxa"/>
              <w:left w:w="200" w:type="dxa"/>
              <w:right w:w="200" w:type="dxa"/>
            </w:tcMar>
          </w:tcPr>
          <w:p>
            <w:r>
              <w:rPr>
                <w:rFonts w:ascii="Arial" w:hAnsi="Arial"/>
                <w:color w:val="333333"/>
                <w:sz w:val="19"/>
              </w:rPr>
              <w:t>Domicilio físico oficial del establecimiento.</w:t>
            </w:r>
          </w:p>
        </w:tc>
      </w:tr>
      <w:tr>
        <w:tc>
          <w:tcPr>
            <w:tcW w:type="dxa" w:w="4680"/>
            <w:tcMar>
              <w:top w:w="140" w:type="dxa"/>
              <w:bottom w:w="140" w:type="dxa"/>
              <w:left w:w="200" w:type="dxa"/>
              <w:right w:w="200" w:type="dxa"/>
            </w:tcMar>
          </w:tcPr>
          <w:p>
            <w:r>
              <w:rPr>
                <w:rFonts w:ascii="Arial" w:hAnsi="Arial"/>
                <w:color w:val="333333"/>
                <w:sz w:val="19"/>
              </w:rPr>
              <w:t>`coordenadas` VARCHAR(255)</w:t>
            </w:r>
          </w:p>
        </w:tc>
        <w:tc>
          <w:tcPr>
            <w:tcW w:type="dxa" w:w="4680"/>
            <w:tcMar>
              <w:top w:w="140" w:type="dxa"/>
              <w:bottom w:w="140" w:type="dxa"/>
              <w:left w:w="200" w:type="dxa"/>
              <w:right w:w="200" w:type="dxa"/>
            </w:tcMar>
          </w:tcPr>
          <w:p>
            <w:r>
              <w:rPr>
                <w:rFonts w:ascii="Arial" w:hAnsi="Arial"/>
                <w:color w:val="333333"/>
                <w:sz w:val="19"/>
              </w:rPr>
              <w:t>Par ordenado Latitud, Longitud (para mapas de Google).</w:t>
            </w:r>
          </w:p>
        </w:tc>
      </w:tr>
      <w:tr>
        <w:tc>
          <w:tcPr>
            <w:tcW w:type="dxa" w:w="4680"/>
            <w:tcMar>
              <w:top w:w="140" w:type="dxa"/>
              <w:bottom w:w="140" w:type="dxa"/>
              <w:left w:w="200" w:type="dxa"/>
              <w:right w:w="200" w:type="dxa"/>
            </w:tcMar>
          </w:tcPr>
          <w:p>
            <w:r>
              <w:rPr>
                <w:rFonts w:ascii="Arial" w:hAnsi="Arial"/>
                <w:color w:val="333333"/>
                <w:sz w:val="19"/>
              </w:rPr>
              <w:t>`logo` VARCHAR(255)</w:t>
            </w:r>
          </w:p>
        </w:tc>
        <w:tc>
          <w:tcPr>
            <w:tcW w:type="dxa" w:w="4680"/>
            <w:tcMar>
              <w:top w:w="140" w:type="dxa"/>
              <w:bottom w:w="140" w:type="dxa"/>
              <w:left w:w="200" w:type="dxa"/>
              <w:right w:w="200" w:type="dxa"/>
            </w:tcMar>
          </w:tcPr>
          <w:p>
            <w:r>
              <w:rPr>
                <w:rFonts w:ascii="Arial" w:hAnsi="Arial"/>
                <w:color w:val="333333"/>
                <w:sz w:val="19"/>
              </w:rPr>
              <w:t>Ruta del logotipo comercial almacenado físicamente en /uploads/logos/.</w:t>
            </w:r>
          </w:p>
        </w:tc>
      </w:tr>
      <w:tr>
        <w:tc>
          <w:tcPr>
            <w:tcW w:type="dxa" w:w="4680"/>
            <w:tcMar>
              <w:top w:w="140" w:type="dxa"/>
              <w:bottom w:w="140" w:type="dxa"/>
              <w:left w:w="200" w:type="dxa"/>
              <w:right w:w="200" w:type="dxa"/>
            </w:tcMar>
          </w:tcPr>
          <w:p>
            <w:r>
              <w:rPr>
                <w:rFonts w:ascii="Arial" w:hAnsi="Arial"/>
                <w:color w:val="333333"/>
                <w:sz w:val="19"/>
              </w:rPr>
              <w:t>`pass` VARCHAR(255)</w:t>
            </w:r>
          </w:p>
        </w:tc>
        <w:tc>
          <w:tcPr>
            <w:tcW w:type="dxa" w:w="4680"/>
            <w:tcMar>
              <w:top w:w="140" w:type="dxa"/>
              <w:bottom w:w="140" w:type="dxa"/>
              <w:left w:w="200" w:type="dxa"/>
              <w:right w:w="200" w:type="dxa"/>
            </w:tcMar>
          </w:tcPr>
          <w:p>
            <w:r>
              <w:rPr>
                <w:rFonts w:ascii="Arial" w:hAnsi="Arial"/>
                <w:color w:val="333333"/>
                <w:sz w:val="19"/>
              </w:rPr>
              <w:t>Hash criptográfico de la contraseña en formato BCrypt.</w:t>
            </w:r>
          </w:p>
        </w:tc>
      </w:tr>
      <w:tr>
        <w:tc>
          <w:tcPr>
            <w:tcW w:type="dxa" w:w="4680"/>
            <w:tcMar>
              <w:top w:w="140" w:type="dxa"/>
              <w:bottom w:w="140" w:type="dxa"/>
              <w:left w:w="200" w:type="dxa"/>
              <w:right w:w="200" w:type="dxa"/>
            </w:tcMar>
          </w:tcPr>
          <w:p>
            <w:r>
              <w:rPr>
                <w:rFonts w:ascii="Arial" w:hAnsi="Arial"/>
                <w:color w:val="333333"/>
                <w:sz w:val="19"/>
              </w:rPr>
              <w:t>`rol` VARCHAR(50)</w:t>
            </w:r>
          </w:p>
        </w:tc>
        <w:tc>
          <w:tcPr>
            <w:tcW w:type="dxa" w:w="4680"/>
            <w:tcMar>
              <w:top w:w="140" w:type="dxa"/>
              <w:bottom w:w="140" w:type="dxa"/>
              <w:left w:w="200" w:type="dxa"/>
              <w:right w:w="200" w:type="dxa"/>
            </w:tcMar>
          </w:tcPr>
          <w:p>
            <w:r>
              <w:rPr>
                <w:rFonts w:ascii="Arial" w:hAnsi="Arial"/>
                <w:color w:val="333333"/>
                <w:sz w:val="19"/>
              </w:rPr>
              <w:t>Nivel jerárquico: 'Consultor', 'Responsable Nacional', 'Tipo 1', 'Tipo 2', 'Tipo 3'.</w:t>
            </w:r>
          </w:p>
        </w:tc>
      </w:tr>
      <w:tr>
        <w:tc>
          <w:tcPr>
            <w:tcW w:type="dxa" w:w="4680"/>
            <w:tcMar>
              <w:top w:w="140" w:type="dxa"/>
              <w:bottom w:w="140" w:type="dxa"/>
              <w:left w:w="200" w:type="dxa"/>
              <w:right w:w="200" w:type="dxa"/>
            </w:tcMar>
          </w:tcPr>
          <w:p>
            <w:r>
              <w:rPr>
                <w:rFonts w:ascii="Arial" w:hAnsi="Arial"/>
                <w:color w:val="333333"/>
                <w:sz w:val="19"/>
              </w:rPr>
              <w:t>`activo` TINYINT(1)</w:t>
            </w:r>
          </w:p>
        </w:tc>
        <w:tc>
          <w:tcPr>
            <w:tcW w:type="dxa" w:w="4680"/>
            <w:tcMar>
              <w:top w:w="140" w:type="dxa"/>
              <w:bottom w:w="140" w:type="dxa"/>
              <w:left w:w="200" w:type="dxa"/>
              <w:right w:w="200" w:type="dxa"/>
            </w:tcMar>
          </w:tcPr>
          <w:p>
            <w:r>
              <w:rPr>
                <w:rFonts w:ascii="Arial" w:hAnsi="Arial"/>
                <w:color w:val="333333"/>
                <w:sz w:val="19"/>
              </w:rPr>
              <w:t>Bandera de licencia activa. 1 = Permitido, 0 = Bloqueo total.</w:t>
            </w:r>
          </w:p>
        </w:tc>
      </w:tr>
    </w:tbl>
    <w:p>
      <w:pPr>
        <w:spacing w:after="240"/>
      </w:pPr>
    </w:p>
    <w:p>
      <w:pPr>
        <w:pStyle w:val="Heading2"/>
        <w:spacing w:before="440" w:after="240"/>
      </w:pPr>
      <w:r>
        <w:rPr>
          <w:rFonts w:ascii="Arial" w:hAnsi="Arial"/>
          <w:b/>
          <w:color w:val="0066CC"/>
          <w:sz w:val="26"/>
        </w:rPr>
        <w:t>4.2 Tabla: documentos_pc (Expedientes y Alertas)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único de archivo indexado.</w:t>
            </w:r>
          </w:p>
        </w:tc>
      </w:tr>
      <w:tr>
        <w:tc>
          <w:tcPr>
            <w:tcW w:type="dxa" w:w="4680"/>
            <w:tcMar>
              <w:top w:w="140" w:type="dxa"/>
              <w:bottom w:w="140" w:type="dxa"/>
              <w:left w:w="200" w:type="dxa"/>
              <w:right w:w="200" w:type="dxa"/>
            </w:tcMar>
          </w:tcPr>
          <w:p>
            <w:r>
              <w:rPr>
                <w:rFonts w:ascii="Arial" w:hAnsi="Arial"/>
                <w:color w:val="333333"/>
                <w:sz w:val="19"/>
              </w:rPr>
              <w:t>`empresa_cod` VARCHAR(255)</w:t>
            </w:r>
          </w:p>
        </w:tc>
        <w:tc>
          <w:tcPr>
            <w:tcW w:type="dxa" w:w="4680"/>
            <w:tcMar>
              <w:top w:w="140" w:type="dxa"/>
              <w:bottom w:w="140" w:type="dxa"/>
              <w:left w:w="200" w:type="dxa"/>
              <w:right w:w="200" w:type="dxa"/>
            </w:tcMar>
          </w:tcPr>
          <w:p>
            <w:r>
              <w:rPr>
                <w:rFonts w:ascii="Arial" w:hAnsi="Arial"/>
                <w:color w:val="333333"/>
                <w:sz w:val="19"/>
              </w:rPr>
              <w:t>Vínculo lógico al código (cod) de la empresa o sucursal propietaria.</w:t>
            </w:r>
          </w:p>
        </w:tc>
      </w:tr>
      <w:tr>
        <w:tc>
          <w:tcPr>
            <w:tcW w:type="dxa" w:w="4680"/>
            <w:tcMar>
              <w:top w:w="140" w:type="dxa"/>
              <w:bottom w:w="140" w:type="dxa"/>
              <w:left w:w="200" w:type="dxa"/>
              <w:right w:w="200" w:type="dxa"/>
            </w:tcMar>
          </w:tcPr>
          <w:p>
            <w:r>
              <w:rPr>
                <w:rFonts w:ascii="Arial" w:hAnsi="Arial"/>
                <w:color w:val="333333"/>
                <w:sz w:val="19"/>
              </w:rPr>
              <w:t>`tipo_doc` VARCHAR(255)</w:t>
            </w:r>
          </w:p>
        </w:tc>
        <w:tc>
          <w:tcPr>
            <w:tcW w:type="dxa" w:w="4680"/>
            <w:tcMar>
              <w:top w:w="140" w:type="dxa"/>
              <w:bottom w:w="140" w:type="dxa"/>
              <w:left w:w="200" w:type="dxa"/>
              <w:right w:w="200" w:type="dxa"/>
            </w:tcMar>
          </w:tcPr>
          <w:p>
            <w:r>
              <w:rPr>
                <w:rFonts w:ascii="Arial" w:hAnsi="Arial"/>
                <w:color w:val="333333"/>
                <w:sz w:val="19"/>
              </w:rPr>
              <w:t>Categoría de clasificación (ej: Dictamen Estructural, Licencia de Construcción).</w:t>
            </w:r>
          </w:p>
        </w:tc>
      </w:tr>
      <w:tr>
        <w:tc>
          <w:tcPr>
            <w:tcW w:type="dxa" w:w="4680"/>
            <w:tcMar>
              <w:top w:w="140" w:type="dxa"/>
              <w:bottom w:w="140" w:type="dxa"/>
              <w:left w:w="200" w:type="dxa"/>
              <w:right w:w="200" w:type="dxa"/>
            </w:tcMar>
          </w:tcPr>
          <w:p>
            <w:r>
              <w:rPr>
                <w:rFonts w:ascii="Arial" w:hAnsi="Arial"/>
                <w:color w:val="333333"/>
                <w:sz w:val="19"/>
              </w:rPr>
              <w:t>`nombre_personalizado` VARCHAR(255)</w:t>
            </w:r>
          </w:p>
        </w:tc>
        <w:tc>
          <w:tcPr>
            <w:tcW w:type="dxa" w:w="4680"/>
            <w:tcMar>
              <w:top w:w="140" w:type="dxa"/>
              <w:bottom w:w="140" w:type="dxa"/>
              <w:left w:w="200" w:type="dxa"/>
              <w:right w:w="200" w:type="dxa"/>
            </w:tcMar>
          </w:tcPr>
          <w:p>
            <w:r>
              <w:rPr>
                <w:rFonts w:ascii="Arial" w:hAnsi="Arial"/>
                <w:color w:val="333333"/>
                <w:sz w:val="19"/>
              </w:rPr>
              <w:t>Nombre físico codificado en md5/sha1 del archivo PDF en uploads_dictamenes/.</w:t>
            </w:r>
          </w:p>
        </w:tc>
      </w:tr>
      <w:tr>
        <w:tc>
          <w:tcPr>
            <w:tcW w:type="dxa" w:w="4680"/>
            <w:tcMar>
              <w:top w:w="140" w:type="dxa"/>
              <w:bottom w:w="140" w:type="dxa"/>
              <w:left w:w="200" w:type="dxa"/>
              <w:right w:w="200" w:type="dxa"/>
            </w:tcMar>
          </w:tcPr>
          <w:p>
            <w:r>
              <w:rPr>
                <w:rFonts w:ascii="Arial" w:hAnsi="Arial"/>
                <w:color w:val="333333"/>
                <w:sz w:val="19"/>
              </w:rPr>
              <w:t>`fecha_vencimiento` DATE</w:t>
            </w:r>
          </w:p>
        </w:tc>
        <w:tc>
          <w:tcPr>
            <w:tcW w:type="dxa" w:w="4680"/>
            <w:tcMar>
              <w:top w:w="140" w:type="dxa"/>
              <w:bottom w:w="140" w:type="dxa"/>
              <w:left w:w="200" w:type="dxa"/>
              <w:right w:w="200" w:type="dxa"/>
            </w:tcMar>
          </w:tcPr>
          <w:p>
            <w:r>
              <w:rPr>
                <w:rFonts w:ascii="Arial" w:hAnsi="Arial"/>
                <w:color w:val="333333"/>
                <w:sz w:val="19"/>
              </w:rPr>
              <w:t>Fecha límite de vigencia (calcula el semáforo y disparadores de correo).</w:t>
            </w:r>
          </w:p>
        </w:tc>
      </w:tr>
      <w:tr>
        <w:tc>
          <w:tcPr>
            <w:tcW w:type="dxa" w:w="4680"/>
            <w:tcMar>
              <w:top w:w="140" w:type="dxa"/>
              <w:bottom w:w="140" w:type="dxa"/>
              <w:left w:w="200" w:type="dxa"/>
              <w:right w:w="200" w:type="dxa"/>
            </w:tcMar>
          </w:tcPr>
          <w:p>
            <w:r>
              <w:rPr>
                <w:rFonts w:ascii="Arial" w:hAnsi="Arial"/>
                <w:color w:val="333333"/>
                <w:sz w:val="19"/>
              </w:rPr>
              <w:t>`notificar_correos` TEXT</w:t>
            </w:r>
          </w:p>
        </w:tc>
        <w:tc>
          <w:tcPr>
            <w:tcW w:type="dxa" w:w="4680"/>
            <w:tcMar>
              <w:top w:w="140" w:type="dxa"/>
              <w:bottom w:w="140" w:type="dxa"/>
              <w:left w:w="200" w:type="dxa"/>
              <w:right w:w="200" w:type="dxa"/>
            </w:tcMar>
          </w:tcPr>
          <w:p>
            <w:r>
              <w:rPr>
                <w:rFonts w:ascii="Arial" w:hAnsi="Arial"/>
                <w:color w:val="333333"/>
                <w:sz w:val="19"/>
              </w:rPr>
              <w:t>Lista en formato de texto plano con hasta 5 correos adicionales separados por comas.</w:t>
            </w:r>
          </w:p>
        </w:tc>
      </w:tr>
      <w:tr>
        <w:tc>
          <w:tcPr>
            <w:tcW w:type="dxa" w:w="4680"/>
            <w:tcMar>
              <w:top w:w="140" w:type="dxa"/>
              <w:bottom w:w="140" w:type="dxa"/>
              <w:left w:w="200" w:type="dxa"/>
              <w:right w:w="200" w:type="dxa"/>
            </w:tcMar>
          </w:tcPr>
          <w:p>
            <w:r>
              <w:rPr>
                <w:rFonts w:ascii="Arial" w:hAnsi="Arial"/>
                <w:color w:val="333333"/>
                <w:sz w:val="19"/>
              </w:rPr>
              <w:t>`activo` TINYINT(1)</w:t>
            </w:r>
          </w:p>
        </w:tc>
        <w:tc>
          <w:tcPr>
            <w:tcW w:type="dxa" w:w="4680"/>
            <w:tcMar>
              <w:top w:w="140" w:type="dxa"/>
              <w:bottom w:w="140" w:type="dxa"/>
              <w:left w:w="200" w:type="dxa"/>
              <w:right w:w="200" w:type="dxa"/>
            </w:tcMar>
          </w:tcPr>
          <w:p>
            <w:r>
              <w:rPr>
                <w:rFonts w:ascii="Arial" w:hAnsi="Arial"/>
                <w:color w:val="333333"/>
                <w:sz w:val="19"/>
              </w:rPr>
              <w:t>Bandera de borrado lógico en el sistema (1 = En control, 0 = Archivado/Borrado).</w:t>
            </w:r>
          </w:p>
        </w:tc>
      </w:tr>
    </w:tbl>
    <w:p>
      <w:pPr>
        <w:spacing w:after="240"/>
      </w:pPr>
    </w:p>
    <w:p>
      <w:pPr>
        <w:pStyle w:val="Heading2"/>
        <w:spacing w:before="440" w:after="240"/>
      </w:pPr>
      <w:r>
        <w:rPr>
          <w:rFonts w:ascii="Arial" w:hAnsi="Arial"/>
          <w:b/>
          <w:color w:val="0066CC"/>
          <w:sz w:val="26"/>
        </w:rPr>
        <w:t>4.3 Tabla: historial_documentos (Historial y Auditoría)</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secuencial del respaldo.</w:t>
            </w:r>
          </w:p>
        </w:tc>
      </w:tr>
      <w:tr>
        <w:tc>
          <w:tcPr>
            <w:tcW w:type="dxa" w:w="4680"/>
            <w:tcMar>
              <w:top w:w="140" w:type="dxa"/>
              <w:bottom w:w="140" w:type="dxa"/>
              <w:left w:w="200" w:type="dxa"/>
              <w:right w:w="200" w:type="dxa"/>
            </w:tcMar>
          </w:tcPr>
          <w:p>
            <w:r>
              <w:rPr>
                <w:rFonts w:ascii="Arial" w:hAnsi="Arial"/>
                <w:color w:val="333333"/>
                <w:sz w:val="19"/>
              </w:rPr>
              <w:t>`documento_id` INT</w:t>
            </w:r>
          </w:p>
        </w:tc>
        <w:tc>
          <w:tcPr>
            <w:tcW w:type="dxa" w:w="4680"/>
            <w:tcMar>
              <w:top w:w="140" w:type="dxa"/>
              <w:bottom w:w="140" w:type="dxa"/>
              <w:left w:w="200" w:type="dxa"/>
              <w:right w:w="200" w:type="dxa"/>
            </w:tcMar>
          </w:tcPr>
          <w:p>
            <w:r>
              <w:rPr>
                <w:rFonts w:ascii="Arial" w:hAnsi="Arial"/>
                <w:color w:val="333333"/>
                <w:sz w:val="19"/>
              </w:rPr>
              <w:t>Vínculo con el registro principal en documentos_pc.</w:t>
            </w:r>
          </w:p>
        </w:tc>
      </w:tr>
      <w:tr>
        <w:tc>
          <w:tcPr>
            <w:tcW w:type="dxa" w:w="4680"/>
            <w:tcMar>
              <w:top w:w="140" w:type="dxa"/>
              <w:bottom w:w="140" w:type="dxa"/>
              <w:left w:w="200" w:type="dxa"/>
              <w:right w:w="200" w:type="dxa"/>
            </w:tcMar>
          </w:tcPr>
          <w:p>
            <w:r>
              <w:rPr>
                <w:rFonts w:ascii="Arial" w:hAnsi="Arial"/>
                <w:color w:val="333333"/>
                <w:sz w:val="19"/>
              </w:rPr>
              <w:t>`nombre_archivo_fisico` VARCHAR(255)</w:t>
            </w:r>
          </w:p>
        </w:tc>
        <w:tc>
          <w:tcPr>
            <w:tcW w:type="dxa" w:w="4680"/>
            <w:tcMar>
              <w:top w:w="140" w:type="dxa"/>
              <w:bottom w:w="140" w:type="dxa"/>
              <w:left w:w="200" w:type="dxa"/>
              <w:right w:w="200" w:type="dxa"/>
            </w:tcMar>
          </w:tcPr>
          <w:p>
            <w:r>
              <w:rPr>
                <w:rFonts w:ascii="Arial" w:hAnsi="Arial"/>
                <w:color w:val="333333"/>
                <w:sz w:val="19"/>
              </w:rPr>
              <w:t>Nombre físico anterior del archivo en disco para conservar el histórico.</w:t>
            </w:r>
          </w:p>
        </w:tc>
      </w:tr>
      <w:tr>
        <w:tc>
          <w:tcPr>
            <w:tcW w:type="dxa" w:w="4680"/>
            <w:tcMar>
              <w:top w:w="140" w:type="dxa"/>
              <w:bottom w:w="140" w:type="dxa"/>
              <w:left w:w="200" w:type="dxa"/>
              <w:right w:w="200" w:type="dxa"/>
            </w:tcMar>
          </w:tcPr>
          <w:p>
            <w:r>
              <w:rPr>
                <w:rFonts w:ascii="Arial" w:hAnsi="Arial"/>
                <w:color w:val="333333"/>
                <w:sz w:val="19"/>
              </w:rPr>
              <w:t>`fecha_registro` TIMESTAMP</w:t>
            </w:r>
          </w:p>
        </w:tc>
        <w:tc>
          <w:tcPr>
            <w:tcW w:type="dxa" w:w="4680"/>
            <w:tcMar>
              <w:top w:w="140" w:type="dxa"/>
              <w:bottom w:w="140" w:type="dxa"/>
              <w:left w:w="200" w:type="dxa"/>
              <w:right w:w="200" w:type="dxa"/>
            </w:tcMar>
          </w:tcPr>
          <w:p>
            <w:r>
              <w:rPr>
                <w:rFonts w:ascii="Arial" w:hAnsi="Arial"/>
                <w:color w:val="333333"/>
                <w:sz w:val="19"/>
              </w:rPr>
              <w:t>Fecha y hora exacta en la que se inyectó la nueva versión.</w:t>
            </w:r>
          </w:p>
        </w:tc>
      </w:tr>
      <w:tr>
        <w:tc>
          <w:tcPr>
            <w:tcW w:type="dxa" w:w="4680"/>
            <w:tcMar>
              <w:top w:w="140" w:type="dxa"/>
              <w:bottom w:w="140" w:type="dxa"/>
              <w:left w:w="200" w:type="dxa"/>
              <w:right w:w="200" w:type="dxa"/>
            </w:tcMar>
          </w:tcPr>
          <w:p>
            <w:r>
              <w:rPr>
                <w:rFonts w:ascii="Arial" w:hAnsi="Arial"/>
                <w:color w:val="333333"/>
                <w:sz w:val="19"/>
              </w:rPr>
              <w:t>`empresa_cod` VARCHAR(255)</w:t>
            </w:r>
          </w:p>
        </w:tc>
        <w:tc>
          <w:tcPr>
            <w:tcW w:type="dxa" w:w="4680"/>
            <w:tcMar>
              <w:top w:w="140" w:type="dxa"/>
              <w:bottom w:w="140" w:type="dxa"/>
              <w:left w:w="200" w:type="dxa"/>
              <w:right w:w="200" w:type="dxa"/>
            </w:tcMar>
          </w:tcPr>
          <w:p>
            <w:r>
              <w:rPr>
                <w:rFonts w:ascii="Arial" w:hAnsi="Arial"/>
                <w:color w:val="333333"/>
                <w:sz w:val="19"/>
              </w:rPr>
              <w:t>Código de la empresa u operador que realizó el reemplazo.</w:t>
            </w:r>
          </w:p>
        </w:tc>
      </w:tr>
    </w:tbl>
    <w:p>
      <w:pPr>
        <w:spacing w:after="240"/>
      </w:pPr>
    </w:p>
    <w:p>
      <w:pPr>
        <w:pStyle w:val="Heading2"/>
        <w:spacing w:before="440" w:after="240"/>
      </w:pPr>
      <w:r>
        <w:rPr>
          <w:rFonts w:ascii="Arial" w:hAnsi="Arial"/>
          <w:b/>
          <w:color w:val="0066CC"/>
          <w:sz w:val="26"/>
        </w:rPr>
        <w:t>4.4 Tabla: admin_ups (Administradores y Staff)</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único de la cuenta de staff.</w:t>
            </w:r>
          </w:p>
        </w:tc>
      </w:tr>
      <w:tr>
        <w:tc>
          <w:tcPr>
            <w:tcW w:type="dxa" w:w="4680"/>
            <w:tcMar>
              <w:top w:w="140" w:type="dxa"/>
              <w:bottom w:w="140" w:type="dxa"/>
              <w:left w:w="200" w:type="dxa"/>
              <w:right w:w="200" w:type="dxa"/>
            </w:tcMar>
          </w:tcPr>
          <w:p>
            <w:r>
              <w:rPr>
                <w:rFonts w:ascii="Arial" w:hAnsi="Arial"/>
                <w:color w:val="333333"/>
                <w:sz w:val="19"/>
              </w:rPr>
              <w:t>`nombre` VARCHAR(255)</w:t>
            </w:r>
          </w:p>
        </w:tc>
        <w:tc>
          <w:tcPr>
            <w:tcW w:type="dxa" w:w="4680"/>
            <w:tcMar>
              <w:top w:w="140" w:type="dxa"/>
              <w:bottom w:w="140" w:type="dxa"/>
              <w:left w:w="200" w:type="dxa"/>
              <w:right w:w="200" w:type="dxa"/>
            </w:tcMar>
          </w:tcPr>
          <w:p>
            <w:r>
              <w:rPr>
                <w:rFonts w:ascii="Arial" w:hAnsi="Arial"/>
                <w:color w:val="333333"/>
                <w:sz w:val="19"/>
              </w:rPr>
              <w:t>Nombre completo del administrador de soporte.</w:t>
            </w:r>
          </w:p>
        </w:tc>
      </w:tr>
      <w:tr>
        <w:tc>
          <w:tcPr>
            <w:tcW w:type="dxa" w:w="4680"/>
            <w:tcMar>
              <w:top w:w="140" w:type="dxa"/>
              <w:bottom w:w="140" w:type="dxa"/>
              <w:left w:w="200" w:type="dxa"/>
              <w:right w:w="200" w:type="dxa"/>
            </w:tcMar>
          </w:tcPr>
          <w:p>
            <w:r>
              <w:rPr>
                <w:rFonts w:ascii="Arial" w:hAnsi="Arial"/>
                <w:color w:val="333333"/>
                <w:sz w:val="19"/>
              </w:rPr>
              <w:t>`email` VARCHAR(255) (UNIQUE)</w:t>
            </w:r>
          </w:p>
        </w:tc>
        <w:tc>
          <w:tcPr>
            <w:tcW w:type="dxa" w:w="4680"/>
            <w:tcMar>
              <w:top w:w="140" w:type="dxa"/>
              <w:bottom w:w="140" w:type="dxa"/>
              <w:left w:w="200" w:type="dxa"/>
              <w:right w:w="200" w:type="dxa"/>
            </w:tcMar>
          </w:tcPr>
          <w:p>
            <w:r>
              <w:rPr>
                <w:rFonts w:ascii="Arial" w:hAnsi="Arial"/>
                <w:color w:val="333333"/>
                <w:sz w:val="19"/>
              </w:rPr>
              <w:t>Correo de acceso del administrador al panel.</w:t>
            </w:r>
          </w:p>
        </w:tc>
      </w:tr>
      <w:tr>
        <w:tc>
          <w:tcPr>
            <w:tcW w:type="dxa" w:w="4680"/>
            <w:tcMar>
              <w:top w:w="140" w:type="dxa"/>
              <w:bottom w:w="140" w:type="dxa"/>
              <w:left w:w="200" w:type="dxa"/>
              <w:right w:w="200" w:type="dxa"/>
            </w:tcMar>
          </w:tcPr>
          <w:p>
            <w:r>
              <w:rPr>
                <w:rFonts w:ascii="Arial" w:hAnsi="Arial"/>
                <w:color w:val="333333"/>
                <w:sz w:val="19"/>
              </w:rPr>
              <w:t>`pass` VARCHAR(255)</w:t>
            </w:r>
          </w:p>
        </w:tc>
        <w:tc>
          <w:tcPr>
            <w:tcW w:type="dxa" w:w="4680"/>
            <w:tcMar>
              <w:top w:w="140" w:type="dxa"/>
              <w:bottom w:w="140" w:type="dxa"/>
              <w:left w:w="200" w:type="dxa"/>
              <w:right w:w="200" w:type="dxa"/>
            </w:tcMar>
          </w:tcPr>
          <w:p>
            <w:r>
              <w:rPr>
                <w:rFonts w:ascii="Arial" w:hAnsi="Arial"/>
                <w:color w:val="333333"/>
                <w:sz w:val="19"/>
              </w:rPr>
              <w:t>Contraseña del administrador encriptada en BCrypt.</w:t>
            </w:r>
          </w:p>
        </w:tc>
      </w:tr>
      <w:tr>
        <w:tc>
          <w:tcPr>
            <w:tcW w:type="dxa" w:w="4680"/>
            <w:tcMar>
              <w:top w:w="140" w:type="dxa"/>
              <w:bottom w:w="140" w:type="dxa"/>
              <w:left w:w="200" w:type="dxa"/>
              <w:right w:w="200" w:type="dxa"/>
            </w:tcMar>
          </w:tcPr>
          <w:p>
            <w:r>
              <w:rPr>
                <w:rFonts w:ascii="Arial" w:hAnsi="Arial"/>
                <w:color w:val="333333"/>
                <w:sz w:val="19"/>
              </w:rPr>
              <w:t>`rol` VARCHAR(50)</w:t>
            </w:r>
          </w:p>
        </w:tc>
        <w:tc>
          <w:tcPr>
            <w:tcW w:type="dxa" w:w="4680"/>
            <w:tcMar>
              <w:top w:w="140" w:type="dxa"/>
              <w:bottom w:w="140" w:type="dxa"/>
              <w:left w:w="200" w:type="dxa"/>
              <w:right w:w="200" w:type="dxa"/>
            </w:tcMar>
          </w:tcPr>
          <w:p>
            <w:r>
              <w:rPr>
                <w:rFonts w:ascii="Arial" w:hAnsi="Arial"/>
                <w:color w:val="333333"/>
                <w:sz w:val="19"/>
              </w:rPr>
              <w:t>Rango interno ('Administrador', 'Usuario Estándar', 'Invitado').</w:t>
            </w:r>
          </w:p>
        </w:tc>
      </w:tr>
      <w:tr>
        <w:tc>
          <w:tcPr>
            <w:tcW w:type="dxa" w:w="4680"/>
            <w:tcMar>
              <w:top w:w="140" w:type="dxa"/>
              <w:bottom w:w="140" w:type="dxa"/>
              <w:left w:w="200" w:type="dxa"/>
              <w:right w:w="200" w:type="dxa"/>
            </w:tcMar>
          </w:tcPr>
          <w:p>
            <w:r>
              <w:rPr>
                <w:rFonts w:ascii="Arial" w:hAnsi="Arial"/>
                <w:color w:val="333333"/>
                <w:sz w:val="19"/>
              </w:rPr>
              <w:t>`estatus` VARCHAR(50)</w:t>
            </w:r>
          </w:p>
        </w:tc>
        <w:tc>
          <w:tcPr>
            <w:tcW w:type="dxa" w:w="4680"/>
            <w:tcMar>
              <w:top w:w="140" w:type="dxa"/>
              <w:bottom w:w="140" w:type="dxa"/>
              <w:left w:w="200" w:type="dxa"/>
              <w:right w:w="200" w:type="dxa"/>
            </w:tcMar>
          </w:tcPr>
          <w:p>
            <w:r>
              <w:rPr>
                <w:rFonts w:ascii="Arial" w:hAnsi="Arial"/>
                <w:color w:val="333333"/>
                <w:sz w:val="19"/>
              </w:rPr>
              <w:t>Estado operativo ('Activo', 'Suspendido').</w:t>
            </w:r>
          </w:p>
        </w:tc>
      </w:tr>
    </w:tbl>
    <w:p>
      <w:r>
        <w:br w:type="page"/>
      </w:r>
    </w:p>
    <w:p>
      <w:pPr>
        <w:pStyle w:val="Heading1"/>
        <w:spacing w:before="440" w:after="240"/>
      </w:pPr>
      <w:r>
        <w:rPr>
          <w:rFonts w:ascii="Arial" w:hAnsi="Arial"/>
          <w:b/>
          <w:color w:val="003366"/>
          <w:sz w:val="36"/>
        </w:rPr>
        <w:t>SECCIÓN 5: ESPECIFICACIÓN DE ENDPOINTS (API INTERNA AJAX)</w:t>
      </w:r>
    </w:p>
    <w:p>
      <w:pPr>
        <w:spacing w:before="0" w:after="120"/>
      </w:pPr>
      <w:r>
        <w:rPr>
          <w:rFonts w:ascii="Arial" w:hAnsi="Arial"/>
          <w:color w:val="333333"/>
          <w:sz w:val="20"/>
        </w:rPr>
        <w:t>La comunicación entre las vistas HTML y el servidor PHP se realiza asíncronamente a través del protocolo HTTP POST enviando objetos JSON o FormData. A continuación se listan las acciones y parámetros de cada controlador:</w:t>
      </w:r>
    </w:p>
    <w:p>
      <w:pPr>
        <w:pStyle w:val="Heading2"/>
        <w:spacing w:before="440" w:after="240"/>
      </w:pPr>
      <w:r>
        <w:rPr>
          <w:rFonts w:ascii="Arial" w:hAnsi="Arial"/>
          <w:b/>
          <w:color w:val="0066CC"/>
          <w:sz w:val="26"/>
        </w:rPr>
        <w:t>5.1 API del Portal Cliente (controllers/cliente_procesar.php)</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Acción (POST 'accion')</w:t>
            </w:r>
          </w:p>
        </w:tc>
        <w:tc>
          <w:tcPr>
            <w:tcW w:type="dxa" w:w="4680"/>
            <w:tcMar>
              <w:top w:w="140" w:type="dxa"/>
              <w:bottom w:w="140" w:type="dxa"/>
              <w:left w:w="200" w:type="dxa"/>
              <w:right w:w="200" w:type="dxa"/>
            </w:tcMar>
            <w:shd w:fill="003366"/>
          </w:tcPr>
          <w:p>
            <w:r>
              <w:rPr>
                <w:rFonts w:ascii="Arial" w:hAnsi="Arial"/>
                <w:b/>
                <w:color w:val="FFFFFF"/>
                <w:sz w:val="20"/>
              </w:rPr>
              <w:t>Descripción y Parámetros del Endpoint</w:t>
            </w:r>
          </w:p>
        </w:tc>
      </w:tr>
      <w:tr>
        <w:tc>
          <w:tcPr>
            <w:tcW w:type="dxa" w:w="4680"/>
            <w:tcMar>
              <w:top w:w="140" w:type="dxa"/>
              <w:bottom w:w="140" w:type="dxa"/>
              <w:left w:w="200" w:type="dxa"/>
              <w:right w:w="200" w:type="dxa"/>
            </w:tcMar>
          </w:tcPr>
          <w:p>
            <w:r>
              <w:rPr>
                <w:rFonts w:ascii="Consolas" w:hAnsi="Consolas"/>
                <w:color w:val="333333"/>
                <w:sz w:val="19"/>
              </w:rPr>
              <w:t>listar_documentos</w:t>
            </w:r>
          </w:p>
        </w:tc>
        <w:tc>
          <w:tcPr>
            <w:tcW w:type="dxa" w:w="4680"/>
            <w:tcMar>
              <w:top w:w="140" w:type="dxa"/>
              <w:bottom w:w="140" w:type="dxa"/>
              <w:left w:w="200" w:type="dxa"/>
              <w:right w:w="200" w:type="dxa"/>
            </w:tcMar>
          </w:tcPr>
          <w:p>
            <w:r>
              <w:rPr>
                <w:rFonts w:ascii="Arial" w:hAnsi="Arial"/>
                <w:color w:val="333333"/>
                <w:sz w:val="19"/>
              </w:rPr>
              <w:t>Parámetros: Ninguno (lee de la sesión activa).</w:t>
              <w:br/>
              <w:t>Retorna: Un JSON con la lista de documentos, calculando dinámicamente su porcentaje de vigencia y semáforo correspondiente.</w:t>
            </w:r>
          </w:p>
        </w:tc>
      </w:tr>
      <w:tr>
        <w:tc>
          <w:tcPr>
            <w:tcW w:type="dxa" w:w="4680"/>
            <w:tcMar>
              <w:top w:w="140" w:type="dxa"/>
              <w:bottom w:w="140" w:type="dxa"/>
              <w:left w:w="200" w:type="dxa"/>
              <w:right w:w="200" w:type="dxa"/>
            </w:tcMar>
          </w:tcPr>
          <w:p>
            <w:r>
              <w:rPr>
                <w:rFonts w:ascii="Consolas" w:hAnsi="Consolas"/>
                <w:color w:val="333333"/>
                <w:sz w:val="19"/>
              </w:rPr>
              <w:t>listar_mis_nodos</w:t>
            </w:r>
          </w:p>
        </w:tc>
        <w:tc>
          <w:tcPr>
            <w:tcW w:type="dxa" w:w="4680"/>
            <w:tcMar>
              <w:top w:w="140" w:type="dxa"/>
              <w:bottom w:w="140" w:type="dxa"/>
              <w:left w:w="200" w:type="dxa"/>
              <w:right w:w="200" w:type="dxa"/>
            </w:tcMar>
          </w:tcPr>
          <w:p>
            <w:r>
              <w:rPr>
                <w:rFonts w:ascii="Arial" w:hAnsi="Arial"/>
                <w:color w:val="333333"/>
                <w:sz w:val="19"/>
              </w:rPr>
              <w:t>Parámetros: Ninguno.</w:t>
              <w:br/>
              <w:t>Retorna: JSON con el listado de empresas y sucursales dadas de alta por el Consultor, alimentando dinámicamente los selectores de subida de archivos.</w:t>
            </w:r>
          </w:p>
        </w:tc>
      </w:tr>
      <w:tr>
        <w:tc>
          <w:tcPr>
            <w:tcW w:type="dxa" w:w="4680"/>
            <w:tcMar>
              <w:top w:w="140" w:type="dxa"/>
              <w:bottom w:w="140" w:type="dxa"/>
              <w:left w:w="200" w:type="dxa"/>
              <w:right w:w="200" w:type="dxa"/>
            </w:tcMar>
          </w:tcPr>
          <w:p>
            <w:r>
              <w:rPr>
                <w:rFonts w:ascii="Consolas" w:hAnsi="Consolas"/>
                <w:color w:val="333333"/>
                <w:sz w:val="19"/>
              </w:rPr>
              <w:t>crear_usuario_operativo</w:t>
            </w:r>
          </w:p>
        </w:tc>
        <w:tc>
          <w:tcPr>
            <w:tcW w:type="dxa" w:w="4680"/>
            <w:tcMar>
              <w:top w:w="140" w:type="dxa"/>
              <w:bottom w:w="140" w:type="dxa"/>
              <w:left w:w="200" w:type="dxa"/>
              <w:right w:w="200" w:type="dxa"/>
            </w:tcMar>
          </w:tcPr>
          <w:p>
            <w:r>
              <w:rPr>
                <w:rFonts w:ascii="Arial" w:hAnsi="Arial"/>
                <w:color w:val="333333"/>
                <w:sz w:val="19"/>
              </w:rPr>
              <w:t>Parámetros (FormData): userNombre, userEmail, userRol, userSucursal, userLogo (opcional), userDireccion, userCoordenadas.</w:t>
              <w:br/>
              <w:t>Procesa: Valida el archivo del logotipo (máx 5MB, JPG/PNG), lo sube física y encriptadamente, y crea la cuenta del colaborador en la base de datos.</w:t>
            </w:r>
          </w:p>
        </w:tc>
      </w:tr>
      <w:tr>
        <w:tc>
          <w:tcPr>
            <w:tcW w:type="dxa" w:w="4680"/>
            <w:tcMar>
              <w:top w:w="140" w:type="dxa"/>
              <w:bottom w:w="140" w:type="dxa"/>
              <w:left w:w="200" w:type="dxa"/>
              <w:right w:w="200" w:type="dxa"/>
            </w:tcMar>
          </w:tcPr>
          <w:p>
            <w:r>
              <w:rPr>
                <w:rFonts w:ascii="Consolas" w:hAnsi="Consolas"/>
                <w:color w:val="333333"/>
                <w:sz w:val="19"/>
              </w:rPr>
              <w:t>suspender_documento</w:t>
            </w:r>
          </w:p>
        </w:tc>
        <w:tc>
          <w:tcPr>
            <w:tcW w:type="dxa" w:w="4680"/>
            <w:tcMar>
              <w:top w:w="140" w:type="dxa"/>
              <w:bottom w:w="140" w:type="dxa"/>
              <w:left w:w="200" w:type="dxa"/>
              <w:right w:w="200" w:type="dxa"/>
            </w:tcMar>
          </w:tcPr>
          <w:p>
            <w:r>
              <w:rPr>
                <w:rFonts w:ascii="Arial" w:hAnsi="Arial"/>
                <w:color w:val="333333"/>
                <w:sz w:val="19"/>
              </w:rPr>
              <w:t>Parámetros: doc_id.</w:t>
              <w:br/>
              <w:t>Cambia el estatus del expediente a activo = 0 en la tabla documentos_pc.</w:t>
            </w:r>
          </w:p>
        </w:tc>
      </w:tr>
      <w:tr>
        <w:tc>
          <w:tcPr>
            <w:tcW w:type="dxa" w:w="4680"/>
            <w:tcMar>
              <w:top w:w="140" w:type="dxa"/>
              <w:bottom w:w="140" w:type="dxa"/>
              <w:left w:w="200" w:type="dxa"/>
              <w:right w:w="200" w:type="dxa"/>
            </w:tcMar>
          </w:tcPr>
          <w:p>
            <w:r>
              <w:rPr>
                <w:rFonts w:ascii="Consolas" w:hAnsi="Consolas"/>
                <w:color w:val="333333"/>
                <w:sz w:val="19"/>
              </w:rPr>
              <w:t>actualizar_documento</w:t>
            </w:r>
          </w:p>
        </w:tc>
        <w:tc>
          <w:tcPr>
            <w:tcW w:type="dxa" w:w="4680"/>
            <w:tcMar>
              <w:top w:w="140" w:type="dxa"/>
              <w:bottom w:w="140" w:type="dxa"/>
              <w:left w:w="200" w:type="dxa"/>
              <w:right w:w="200" w:type="dxa"/>
            </w:tcMar>
          </w:tcPr>
          <w:p>
            <w:r>
              <w:rPr>
                <w:rFonts w:ascii="Arial" w:hAnsi="Arial"/>
                <w:color w:val="333333"/>
                <w:sz w:val="19"/>
              </w:rPr>
              <w:t>Parámetros (FormData): doc_id, docFile.</w:t>
              <w:br/>
              <w:t>Procesa: Mueve la versión anterior del archivo a la tabla de históricos en base de datos y carga el nuevo PDF/imagen.</w:t>
            </w:r>
          </w:p>
        </w:tc>
      </w:tr>
    </w:tbl>
    <w:p>
      <w:pPr>
        <w:spacing w:after="240"/>
      </w:pPr>
    </w:p>
    <w:p>
      <w:pPr>
        <w:pStyle w:val="Heading2"/>
        <w:spacing w:before="440" w:after="240"/>
      </w:pPr>
      <w:r>
        <w:rPr>
          <w:rFonts w:ascii="Arial" w:hAnsi="Arial"/>
          <w:b/>
          <w:color w:val="0066CC"/>
          <w:sz w:val="26"/>
        </w:rPr>
        <w:t>5.2 API Administrativa (controllers/ups_procesar.php)</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Acción (POST 'accion')</w:t>
            </w:r>
          </w:p>
        </w:tc>
        <w:tc>
          <w:tcPr>
            <w:tcW w:type="dxa" w:w="4680"/>
            <w:tcMar>
              <w:top w:w="140" w:type="dxa"/>
              <w:bottom w:w="140" w:type="dxa"/>
              <w:left w:w="200" w:type="dxa"/>
              <w:right w:w="200" w:type="dxa"/>
            </w:tcMar>
            <w:shd w:fill="003366"/>
          </w:tcPr>
          <w:p>
            <w:r>
              <w:rPr>
                <w:rFonts w:ascii="Arial" w:hAnsi="Arial"/>
                <w:b/>
                <w:color w:val="FFFFFF"/>
                <w:sz w:val="20"/>
              </w:rPr>
              <w:t>Descripción y Parámetros del Endpoint</w:t>
            </w:r>
          </w:p>
        </w:tc>
      </w:tr>
      <w:tr>
        <w:tc>
          <w:tcPr>
            <w:tcW w:type="dxa" w:w="4680"/>
            <w:tcMar>
              <w:top w:w="140" w:type="dxa"/>
              <w:bottom w:w="140" w:type="dxa"/>
              <w:left w:w="200" w:type="dxa"/>
              <w:right w:w="200" w:type="dxa"/>
            </w:tcMar>
          </w:tcPr>
          <w:p>
            <w:r>
              <w:rPr>
                <w:rFonts w:ascii="Consolas" w:hAnsi="Consolas"/>
                <w:color w:val="333333"/>
                <w:sz w:val="19"/>
              </w:rPr>
              <w:t>registrar_nueva_empresa</w:t>
            </w:r>
          </w:p>
        </w:tc>
        <w:tc>
          <w:tcPr>
            <w:tcW w:type="dxa" w:w="4680"/>
            <w:tcMar>
              <w:top w:w="140" w:type="dxa"/>
              <w:bottom w:w="140" w:type="dxa"/>
              <w:left w:w="200" w:type="dxa"/>
              <w:right w:w="200" w:type="dxa"/>
            </w:tcMar>
          </w:tcPr>
          <w:p>
            <w:r>
              <w:rPr>
                <w:rFonts w:ascii="Arial" w:hAnsi="Arial"/>
                <w:color w:val="333333"/>
                <w:sz w:val="19"/>
              </w:rPr>
              <w:t>Parámetros (FormData): nombre, cod (en consultores), encargado, email, director_email, telefono_principal, telefono_adicional, direccion, coordenadas, logo (opcional), pass, rango.</w:t>
              <w:br/>
              <w:t>Procesa: Crea la cuenta y la carpeta física en disco, aplicando BCrypt a la contraseña.</w:t>
            </w:r>
          </w:p>
        </w:tc>
      </w:tr>
      <w:tr>
        <w:tc>
          <w:tcPr>
            <w:tcW w:type="dxa" w:w="4680"/>
            <w:tcMar>
              <w:top w:w="140" w:type="dxa"/>
              <w:bottom w:w="140" w:type="dxa"/>
              <w:left w:w="200" w:type="dxa"/>
              <w:right w:w="200" w:type="dxa"/>
            </w:tcMar>
          </w:tcPr>
          <w:p>
            <w:r>
              <w:rPr>
                <w:rFonts w:ascii="Consolas" w:hAnsi="Consolas"/>
                <w:color w:val="333333"/>
                <w:sz w:val="19"/>
              </w:rPr>
              <w:t>editar_empresa_cliente</w:t>
            </w:r>
          </w:p>
        </w:tc>
        <w:tc>
          <w:tcPr>
            <w:tcW w:type="dxa" w:w="4680"/>
            <w:tcMar>
              <w:top w:w="140" w:type="dxa"/>
              <w:bottom w:w="140" w:type="dxa"/>
              <w:left w:w="200" w:type="dxa"/>
              <w:right w:w="200" w:type="dxa"/>
            </w:tcMar>
          </w:tcPr>
          <w:p>
            <w:r>
              <w:rPr>
                <w:rFonts w:ascii="Arial" w:hAnsi="Arial"/>
                <w:color w:val="333333"/>
                <w:sz w:val="19"/>
              </w:rPr>
              <w:t>Parámetros (FormData): empresa_id, nombre, encargado, email, director_email, telefono_principal, telefono_adicional, direccion, coordenadas, logo (opcional), pass (opcional).</w:t>
              <w:br/>
              <w:t>Procesa: Aplica los cambios de metadatos de la licencia y refresca los selectores dinámicos del panel.</w:t>
            </w:r>
          </w:p>
        </w:tc>
      </w:tr>
      <w:tr>
        <w:tc>
          <w:tcPr>
            <w:tcW w:type="dxa" w:w="4680"/>
            <w:tcMar>
              <w:top w:w="140" w:type="dxa"/>
              <w:bottom w:w="140" w:type="dxa"/>
              <w:left w:w="200" w:type="dxa"/>
              <w:right w:w="200" w:type="dxa"/>
            </w:tcMar>
          </w:tcPr>
          <w:p>
            <w:r>
              <w:rPr>
                <w:rFonts w:ascii="Consolas" w:hAnsi="Consolas"/>
                <w:color w:val="333333"/>
                <w:sz w:val="19"/>
              </w:rPr>
              <w:t>cambiar_estatus_licencia</w:t>
            </w:r>
          </w:p>
        </w:tc>
        <w:tc>
          <w:tcPr>
            <w:tcW w:type="dxa" w:w="4680"/>
            <w:tcMar>
              <w:top w:w="140" w:type="dxa"/>
              <w:bottom w:w="140" w:type="dxa"/>
              <w:left w:w="200" w:type="dxa"/>
              <w:right w:w="200" w:type="dxa"/>
            </w:tcMar>
          </w:tcPr>
          <w:p>
            <w:r>
              <w:rPr>
                <w:rFonts w:ascii="Arial" w:hAnsi="Arial"/>
                <w:color w:val="333333"/>
                <w:sz w:val="19"/>
              </w:rPr>
              <w:t>Parámetros: empresa_id, activo.</w:t>
              <w:br/>
              <w:t>Cambia la bandera de estatus de la licencia (1 = Permitido, 0 = Acceso denegado global).</w:t>
            </w:r>
          </w:p>
        </w:tc>
      </w:tr>
    </w:tbl>
    <w:p>
      <w:r>
        <w:br w:type="page"/>
      </w:r>
    </w:p>
    <w:p>
      <w:pPr>
        <w:pStyle w:val="Heading1"/>
        <w:spacing w:before="440" w:after="240"/>
      </w:pPr>
      <w:r>
        <w:rPr>
          <w:rFonts w:ascii="Arial" w:hAnsi="Arial"/>
          <w:b/>
          <w:color w:val="003366"/>
          <w:sz w:val="36"/>
        </w:rPr>
        <w:t>SECCIÓN 6: RESPALDOS, RENDIMIENTO Y SEGURIDAD</w:t>
      </w:r>
    </w:p>
    <w:p>
      <w:pPr>
        <w:pStyle w:val="Heading2"/>
        <w:spacing w:before="440" w:after="240"/>
      </w:pPr>
      <w:r>
        <w:rPr>
          <w:rFonts w:ascii="Arial" w:hAnsi="Arial"/>
          <w:b/>
          <w:color w:val="0066CC"/>
          <w:sz w:val="26"/>
        </w:rPr>
        <w:t>6.1 Optimización del Archivo php.ini para Carga de Expedientes:</w:t>
      </w:r>
    </w:p>
    <w:p>
      <w:pPr>
        <w:spacing w:before="0" w:after="120"/>
      </w:pPr>
      <w:r>
        <w:rPr>
          <w:rFonts w:ascii="Arial" w:hAnsi="Arial"/>
          <w:color w:val="333333"/>
          <w:sz w:val="20"/>
        </w:rPr>
        <w:t>Debido a que el portal de clientes procesa expedientes pesados de alta resolución, la configuración por defecto de PHP en un hosting nuevo suele fallar al superar los 2MB de carga. Es necesario ajustar las siguientes directivas en el archivo php.ini de su servidor:</w:t>
      </w:r>
    </w:p>
    <w:p>
      <w:pPr>
        <w:spacing w:before="160" w:after="160"/>
        <w:ind w:left="360"/>
        <w:shd w:fill="F8FAFC"/>
      </w:pPr>
      <w:r>
        <w:rPr>
          <w:rFonts w:ascii="Consolas" w:hAnsi="Consolas"/>
          <w:color w:val="1E293B"/>
          <w:sz w:val="18"/>
        </w:rPr>
        <w:t>; Configuración recomendada para carga de archivos grandes</w:t>
        <w:br/>
        <w:t>upload_max_filesize = 50M      ; Límite de tamaño máximo por archivo PDF/imagen</w:t>
        <w:br/>
        <w:t>post_max_size = 55M            ; Límite máximo de datos enviados en una solicitud POST</w:t>
        <w:br/>
        <w:t>memory_limit = 128M            ; Memoria RAM máxima para procesamiento de scripts</w:t>
        <w:br/>
        <w:t>max_execution_time = 300       ; Tiempo máximo de ejecución del script (5 minutos)</w:t>
        <w:br/>
        <w:t>max_input_time = 300           ; Tiempo máximo para recibir datos del cliente</w:t>
      </w:r>
    </w:p>
    <w:p>
      <w:pPr>
        <w:pStyle w:val="Heading2"/>
        <w:spacing w:before="440" w:after="240"/>
      </w:pPr>
      <w:r>
        <w:rPr>
          <w:rFonts w:ascii="Arial" w:hAnsi="Arial"/>
          <w:b/>
          <w:color w:val="0066CC"/>
          <w:sz w:val="26"/>
        </w:rPr>
        <w:t>6.2 Plan de Respaldos de Base de Datos y Archivos:</w:t>
      </w:r>
    </w:p>
    <w:p>
      <w:pPr>
        <w:spacing w:before="0" w:after="120"/>
      </w:pPr>
      <w:r>
        <w:rPr>
          <w:rFonts w:ascii="Arial" w:hAnsi="Arial"/>
          <w:color w:val="333333"/>
          <w:sz w:val="20"/>
        </w:rPr>
        <w:t>Para garantizar la recuperación del software ante caídas de hardware o ataques maliciosos, se deben programar respaldos automatizados diariamente en el programador del servidor.</w:t>
      </w:r>
    </w:p>
    <w:p>
      <w:pPr>
        <w:spacing w:before="0" w:after="120"/>
      </w:pPr>
      <w:r>
        <w:rPr>
          <w:rFonts w:ascii="Arial" w:hAnsi="Arial"/>
          <w:b/>
          <w:color w:val="333333"/>
          <w:sz w:val="20"/>
        </w:rPr>
        <w:t>En VPS Linux (Script de Respaldo):</w:t>
      </w:r>
      <w:r>
        <w:rPr>
          <w:rFonts w:ascii="Arial" w:hAnsi="Arial"/>
          <w:color w:val="333333"/>
          <w:sz w:val="20"/>
        </w:rPr>
        <w:t xml:space="preserve"> Cree un archivo script en Bash (ej: backup.sh) en su servidor Linux, y prográmelo en crontab para ejecutarse a las 11:00 PM de forma diaria:</w:t>
      </w:r>
    </w:p>
    <w:p>
      <w:pPr>
        <w:spacing w:before="160" w:after="160"/>
        <w:ind w:left="360"/>
        <w:shd w:fill="F8FAFC"/>
      </w:pPr>
      <w:r>
        <w:rPr>
          <w:rFonts w:ascii="Consolas" w:hAnsi="Consolas"/>
          <w:color w:val="1E293B"/>
          <w:sz w:val="18"/>
        </w:rPr>
        <w:t>#!/bin/bash</w:t>
        <w:br/>
        <w:t>BACKUP_DIR="/home/usuario/backups/db"</w:t>
        <w:br/>
        <w:t>DB_NAME="upgrade_systems"</w:t>
        <w:br/>
        <w:t>DB_USER="usuario_db"</w:t>
        <w:br/>
        <w:t>DB_PASS="contraseña_db"</w:t>
        <w:br/>
        <w:t>DATE=$(date +"%Y-%m-%d_%H-%M-%S")</w:t>
        <w:br/>
        <w:br/>
        <w:t>mysqldump -u$DB_USER -p$DB_PASS $DB_NAME &gt; $BACKUP_DIR/db_backup_$DATE.sql</w:t>
        <w:br/>
        <w:t>tar -czf /home/usuario/backups/files/files_$DATE.tar.gz /var/www/html/uploads_dictamenes/</w:t>
        <w:br/>
        <w:br/>
        <w:t>find $BACKUP_DIR -type f -mtime +15 -delete # Conservar históricos de los últimos 15 días</w:t>
      </w:r>
    </w:p>
    <w:p>
      <w:pPr>
        <w:spacing w:before="0" w:after="120"/>
      </w:pPr>
      <w:r>
        <w:rPr>
          <w:rFonts w:ascii="Arial" w:hAnsi="Arial"/>
          <w:b/>
          <w:color w:val="333333"/>
          <w:sz w:val="20"/>
        </w:rPr>
        <w:t>En Servidor Windows (Batch Command):</w:t>
      </w:r>
      <w:r>
        <w:rPr>
          <w:rFonts w:ascii="Arial" w:hAnsi="Arial"/>
          <w:color w:val="333333"/>
          <w:sz w:val="20"/>
        </w:rPr>
        <w:t xml:space="preserve"> Cree un archivo batch (ej: backup.bat) en su servidor Windows, y prográmelo en el Programador de Tareas:</w:t>
      </w:r>
    </w:p>
    <w:p>
      <w:pPr>
        <w:spacing w:before="160" w:after="160"/>
        <w:ind w:left="360"/>
        <w:shd w:fill="F8FAFC"/>
      </w:pPr>
      <w:r>
        <w:rPr>
          <w:rFonts w:ascii="Consolas" w:hAnsi="Consolas"/>
          <w:color w:val="1E293B"/>
          <w:sz w:val="18"/>
        </w:rPr>
        <w:t>@echo off</w:t>
        <w:br/>
        <w:t>set BACKUP_DIR=C:\xampp\backups</w:t>
        <w:br/>
        <w:t>set DB_NAME=upgrade_systems</w:t>
        <w:br/>
        <w:t>set DB_USER=root</w:t>
        <w:br/>
        <w:t>set DATE=%date:~10,4%-%date:~4,2%-%date:~7,2%_%time:~0,2%-%time:~3,2%-%time:~6,2%</w:t>
        <w:br/>
        <w:t>set DATE=%DATE: =0%</w:t>
        <w:br/>
        <w:br/>
        <w:t>C:\xampp\mysql\bin\mysqldump.exe -u%DB_USER% %DB_NAME% &gt; %BACKUP_DIR%\backup_%DATE%.sql</w:t>
      </w:r>
    </w:p>
    <w:p>
      <w:r>
        <w:br w:type="page"/>
      </w:r>
    </w:p>
    <w:p>
      <w:pPr>
        <w:pStyle w:val="Heading1"/>
        <w:spacing w:before="440" w:after="240"/>
      </w:pPr>
      <w:r>
        <w:rPr>
          <w:rFonts w:ascii="Arial" w:hAnsi="Arial"/>
          <w:b/>
          <w:color w:val="003366"/>
          <w:sz w:val="36"/>
        </w:rPr>
        <w:t>SECCIÓN 7: GUÍA DE PERSONALIZACIÓN Y MARCA BLANCA (WHITELABELING)</w:t>
      </w:r>
    </w:p>
    <w:p>
      <w:pPr>
        <w:spacing w:before="0" w:after="120"/>
      </w:pPr>
      <w:r>
        <w:rPr>
          <w:rFonts w:ascii="Arial" w:hAnsi="Arial"/>
          <w:color w:val="333333"/>
          <w:sz w:val="20"/>
        </w:rPr>
        <w:t>El sistema está diseñado de manera que es extremadamente sencillo cambiar su identidad visual (colores principales, tipografías, logotipos e imágenes de inicio de sesión) para re-etiquetarlo y venderlo a múltiples clientes independientes.</w:t>
      </w:r>
    </w:p>
    <w:p>
      <w:pPr>
        <w:pStyle w:val="Heading2"/>
        <w:spacing w:before="440" w:after="240"/>
      </w:pPr>
      <w:r>
        <w:rPr>
          <w:rFonts w:ascii="Arial" w:hAnsi="Arial"/>
          <w:b/>
          <w:color w:val="0066CC"/>
          <w:sz w:val="26"/>
        </w:rPr>
        <w:t>7.1 Modificar la Paleta de Colores en CSS:</w:t>
      </w:r>
    </w:p>
    <w:p>
      <w:pPr>
        <w:spacing w:before="0" w:after="120"/>
      </w:pPr>
      <w:r>
        <w:rPr>
          <w:rFonts w:ascii="Arial" w:hAnsi="Arial"/>
          <w:color w:val="333333"/>
          <w:sz w:val="20"/>
        </w:rPr>
        <w:t>Los colores principales de la aplicación se definen mediante Variables CSS en el archivo /public/cliente/css/index.css (para el cliente) y /public/admin/css/index.css (para la administración). Modifique estos valores para redefinir el esquema visual:</w:t>
      </w:r>
    </w:p>
    <w:p>
      <w:pPr>
        <w:spacing w:before="160" w:after="160"/>
        <w:ind w:left="360"/>
        <w:shd w:fill="F8FAFC"/>
      </w:pPr>
      <w:r>
        <w:rPr>
          <w:rFonts w:ascii="Consolas" w:hAnsi="Consolas"/>
          <w:color w:val="1E293B"/>
          <w:sz w:val="18"/>
        </w:rPr>
        <w:t>:root {</w:t>
        <w:br/>
        <w:t xml:space="preserve">    --ups-blue: #0f172a;       ; Fondo principal de la barra lateral (Oscuro)</w:t>
        <w:br/>
        <w:t xml:space="preserve">    --ups-blue-light: #1e293b; ; Fondo secundario de navegación</w:t>
        <w:br/>
        <w:t xml:space="preserve">    --ups-accent: #0284c7;     ; Color de acento primario (Botones, enlaces)</w:t>
        <w:br/>
        <w:t xml:space="preserve">    --accent-orange: #f97316;  ; Color de acento secundario</w:t>
        <w:br/>
        <w:t xml:space="preserve">    --accent-green: #10b981;   ; Color para semáforo verde / seguro</w:t>
        <w:br/>
        <w:t xml:space="preserve">    --accent-yellow: #eab308;  ; Color para semáforo amarillo / preventivo</w:t>
        <w:br/>
        <w:t xml:space="preserve">    --accent-red: #ef4444;     ; Color para semáforo rojo / crítico</w:t>
        <w:br/>
        <w:t xml:space="preserve">    --bg-main: #f8fafc;        ; Fondo de la interfaz principal</w:t>
        <w:br/>
        <w:t>}</w:t>
      </w:r>
    </w:p>
    <w:p>
      <w:pPr>
        <w:pStyle w:val="Heading2"/>
        <w:spacing w:before="440" w:after="240"/>
      </w:pPr>
      <w:r>
        <w:rPr>
          <w:rFonts w:ascii="Arial" w:hAnsi="Arial"/>
          <w:b/>
          <w:color w:val="0066CC"/>
          <w:sz w:val="26"/>
        </w:rPr>
        <w:t>7.2 Reemplazar Imágenes de Portada y Logotipos:</w:t>
      </w:r>
    </w:p>
    <w:p>
      <w:pPr>
        <w:spacing w:before="0" w:after="120"/>
      </w:pPr>
      <w:r>
        <w:rPr>
          <w:rFonts w:ascii="Arial" w:hAnsi="Arial"/>
          <w:b/>
          <w:color w:val="333333"/>
          <w:sz w:val="20"/>
        </w:rPr>
        <w:t>Fondo de Login:</w:t>
      </w:r>
      <w:r>
        <w:rPr>
          <w:rFonts w:ascii="Arial" w:hAnsi="Arial"/>
          <w:color w:val="333333"/>
          <w:sz w:val="20"/>
        </w:rPr>
        <w:t xml:space="preserve"> Para cambiar el fondo del inicio de sesión (que muestra el Camaro azul clásico), edite la directiva background-image en /public/cliente/css/login.css y /public/admin/css/login.css y reemplace el archivo físico en la ruta correspondiente.</w:t>
      </w:r>
    </w:p>
    <w:p>
      <w:pPr>
        <w:spacing w:before="0" w:after="120"/>
      </w:pPr>
      <w:r>
        <w:rPr>
          <w:rFonts w:ascii="Arial" w:hAnsi="Arial"/>
          <w:b/>
          <w:color w:val="333333"/>
          <w:sz w:val="20"/>
        </w:rPr>
        <w:t>Logotipo General:</w:t>
      </w:r>
      <w:r>
        <w:rPr>
          <w:rFonts w:ascii="Arial" w:hAnsi="Arial"/>
          <w:color w:val="333333"/>
          <w:sz w:val="20"/>
        </w:rPr>
        <w:t xml:space="preserve"> El sistema carga logotipos comerciales para cada empresa. Si desea configurar un logotipo por defecto para el sistema principal, modifique la plantilla HTML en /public/cliente/index.html y apunte a la imagen por defecto deseada.</w:t>
      </w:r>
    </w:p>
    <w:p>
      <w:pPr>
        <w:pStyle w:val="Heading2"/>
        <w:spacing w:before="440" w:after="240"/>
      </w:pPr>
      <w:r>
        <w:rPr>
          <w:rFonts w:ascii="Arial" w:hAnsi="Arial"/>
          <w:b/>
          <w:color w:val="0066CC"/>
          <w:sz w:val="26"/>
        </w:rPr>
        <w:t>7.3 Personalización de Plantillas de Correo:</w:t>
      </w:r>
    </w:p>
    <w:p>
      <w:pPr>
        <w:spacing w:before="0" w:after="120"/>
      </w:pPr>
      <w:r>
        <w:rPr>
          <w:rFonts w:ascii="Arial" w:hAnsi="Arial"/>
          <w:color w:val="333333"/>
          <w:sz w:val="20"/>
        </w:rPr>
        <w:t>Las firmas y asuntos de los correos automatizados se definen en el script backend controllers/alertas_automaticas.php y controllers/cliente_procesar.php. Reemplace los valores por defecto (ej: 'Atentamente, Xonexka' o 'Atentamente, Upgrade Systems') para re-etiquetar el origen de las notificaciones normativas.</w:t>
      </w:r>
    </w:p>
    <w:p>
      <w:r>
        <w:br w:type="page"/>
      </w:r>
    </w:p>
    <w:p>
      <w:pPr>
        <w:pStyle w:val="Heading1"/>
        <w:spacing w:before="440" w:after="240"/>
      </w:pPr>
      <w:r>
        <w:rPr>
          <w:rFonts w:ascii="Arial" w:hAnsi="Arial"/>
          <w:b/>
          <w:color w:val="003366"/>
          <w:sz w:val="36"/>
        </w:rPr>
        <w:t>SECCIÓN 8: CASOS DE PRUEBA DE CALIDAD (QA TEST CASES)</w:t>
      </w:r>
    </w:p>
    <w:p>
      <w:pPr>
        <w:spacing w:before="0" w:after="120"/>
      </w:pPr>
      <w:r>
        <w:rPr>
          <w:rFonts w:ascii="Arial" w:hAnsi="Arial"/>
          <w:color w:val="333333"/>
          <w:sz w:val="20"/>
        </w:rPr>
        <w:t>Esta sección provee una guía formal de aseguramiento de calidad (QA) para que los probadores del sistema validen el correcto funcionamiento de cada módulo comercial antes de entregarlo al cliente final:</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Caso de Prueba y Datos de Entrada</w:t>
            </w:r>
          </w:p>
        </w:tc>
        <w:tc>
          <w:tcPr>
            <w:tcW w:type="dxa" w:w="4680"/>
            <w:tcMar>
              <w:top w:w="140" w:type="dxa"/>
              <w:bottom w:w="140" w:type="dxa"/>
              <w:left w:w="200" w:type="dxa"/>
              <w:right w:w="200" w:type="dxa"/>
            </w:tcMar>
            <w:shd w:fill="003366"/>
          </w:tcPr>
          <w:p>
            <w:r>
              <w:rPr>
                <w:rFonts w:ascii="Arial" w:hAnsi="Arial"/>
                <w:b/>
                <w:color w:val="FFFFFF"/>
                <w:sz w:val="20"/>
              </w:rPr>
              <w:t>Procedimiento de Validación y Resultado Esperado</w:t>
            </w:r>
          </w:p>
        </w:tc>
      </w:tr>
      <w:tr>
        <w:tc>
          <w:tcPr>
            <w:tcW w:type="dxa" w:w="4680"/>
            <w:tcMar>
              <w:top w:w="140" w:type="dxa"/>
              <w:bottom w:w="140" w:type="dxa"/>
              <w:left w:w="200" w:type="dxa"/>
              <w:right w:w="200" w:type="dxa"/>
            </w:tcMar>
          </w:tcPr>
          <w:p>
            <w:r>
              <w:rPr>
                <w:rFonts w:ascii="Arial" w:hAnsi="Arial"/>
                <w:color w:val="333333"/>
                <w:sz w:val="19"/>
              </w:rPr>
              <w:t>TC-01: Autenticación Fallida</w:t>
              <w:br/>
              <w:t>• Entrar a login.html</w:t>
              <w:br/>
              <w:t>• Introducir usuario o clave incorrectos.</w:t>
            </w:r>
          </w:p>
        </w:tc>
        <w:tc>
          <w:tcPr>
            <w:tcW w:type="dxa" w:w="4680"/>
            <w:tcMar>
              <w:top w:w="140" w:type="dxa"/>
              <w:bottom w:w="140" w:type="dxa"/>
              <w:left w:w="200" w:type="dxa"/>
              <w:right w:w="200" w:type="dxa"/>
            </w:tcMar>
          </w:tcPr>
          <w:p>
            <w:r>
              <w:rPr>
                <w:rFonts w:ascii="Arial" w:hAnsi="Arial"/>
                <w:color w:val="333333"/>
                <w:sz w:val="19"/>
              </w:rPr>
              <w:t>Al presionar 'Entrar', el sistema debe mostrar un popup Toast de color rojo indicando 'Credenciales incorrectas'. No debe redirigir ni guardar tokens en localstorage.</w:t>
            </w:r>
          </w:p>
        </w:tc>
      </w:tr>
      <w:tr>
        <w:tc>
          <w:tcPr>
            <w:tcW w:type="dxa" w:w="4680"/>
            <w:tcMar>
              <w:top w:w="140" w:type="dxa"/>
              <w:bottom w:w="140" w:type="dxa"/>
              <w:left w:w="200" w:type="dxa"/>
              <w:right w:w="200" w:type="dxa"/>
            </w:tcMar>
          </w:tcPr>
          <w:p>
            <w:r>
              <w:rPr>
                <w:rFonts w:ascii="Arial" w:hAnsi="Arial"/>
                <w:color w:val="333333"/>
                <w:sz w:val="19"/>
              </w:rPr>
              <w:t>TC-02: Aprovisionamiento de Consultor</w:t>
              <w:br/>
              <w:t>• Crear Consultor con ID 'BMW'</w:t>
              <w:br/>
              <w:t>• Cargar coordenadas geográficas.</w:t>
            </w:r>
          </w:p>
        </w:tc>
        <w:tc>
          <w:tcPr>
            <w:tcW w:type="dxa" w:w="4680"/>
            <w:tcMar>
              <w:top w:w="140" w:type="dxa"/>
              <w:bottom w:w="140" w:type="dxa"/>
              <w:left w:w="200" w:type="dxa"/>
              <w:right w:w="200" w:type="dxa"/>
            </w:tcMar>
          </w:tcPr>
          <w:p>
            <w:r>
              <w:rPr>
                <w:rFonts w:ascii="Arial" w:hAnsi="Arial"/>
                <w:color w:val="333333"/>
                <w:sz w:val="19"/>
              </w:rPr>
              <w:t>Al presionar 'Desplegar', el sistema debe crear al usuario en la BD, generar la carpeta uploads_dictamenes/BMW/ en disco y redirigir con éxito.</w:t>
            </w:r>
          </w:p>
        </w:tc>
      </w:tr>
      <w:tr>
        <w:tc>
          <w:tcPr>
            <w:tcW w:type="dxa" w:w="4680"/>
            <w:tcMar>
              <w:top w:w="140" w:type="dxa"/>
              <w:bottom w:w="140" w:type="dxa"/>
              <w:left w:w="200" w:type="dxa"/>
              <w:right w:w="200" w:type="dxa"/>
            </w:tcMar>
          </w:tcPr>
          <w:p>
            <w:r>
              <w:rPr>
                <w:rFonts w:ascii="Arial" w:hAnsi="Arial"/>
                <w:color w:val="333333"/>
                <w:sz w:val="19"/>
              </w:rPr>
              <w:t>TC-03: Bloqueo de ID Duplicado</w:t>
              <w:br/>
              <w:t>• Intentar crear un nuevo Consultor con el mismo ID 'BMW'.</w:t>
            </w:r>
          </w:p>
        </w:tc>
        <w:tc>
          <w:tcPr>
            <w:tcW w:type="dxa" w:w="4680"/>
            <w:tcMar>
              <w:top w:w="140" w:type="dxa"/>
              <w:bottom w:w="140" w:type="dxa"/>
              <w:left w:w="200" w:type="dxa"/>
              <w:right w:w="200" w:type="dxa"/>
            </w:tcMar>
          </w:tcPr>
          <w:p>
            <w:r>
              <w:rPr>
                <w:rFonts w:ascii="Arial" w:hAnsi="Arial"/>
                <w:color w:val="333333"/>
                <w:sz w:val="19"/>
              </w:rPr>
              <w:t>El controlador backend debe interceptar la duplicidad y retornar un error HTTP 400. La interfaz administrativa debe mostrar una alerta 'El ID de la organización ya existe'.</w:t>
            </w:r>
          </w:p>
        </w:tc>
      </w:tr>
      <w:tr>
        <w:tc>
          <w:tcPr>
            <w:tcW w:type="dxa" w:w="4680"/>
            <w:tcMar>
              <w:top w:w="140" w:type="dxa"/>
              <w:bottom w:w="140" w:type="dxa"/>
              <w:left w:w="200" w:type="dxa"/>
              <w:right w:w="200" w:type="dxa"/>
            </w:tcMar>
          </w:tcPr>
          <w:p>
            <w:r>
              <w:rPr>
                <w:rFonts w:ascii="Arial" w:hAnsi="Arial"/>
                <w:color w:val="333333"/>
                <w:sz w:val="19"/>
              </w:rPr>
              <w:t>TC-04: Suspensión de Licencia Comercial</w:t>
              <w:br/>
              <w:t>• Cambiar estatus de empresa 'BMW' a inactivo (0).</w:t>
            </w:r>
          </w:p>
        </w:tc>
        <w:tc>
          <w:tcPr>
            <w:tcW w:type="dxa" w:w="4680"/>
            <w:tcMar>
              <w:top w:w="140" w:type="dxa"/>
              <w:bottom w:w="140" w:type="dxa"/>
              <w:left w:w="200" w:type="dxa"/>
              <w:right w:w="200" w:type="dxa"/>
            </w:tcMar>
          </w:tcPr>
          <w:p>
            <w:r>
              <w:rPr>
                <w:rFonts w:ascii="Arial" w:hAnsi="Arial"/>
                <w:color w:val="333333"/>
                <w:sz w:val="19"/>
              </w:rPr>
              <w:t>El usuario Consultor e hijos de 'BMW' que intenten iniciar sesión deben recibir una pantalla de bloqueo con el mensaje 'Licencia Suspendida. Contacte a soporte'.</w:t>
            </w:r>
          </w:p>
        </w:tc>
      </w:tr>
      <w:tr>
        <w:tc>
          <w:tcPr>
            <w:tcW w:type="dxa" w:w="4680"/>
            <w:tcMar>
              <w:top w:w="140" w:type="dxa"/>
              <w:bottom w:w="140" w:type="dxa"/>
              <w:left w:w="200" w:type="dxa"/>
              <w:right w:w="200" w:type="dxa"/>
            </w:tcMar>
          </w:tcPr>
          <w:p>
            <w:r>
              <w:rPr>
                <w:rFonts w:ascii="Arial" w:hAnsi="Arial"/>
                <w:color w:val="333333"/>
                <w:sz w:val="19"/>
              </w:rPr>
              <w:t>TC-05: Asignación de Documentos</w:t>
              <w:br/>
              <w:t>• Cargar archivo por Consultor asignándolo a 'BMW Sucursal Norte'.</w:t>
            </w:r>
          </w:p>
        </w:tc>
        <w:tc>
          <w:tcPr>
            <w:tcW w:type="dxa" w:w="4680"/>
            <w:tcMar>
              <w:top w:w="140" w:type="dxa"/>
              <w:bottom w:w="140" w:type="dxa"/>
              <w:left w:w="200" w:type="dxa"/>
              <w:right w:w="200" w:type="dxa"/>
            </w:tcMar>
          </w:tcPr>
          <w:p>
            <w:r>
              <w:rPr>
                <w:rFonts w:ascii="Arial" w:hAnsi="Arial"/>
                <w:color w:val="333333"/>
                <w:sz w:val="19"/>
              </w:rPr>
              <w:t>El archivo debe guardarse en la base de datos bajo el código BMW/T1A. En la tabla del portal, el archivo debe visualizarse correctamente asignado a dicha sucursal.</w:t>
            </w:r>
          </w:p>
        </w:tc>
      </w:tr>
      <w:tr>
        <w:tc>
          <w:tcPr>
            <w:tcW w:type="dxa" w:w="4680"/>
            <w:tcMar>
              <w:top w:w="140" w:type="dxa"/>
              <w:bottom w:w="140" w:type="dxa"/>
              <w:left w:w="200" w:type="dxa"/>
              <w:right w:w="200" w:type="dxa"/>
            </w:tcMar>
          </w:tcPr>
          <w:p>
            <w:r>
              <w:rPr>
                <w:rFonts w:ascii="Arial" w:hAnsi="Arial"/>
                <w:color w:val="333333"/>
                <w:sz w:val="19"/>
              </w:rPr>
              <w:t>TC-06: Validación de Extensión de Archivos</w:t>
              <w:br/>
              <w:t>• Intentar subir un script .exe o .php en la carga de documentos.</w:t>
            </w:r>
          </w:p>
        </w:tc>
        <w:tc>
          <w:tcPr>
            <w:tcW w:type="dxa" w:w="4680"/>
            <w:tcMar>
              <w:top w:w="140" w:type="dxa"/>
              <w:bottom w:w="140" w:type="dxa"/>
              <w:left w:w="200" w:type="dxa"/>
              <w:right w:w="200" w:type="dxa"/>
            </w:tcMar>
          </w:tcPr>
          <w:p>
            <w:r>
              <w:rPr>
                <w:rFonts w:ascii="Arial" w:hAnsi="Arial"/>
                <w:color w:val="333333"/>
                <w:sz w:val="19"/>
              </w:rPr>
              <w:t>El backend debe retornar un error inmediato de validación de extensión MIME. El archivo no debe guardarse en el servidor bajo ninguna circunstancia.</w:t>
            </w:r>
          </w:p>
        </w:tc>
      </w:tr>
      <w:tr>
        <w:tc>
          <w:tcPr>
            <w:tcW w:type="dxa" w:w="4680"/>
            <w:tcMar>
              <w:top w:w="140" w:type="dxa"/>
              <w:bottom w:w="140" w:type="dxa"/>
              <w:left w:w="200" w:type="dxa"/>
              <w:right w:w="200" w:type="dxa"/>
            </w:tcMar>
          </w:tcPr>
          <w:p>
            <w:r>
              <w:rPr>
                <w:rFonts w:ascii="Arial" w:hAnsi="Arial"/>
                <w:color w:val="333333"/>
                <w:sz w:val="19"/>
              </w:rPr>
              <w:t>TC-07: Bloqueo de Acceso Directo</w:t>
              <w:br/>
              <w:t>• Intentar acceder a un PDF de uploads_dictamenes/ desde la barra de direcciones.</w:t>
            </w:r>
          </w:p>
        </w:tc>
        <w:tc>
          <w:tcPr>
            <w:tcW w:type="dxa" w:w="4680"/>
            <w:tcMar>
              <w:top w:w="140" w:type="dxa"/>
              <w:bottom w:w="140" w:type="dxa"/>
              <w:left w:w="200" w:type="dxa"/>
              <w:right w:w="200" w:type="dxa"/>
            </w:tcMar>
          </w:tcPr>
          <w:p>
            <w:r>
              <w:rPr>
                <w:rFonts w:ascii="Arial" w:hAnsi="Arial"/>
                <w:color w:val="333333"/>
                <w:sz w:val="19"/>
              </w:rPr>
              <w:t>El servidor Apache debe interceptar la petición mediante el archivo .htaccess y retornar un error HTTP 403 Forbidden.</w:t>
            </w:r>
          </w:p>
        </w:tc>
      </w:tr>
      <w:tr>
        <w:tc>
          <w:tcPr>
            <w:tcW w:type="dxa" w:w="4680"/>
            <w:tcMar>
              <w:top w:w="140" w:type="dxa"/>
              <w:bottom w:w="140" w:type="dxa"/>
              <w:left w:w="200" w:type="dxa"/>
              <w:right w:w="200" w:type="dxa"/>
            </w:tcMar>
          </w:tcPr>
          <w:p>
            <w:r>
              <w:rPr>
                <w:rFonts w:ascii="Arial" w:hAnsi="Arial"/>
                <w:color w:val="333333"/>
                <w:sz w:val="19"/>
              </w:rPr>
              <w:t>TC-08: Control Anti-Compartido de URL</w:t>
              <w:br/>
              <w:t>• Copiar el enlace de descarga seguro de un navegador e intentarlo abrir en incógnito sin login.</w:t>
            </w:r>
          </w:p>
        </w:tc>
        <w:tc>
          <w:tcPr>
            <w:tcW w:type="dxa" w:w="4680"/>
            <w:tcMar>
              <w:top w:w="140" w:type="dxa"/>
              <w:bottom w:w="140" w:type="dxa"/>
              <w:left w:w="200" w:type="dxa"/>
              <w:right w:w="200" w:type="dxa"/>
            </w:tcMar>
          </w:tcPr>
          <w:p>
            <w:r>
              <w:rPr>
                <w:rFonts w:ascii="Arial" w:hAnsi="Arial"/>
                <w:color w:val="333333"/>
                <w:sz w:val="19"/>
              </w:rPr>
              <w:t>El script documento_descargar.php debe validar la falta de sesión y retornar un error de acceso denegado (403 Forbidden).</w:t>
            </w:r>
          </w:p>
        </w:tc>
      </w:tr>
      <w:tr>
        <w:tc>
          <w:tcPr>
            <w:tcW w:type="dxa" w:w="4680"/>
            <w:tcMar>
              <w:top w:w="140" w:type="dxa"/>
              <w:bottom w:w="140" w:type="dxa"/>
              <w:left w:w="200" w:type="dxa"/>
              <w:right w:w="200" w:type="dxa"/>
            </w:tcMar>
          </w:tcPr>
          <w:p>
            <w:r>
              <w:rPr>
                <w:rFonts w:ascii="Arial" w:hAnsi="Arial"/>
                <w:color w:val="333333"/>
                <w:sz w:val="19"/>
              </w:rPr>
              <w:t>TC-09: Descargas Cruzadas Bloqueadas</w:t>
              <w:br/>
              <w:t>• Loguearse como cliente 'Pemex' e intentar abrir el enlace de descarga de un archivo de 'BMW'.</w:t>
            </w:r>
          </w:p>
        </w:tc>
        <w:tc>
          <w:tcPr>
            <w:tcW w:type="dxa" w:w="4680"/>
            <w:tcMar>
              <w:top w:w="140" w:type="dxa"/>
              <w:bottom w:w="140" w:type="dxa"/>
              <w:left w:w="200" w:type="dxa"/>
              <w:right w:w="200" w:type="dxa"/>
            </w:tcMar>
          </w:tcPr>
          <w:p>
            <w:r>
              <w:rPr>
                <w:rFonts w:ascii="Arial" w:hAnsi="Arial"/>
                <w:color w:val="333333"/>
                <w:sz w:val="19"/>
              </w:rPr>
              <w:t>El sistema debe detectar la falta de concordancia entre códigos organizacionales y denegar la descarga con código HTTP 403.</w:t>
            </w:r>
          </w:p>
        </w:tc>
      </w:tr>
      <w:tr>
        <w:tc>
          <w:tcPr>
            <w:tcW w:type="dxa" w:w="4680"/>
            <w:tcMar>
              <w:top w:w="140" w:type="dxa"/>
              <w:bottom w:w="140" w:type="dxa"/>
              <w:left w:w="200" w:type="dxa"/>
              <w:right w:w="200" w:type="dxa"/>
            </w:tcMar>
          </w:tcPr>
          <w:p>
            <w:r>
              <w:rPr>
                <w:rFonts w:ascii="Arial" w:hAnsi="Arial"/>
                <w:color w:val="333333"/>
                <w:sz w:val="19"/>
              </w:rPr>
              <w:t>TC-10: Cierre de Sesión Limpio</w:t>
              <w:br/>
              <w:t>• Presionar el botón 'Salir' e intentar regresar con el botón atrás del navegador.</w:t>
            </w:r>
          </w:p>
        </w:tc>
        <w:tc>
          <w:tcPr>
            <w:tcW w:type="dxa" w:w="4680"/>
            <w:tcMar>
              <w:top w:w="140" w:type="dxa"/>
              <w:bottom w:w="140" w:type="dxa"/>
              <w:left w:w="200" w:type="dxa"/>
              <w:right w:w="200" w:type="dxa"/>
            </w:tcMar>
          </w:tcPr>
          <w:p>
            <w:r>
              <w:rPr>
                <w:rFonts w:ascii="Arial" w:hAnsi="Arial"/>
                <w:color w:val="333333"/>
                <w:sz w:val="19"/>
              </w:rPr>
              <w:t>La sesión debe destruirse por completo en el servidor mediante logout.php y el navegador debe redirigir al login al intentar ver el dashboard.</w:t>
            </w:r>
          </w:p>
        </w:tc>
      </w:tr>
    </w:tbl>
    <w:p>
      <w:pPr>
        <w:spacing w:after="240"/>
      </w:pPr>
    </w:p>
    <w:p>
      <w:pPr>
        <w:pStyle w:val="Heading1"/>
        <w:spacing w:before="440" w:after="240"/>
      </w:pPr>
      <w:r>
        <w:rPr>
          <w:rFonts w:ascii="Arial" w:hAnsi="Arial"/>
          <w:b/>
          <w:color w:val="003366"/>
          <w:sz w:val="36"/>
        </w:rPr>
        <w:t>SECCIÓN 9: GUÍA DE SOLUCIÓN DE PROBLEMAS (FAQ)</w:t>
      </w:r>
    </w:p>
    <w:p>
      <w:pPr>
        <w:spacing w:before="0" w:after="120"/>
      </w:pPr>
      <w:r>
        <w:rPr>
          <w:rFonts w:ascii="Arial" w:hAnsi="Arial"/>
          <w:color w:val="333333"/>
          <w:sz w:val="20"/>
        </w:rPr>
        <w:t>Este capítulo provee soluciones técnicas rápidas a los errores más comunes de despliegue y configuración:</w:t>
      </w:r>
    </w:p>
    <w:p>
      <w:pPr>
        <w:pStyle w:val="Heading2"/>
        <w:spacing w:before="440" w:after="240"/>
      </w:pPr>
      <w:r>
        <w:rPr>
          <w:rFonts w:ascii="Arial" w:hAnsi="Arial"/>
          <w:b/>
          <w:color w:val="0066CC"/>
          <w:sz w:val="26"/>
        </w:rPr>
        <w:t>9.1 Error 403 Forbidden al Descargar Archivos:</w:t>
      </w:r>
    </w:p>
    <w:p>
      <w:pPr>
        <w:pStyle w:val="ListBullet"/>
        <w:spacing w:before="60" w:after="60"/>
      </w:pPr>
      <w:r>
        <w:rPr>
          <w:rFonts w:ascii="Arial" w:hAnsi="Arial"/>
          <w:color w:val="333333"/>
          <w:sz w:val="20"/>
        </w:rPr>
        <w:t xml:space="preserve"> Verifique que su servidor web Apache tenga mod_rewrite y mod_headers activos.</w:t>
      </w:r>
    </w:p>
    <w:p>
      <w:pPr>
        <w:pStyle w:val="ListBullet"/>
        <w:spacing w:before="60" w:after="60"/>
      </w:pPr>
      <w:r>
        <w:rPr>
          <w:rFonts w:ascii="Arial" w:hAnsi="Arial"/>
          <w:color w:val="333333"/>
          <w:sz w:val="20"/>
        </w:rPr>
        <w:t xml:space="preserve"> Asegúrese de haber iniciado sesión previamente. El sistema deniega el acceso a enlaces directos si no hay una sesión activa de PHP en el servidor web.</w:t>
      </w:r>
    </w:p>
    <w:p>
      <w:pPr>
        <w:pStyle w:val="ListBullet"/>
        <w:spacing w:before="60" w:after="60"/>
      </w:pPr>
      <w:r>
        <w:rPr>
          <w:rFonts w:ascii="Arial" w:hAnsi="Arial"/>
          <w:color w:val="333333"/>
          <w:sz w:val="20"/>
        </w:rPr>
        <w:t xml:space="preserve"> Valide que la empresa del usuario en sesión coincida con la empresa propietaria del documento en la tabla documentos_pc.</w:t>
      </w:r>
    </w:p>
    <w:p>
      <w:pPr>
        <w:pStyle w:val="Heading2"/>
        <w:spacing w:before="440" w:after="240"/>
      </w:pPr>
      <w:r>
        <w:rPr>
          <w:rFonts w:ascii="Arial" w:hAnsi="Arial"/>
          <w:b/>
          <w:color w:val="0066CC"/>
          <w:sz w:val="26"/>
        </w:rPr>
        <w:t>9.2 Los Mapas en 'Registrar Sucursales' no cargan o se ven grises:</w:t>
      </w:r>
    </w:p>
    <w:p>
      <w:pPr>
        <w:pStyle w:val="ListBullet"/>
        <w:spacing w:before="60" w:after="60"/>
      </w:pPr>
      <w:r>
        <w:rPr>
          <w:rFonts w:ascii="Arial" w:hAnsi="Arial"/>
          <w:color w:val="333333"/>
          <w:sz w:val="20"/>
        </w:rPr>
        <w:t xml:space="preserve"> El visor interactivo Leaflet requiere de una conexión activa a internet para cargar los mosaicos de Google Maps de forma dinámica.</w:t>
      </w:r>
    </w:p>
    <w:p>
      <w:pPr>
        <w:pStyle w:val="ListBullet"/>
        <w:spacing w:before="60" w:after="60"/>
      </w:pPr>
      <w:r>
        <w:rPr>
          <w:rFonts w:ascii="Arial" w:hAnsi="Arial"/>
          <w:color w:val="333333"/>
          <w:sz w:val="20"/>
        </w:rPr>
        <w:t xml:space="preserve"> Si el mapa se despliega con partes grises, asegúrese de que el contenedor div del mapa tenga un tamaño establecido (por ejemplo, height: 250px; width: 100%) y de llamar a map.invalidateSize() si el mapa se inicializa dentro de un elemento oculto que luego se muestra.</w:t>
      </w:r>
    </w:p>
    <w:p>
      <w:pPr>
        <w:pStyle w:val="Heading2"/>
        <w:spacing w:before="440" w:after="240"/>
      </w:pPr>
      <w:r>
        <w:rPr>
          <w:rFonts w:ascii="Arial" w:hAnsi="Arial"/>
          <w:b/>
          <w:color w:val="0066CC"/>
          <w:sz w:val="26"/>
        </w:rPr>
        <w:t>9.3 Errores al subir archivos mayores a 2MB (Falla silenciosa):</w:t>
      </w:r>
    </w:p>
    <w:p>
      <w:pPr>
        <w:pStyle w:val="ListBullet"/>
        <w:spacing w:before="60" w:after="60"/>
      </w:pPr>
      <w:r>
        <w:rPr>
          <w:rFonts w:ascii="Arial" w:hAnsi="Arial"/>
          <w:color w:val="333333"/>
          <w:sz w:val="20"/>
        </w:rPr>
        <w:t xml:space="preserve"> Este error es causado por los límites por defecto del servidor PHP. Edite el archivo php.ini y aumente los valores de upload_max_filesize y post_max_size a 50M y 55M respectivamente, tal como se especifica en la sección de rendimiento.</w:t>
      </w:r>
    </w:p>
    <w:p>
      <w:pPr>
        <w:pStyle w:val="ListBullet"/>
        <w:spacing w:before="60" w:after="60"/>
      </w:pPr>
      <w:r>
        <w:rPr>
          <w:rFonts w:ascii="Arial" w:hAnsi="Arial"/>
          <w:color w:val="333333"/>
          <w:sz w:val="20"/>
        </w:rPr>
        <w:t xml:space="preserve"> Asegúrese de reiniciar su servidor web Apache después de aplicar cambios en php.ini.</w:t>
      </w:r>
    </w:p>
    <w:p>
      <w:pPr>
        <w:pStyle w:val="Heading2"/>
        <w:spacing w:before="440" w:after="240"/>
      </w:pPr>
      <w:r>
        <w:rPr>
          <w:rFonts w:ascii="Arial" w:hAnsi="Arial"/>
          <w:b/>
          <w:color w:val="0066CC"/>
          <w:sz w:val="26"/>
        </w:rPr>
        <w:t>9.4 Los correos automáticos no llegan a los destinatarios:</w:t>
      </w:r>
    </w:p>
    <w:p>
      <w:pPr>
        <w:pStyle w:val="ListBullet"/>
        <w:spacing w:before="60" w:after="60"/>
      </w:pPr>
      <w:r>
        <w:rPr>
          <w:rFonts w:ascii="Arial" w:hAnsi="Arial"/>
          <w:color w:val="333333"/>
          <w:sz w:val="20"/>
        </w:rPr>
        <w:t xml:space="preserve"> Si está probando en un entorno local (como XAMPP en Windows sin configurar SMTP de salida), la función mail() nativa de PHP fallará en enviar correos a buzones reales. Instale una herramienta de servidor de correo falso (como Papercut SMTP) para capturar los correos enviados localmente.</w:t>
      </w:r>
    </w:p>
    <w:p>
      <w:pPr>
        <w:pStyle w:val="ListBullet"/>
        <w:spacing w:before="60" w:after="60"/>
      </w:pPr>
      <w:r>
        <w:rPr>
          <w:rFonts w:ascii="Arial" w:hAnsi="Arial"/>
          <w:color w:val="333333"/>
          <w:sz w:val="20"/>
        </w:rPr>
        <w:t xml:space="preserve"> En producción, asegúrese de configurar las directivas de SMTP en su servidor web o en php.ini para garantizar la salida y entrega de correos electrónicos a través de un servidor de correo con registros SPF/DKIM válidos para evitar la carpeta de Spam.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