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Arial" w:hAnsi="Arial"/>
          <w:b/>
          <w:color w:val="003366"/>
          <w:sz w:val="44"/>
        </w:rPr>
        <w:t>SUITE DE DOCUMENTACIÓN TÉCNICA, OPERATIVA Y COMERCIAL</w:t>
        <w:br/>
        <w:t>PLATAFORMA XONEXKA</w:t>
      </w:r>
    </w:p>
    <w:p>
      <w:pPr>
        <w:spacing w:after="480"/>
        <w:jc w:val="center"/>
      </w:pPr>
      <w:r>
        <w:rPr>
          <w:rFonts w:ascii="Arial" w:hAnsi="Arial"/>
          <w:i/>
          <w:color w:val="475569"/>
          <w:sz w:val="23"/>
        </w:rPr>
        <w:t>Manual de Usuario Completo, Manual de Administración del Staff, Guía de Despliegue en Producción,</w:t>
        <w:br/>
        <w:t>Diccionario de Datos y Modelo Entidad-Relación, Especificación de API AJAX,</w:t>
        <w:br/>
        <w:t>y Políticas de Respaldos, Seguridad y Rendimiento.</w:t>
      </w:r>
    </w:p>
    <w:p>
      <w:pPr>
        <w:spacing w:before="2800"/>
        <w:jc w:val="center"/>
      </w:pPr>
      <w:r>
        <w:rPr>
          <w:rFonts w:ascii="Arial" w:hAnsi="Arial"/>
          <w:color w:val="94A3B8"/>
          <w:sz w:val="19"/>
        </w:rPr>
        <w:t>Versión de Distribución: Comercial 2.0 (Edición Roja)</w:t>
        <w:br/>
        <w:t>Propietario del Software: Xonexka</w:t>
        <w:br/>
        <w:t>Fecha de Publicación: Julio 2026</w:t>
        <w:br/>
        <w:t>Clasificación: Información Técnica de Carácter Confidencial y Comercializable</w:t>
      </w:r>
    </w:p>
    <w:p>
      <w:r>
        <w:br w:type="page"/>
      </w:r>
    </w:p>
    <w:p>
      <w:pPr>
        <w:pStyle w:val="Heading1"/>
        <w:spacing w:before="400" w:after="200"/>
      </w:pPr>
      <w:r>
        <w:rPr>
          <w:rFonts w:ascii="Arial" w:hAnsi="Arial"/>
          <w:b/>
          <w:color w:val="003366"/>
          <w:sz w:val="36"/>
        </w:rPr>
        <w:t>PROPÓSITO Y ALCANCE DE ESTA SUITE DOCUMENTAL</w:t>
      </w:r>
    </w:p>
    <w:p>
      <w:pPr>
        <w:spacing w:before="0" w:after="120"/>
      </w:pPr>
      <w:r>
        <w:rPr>
          <w:rFonts w:ascii="Arial" w:hAnsi="Arial"/>
          <w:color w:val="333333"/>
          <w:sz w:val="20"/>
        </w:rPr>
        <w:t>El presente manual constituye el paquete técnico de documentación de entrega final (*Dossier de Entrega*) para la comercialización, licenciamiento e instalación del sistema Xonexka. Este paquete ha sido redactado con el máximo nivel de detalle técnico para permitir al comprador, integradores y directores de sistemas una total autonomía en el aprovisionamiento, operación y mantenimiento preventivo de la plataforma en entornos corporativos de alta demanda.</w:t>
      </w:r>
    </w:p>
    <w:p>
      <w:pPr>
        <w:pStyle w:val="Heading2"/>
        <w:spacing w:before="400" w:after="200"/>
      </w:pPr>
      <w:r>
        <w:rPr>
          <w:rFonts w:ascii="Arial" w:hAnsi="Arial"/>
          <w:b/>
          <w:color w:val="0066CC"/>
          <w:sz w:val="26"/>
        </w:rPr>
        <w:t>Objetivos del Dossier:</w:t>
      </w:r>
    </w:p>
    <w:p>
      <w:pPr>
        <w:pStyle w:val="ListBullet"/>
        <w:spacing w:before="40" w:after="40"/>
      </w:pPr>
      <w:r>
        <w:rPr>
          <w:rFonts w:ascii="Arial" w:hAnsi="Arial"/>
          <w:b/>
          <w:color w:val="333333"/>
          <w:sz w:val="20"/>
        </w:rPr>
        <w:t>Autonomía del Inquilino:</w:t>
      </w:r>
      <w:r>
        <w:rPr>
          <w:rFonts w:ascii="Arial" w:hAnsi="Arial"/>
          <w:color w:val="333333"/>
          <w:sz w:val="20"/>
        </w:rPr>
        <w:t xml:space="preserve"> Ofrecer a los clientes finales y su personal operativo una guía de usuario interactiva y clara que reduzca los costos de soporte post-venta.</w:t>
      </w:r>
    </w:p>
    <w:p>
      <w:pPr>
        <w:pStyle w:val="ListBullet"/>
        <w:spacing w:before="40" w:after="40"/>
      </w:pPr>
      <w:r>
        <w:rPr>
          <w:rFonts w:ascii="Arial" w:hAnsi="Arial"/>
          <w:b/>
          <w:color w:val="333333"/>
          <w:sz w:val="20"/>
        </w:rPr>
        <w:t>Operación del Aprovisionamiento:</w:t>
      </w:r>
      <w:r>
        <w:rPr>
          <w:rFonts w:ascii="Arial" w:hAnsi="Arial"/>
          <w:color w:val="333333"/>
          <w:sz w:val="20"/>
        </w:rPr>
        <w:t xml:space="preserve"> Proveer al área de administración del sistema (staff) las bases para aprovisionar consultores y sucursales subordinadas, además de gestionar las licencias comerciales.</w:t>
      </w:r>
    </w:p>
    <w:p>
      <w:pPr>
        <w:pStyle w:val="ListBullet"/>
        <w:spacing w:before="40" w:after="40"/>
      </w:pPr>
      <w:r>
        <w:rPr>
          <w:rFonts w:ascii="Arial" w:hAnsi="Arial"/>
          <w:b/>
          <w:color w:val="333333"/>
          <w:sz w:val="20"/>
        </w:rPr>
        <w:t>Seguridad de Despliegue:</w:t>
      </w:r>
      <w:r>
        <w:rPr>
          <w:rFonts w:ascii="Arial" w:hAnsi="Arial"/>
          <w:color w:val="333333"/>
          <w:sz w:val="20"/>
        </w:rPr>
        <w:t xml:space="preserve"> Definir los requisitos exactos de infraestructura (cPanel, Apache, PHP y MySQL) para garantizar un despliegue libre de errores de compatibilidad.</w:t>
      </w:r>
    </w:p>
    <w:p>
      <w:pPr>
        <w:pStyle w:val="ListBullet"/>
        <w:spacing w:before="40" w:after="40"/>
      </w:pPr>
      <w:r>
        <w:rPr>
          <w:rFonts w:ascii="Arial" w:hAnsi="Arial"/>
          <w:b/>
          <w:color w:val="333333"/>
          <w:sz w:val="20"/>
        </w:rPr>
        <w:t>Transparencia Técnica:</w:t>
      </w:r>
      <w:r>
        <w:rPr>
          <w:rFonts w:ascii="Arial" w:hAnsi="Arial"/>
          <w:color w:val="333333"/>
          <w:sz w:val="20"/>
        </w:rPr>
        <w:t xml:space="preserve"> Exponer los esquemas de bases de datos, APIs de comunicación interna (AJAX) y planes de respaldos automatizados para facilitar auditorías y futuras integraciones.</w:t>
      </w:r>
    </w:p>
    <w:p>
      <w:r>
        <w:br w:type="page"/>
      </w:r>
    </w:p>
    <w:p>
      <w:pPr>
        <w:pStyle w:val="Heading1"/>
        <w:spacing w:before="400" w:after="200"/>
      </w:pPr>
      <w:r>
        <w:rPr>
          <w:rFonts w:ascii="Arial" w:hAnsi="Arial"/>
          <w:b/>
          <w:color w:val="003366"/>
          <w:sz w:val="36"/>
        </w:rPr>
        <w:t>SECCIÓN 1: MANUAL DE USUARIO COMPLETO (PORTAL DE CLIENTES)</w:t>
      </w:r>
    </w:p>
    <w:p>
      <w:pPr>
        <w:spacing w:before="0" w:after="120"/>
      </w:pPr>
      <w:r>
        <w:rPr>
          <w:rFonts w:ascii="Arial" w:hAnsi="Arial"/>
          <w:color w:val="333333"/>
          <w:sz w:val="20"/>
        </w:rPr>
        <w:t>El Portal Corporativo de Xonexka está diseñado para que los clientes del sistema administren sus expedientes de forma centralizada. Su acceso público se realiza a través del módulo de cliente.</w:t>
      </w:r>
    </w:p>
    <w:p>
      <w:pPr>
        <w:pStyle w:val="Heading2"/>
        <w:spacing w:before="400" w:after="200"/>
      </w:pPr>
      <w:r>
        <w:rPr>
          <w:rFonts w:ascii="Arial" w:hAnsi="Arial"/>
          <w:b/>
          <w:color w:val="0066CC"/>
          <w:sz w:val="26"/>
        </w:rPr>
        <w:t>1.1 Estructura de Roles del Portal de Cliente y Permisos:</w:t>
      </w:r>
    </w:p>
    <w:p>
      <w:pPr>
        <w:spacing w:before="0" w:after="120"/>
      </w:pPr>
      <w:r>
        <w:rPr>
          <w:rFonts w:ascii="Arial" w:hAnsi="Arial"/>
          <w:color w:val="333333"/>
          <w:sz w:val="20"/>
        </w:rPr>
        <w:t>El portal implementa una estructura jerárquica basada en roles para salvaguardar el acceso a la información corporativa sensible:</w:t>
      </w:r>
    </w:p>
    <w:p>
      <w:pPr>
        <w:spacing w:before="0" w:after="120"/>
      </w:pPr>
      <w:r>
        <w:rPr>
          <w:rFonts w:ascii="Arial" w:hAnsi="Arial"/>
          <w:b/>
          <w:color w:val="333333"/>
          <w:sz w:val="20"/>
        </w:rPr>
        <w:t>1. Rol: Consultor (Organización Superior)</w:t>
      </w:r>
      <w:r>
        <w:rPr>
          <w:rFonts w:ascii="Arial" w:hAnsi="Arial"/>
          <w:color w:val="333333"/>
          <w:sz w:val="20"/>
        </w:rPr>
        <w:t xml:space="preserve"> Nivel supremo dentro de la organización. Suele asignarse al corporativo principal (ej: Porsche México). Tiene visibilidad absoluta sobre todas las sucursales subordinadas creadas bajo su código base. Puede registrar nuevas empresas, dar de alta colaboradores locales, cargar expedientes dirigidos a cualquier sucursal y ver la tabla semaforizada completa de cumplimiento.</w:t>
      </w:r>
    </w:p>
    <w:p>
      <w:pPr>
        <w:spacing w:before="0" w:after="120"/>
      </w:pPr>
      <w:r>
        <w:rPr>
          <w:rFonts w:ascii="Arial" w:hAnsi="Arial"/>
          <w:b/>
          <w:color w:val="333333"/>
          <w:sz w:val="20"/>
        </w:rPr>
        <w:t>2. Rol: Responsable Nacional</w:t>
      </w:r>
      <w:r>
        <w:rPr>
          <w:rFonts w:ascii="Arial" w:hAnsi="Arial"/>
          <w:color w:val="333333"/>
          <w:sz w:val="20"/>
        </w:rPr>
        <w:t xml:space="preserve"> Diseñado para auditores regionales o nacionales. Posee privilegios para visualizar la documentación de todas las sucursales vinculadas y generar reportes de trazabilidad, pero tiene restringida la creación de nuevas empresas o eliminación de expedientes.</w:t>
      </w:r>
    </w:p>
    <w:p>
      <w:pPr>
        <w:spacing w:before="0" w:after="120"/>
      </w:pPr>
      <w:r>
        <w:rPr>
          <w:rFonts w:ascii="Arial" w:hAnsi="Arial"/>
          <w:b/>
          <w:color w:val="333333"/>
          <w:sz w:val="20"/>
        </w:rPr>
        <w:t>3. Rol: Tipo 1 (Encargado de Sucursal)</w:t>
      </w:r>
      <w:r>
        <w:rPr>
          <w:rFonts w:ascii="Arial" w:hAnsi="Arial"/>
          <w:color w:val="333333"/>
          <w:sz w:val="20"/>
        </w:rPr>
        <w:t xml:space="preserve"> Corresponde al encargado operativo de un establecimiento físico o sucursal (ej: Porsche Santa Fe). Es el responsable de subir y actualizar la documentación requerida exclusivamente para su sucursal. No tiene acceso a datos de otras sucursales o consultores del grupo.</w:t>
      </w:r>
    </w:p>
    <w:p>
      <w:pPr>
        <w:spacing w:before="0" w:after="120"/>
      </w:pPr>
      <w:r>
        <w:rPr>
          <w:rFonts w:ascii="Arial" w:hAnsi="Arial"/>
          <w:b/>
          <w:color w:val="333333"/>
          <w:sz w:val="20"/>
        </w:rPr>
        <w:t>4. Roles: Tipo 2 y Tipo 3 (Lectores)</w:t>
      </w:r>
      <w:r>
        <w:rPr>
          <w:rFonts w:ascii="Arial" w:hAnsi="Arial"/>
          <w:color w:val="333333"/>
          <w:sz w:val="20"/>
        </w:rPr>
        <w:t xml:space="preserve"> Operadores y personal local de lectura. Tienen privilegios de descarga y consulta de archivos vigentes asignados a su establecimiento, pero no pueden subir nuevos documentos ni modificar metadatos de alerta.</w:t>
      </w:r>
    </w:p>
    <w:p>
      <w:pPr>
        <w:pStyle w:val="Heading2"/>
        <w:spacing w:before="400" w:after="200"/>
      </w:pPr>
      <w:r>
        <w:rPr>
          <w:rFonts w:ascii="Arial" w:hAnsi="Arial"/>
          <w:b/>
          <w:color w:val="0066CC"/>
          <w:sz w:val="26"/>
        </w:rPr>
        <w:t>1.2 Gestión Operativa de Expedientes y Código de Semáforos:</w:t>
      </w:r>
    </w:p>
    <w:p>
      <w:pPr>
        <w:spacing w:before="0" w:after="120"/>
      </w:pPr>
      <w:r>
        <w:rPr>
          <w:rFonts w:ascii="Arial" w:hAnsi="Arial"/>
          <w:color w:val="333333"/>
          <w:sz w:val="20"/>
        </w:rPr>
        <w:t>La pantalla principal ('Control Operativo y Acciones de Archivos') muestra el listado de documentos vigentes junto a un semáforo visual de tres colores. La lógica de negocio calcula el porcentaje de tiempo transcurrido del documento con base en su fecha de vencimiento:</w:t>
      </w:r>
    </w:p>
    <w:p>
      <w:pPr>
        <w:pStyle w:val="ListBullet"/>
        <w:spacing w:before="40" w:after="40"/>
      </w:pPr>
      <w:r>
        <w:rPr>
          <w:rFonts w:ascii="Arial" w:hAnsi="Arial"/>
          <w:b/>
          <w:color w:val="333333"/>
          <w:sz w:val="20"/>
        </w:rPr>
        <w:t>Semáforo Verde (Seguro):</w:t>
      </w:r>
      <w:r>
        <w:rPr>
          <w:rFonts w:ascii="Arial" w:hAnsi="Arial"/>
          <w:color w:val="333333"/>
          <w:sz w:val="20"/>
        </w:rPr>
        <w:t xml:space="preserve"> Documento vigente y en regla. El tiempo transcurrido desde su carga representa menos del 80% del tiempo de vida útil del expediente. No requiere acciones inmediatas.</w:t>
      </w:r>
    </w:p>
    <w:p>
      <w:pPr>
        <w:pStyle w:val="ListBullet"/>
        <w:spacing w:before="40" w:after="40"/>
      </w:pPr>
      <w:r>
        <w:rPr>
          <w:rFonts w:ascii="Arial" w:hAnsi="Arial"/>
          <w:b/>
          <w:color w:val="333333"/>
          <w:sz w:val="20"/>
        </w:rPr>
        <w:t>Semáforo Amarillo 1 (Próximo a Vencer):</w:t>
      </w:r>
      <w:r>
        <w:rPr>
          <w:rFonts w:ascii="Arial" w:hAnsi="Arial"/>
          <w:color w:val="333333"/>
          <w:sz w:val="20"/>
        </w:rPr>
        <w:t xml:space="preserve"> Alerta preventiva. El documento ha consumido entre el 80% y el 89.99% de su vigencia. El sistema envía notificaciones diarias por correo electrónico directamente al encargado de la sucursal.</w:t>
      </w:r>
    </w:p>
    <w:p>
      <w:pPr>
        <w:pStyle w:val="ListBullet"/>
        <w:spacing w:before="40" w:after="40"/>
      </w:pPr>
      <w:r>
        <w:rPr>
          <w:rFonts w:ascii="Arial" w:hAnsi="Arial"/>
          <w:b/>
          <w:color w:val="333333"/>
          <w:sz w:val="20"/>
        </w:rPr>
        <w:t>Semáforo Amarillo 2 / Rojo (Fases Críticas):</w:t>
      </w:r>
      <w:r>
        <w:rPr>
          <w:rFonts w:ascii="Arial" w:hAnsi="Arial"/>
          <w:color w:val="333333"/>
          <w:sz w:val="20"/>
        </w:rPr>
        <w:t xml:space="preserve"> Alerta crítica de vencimiento. El documento ha consumido el 90% o más de su vigencia. Se dispara el protocolo de alerta extendida, enviando correos automatizados al responsable principal y a los correos adicionales configurados en la lista de 'Correos Extras'. También se generan alertas en la bitácora local de WhatsApp.</w:t>
      </w:r>
    </w:p>
    <w:p>
      <w:pPr>
        <w:pStyle w:val="ListBullet"/>
        <w:spacing w:before="40" w:after="40"/>
      </w:pPr>
      <w:r>
        <w:rPr>
          <w:rFonts w:ascii="Arial" w:hAnsi="Arial"/>
          <w:b/>
          <w:color w:val="333333"/>
          <w:sz w:val="20"/>
        </w:rPr>
        <w:t>Semáforo Vencido (Vigencia Caducada):</w:t>
      </w:r>
      <w:r>
        <w:rPr>
          <w:rFonts w:ascii="Arial" w:hAnsi="Arial"/>
          <w:color w:val="333333"/>
          <w:sz w:val="20"/>
        </w:rPr>
        <w:t xml:space="preserve"> El documento ha sobrepasado su fecha límite de vigencia. Requiere una actualización urgente para evitar penalizaciones legales.</w:t>
      </w:r>
    </w:p>
    <w:p>
      <w:pPr>
        <w:pStyle w:val="Heading2"/>
        <w:spacing w:before="400" w:after="200"/>
      </w:pPr>
      <w:r>
        <w:rPr>
          <w:rFonts w:ascii="Arial" w:hAnsi="Arial"/>
          <w:b/>
          <w:color w:val="0066CC"/>
          <w:sz w:val="26"/>
        </w:rPr>
        <w:t>1.3 Guía Paso a Paso para Indexar / Subir un Documento:</w:t>
      </w:r>
    </w:p>
    <w:p>
      <w:pPr>
        <w:spacing w:before="0" w:after="120"/>
      </w:pPr>
      <w:r>
        <w:rPr>
          <w:rFonts w:ascii="Arial" w:hAnsi="Arial"/>
          <w:color w:val="333333"/>
          <w:sz w:val="20"/>
        </w:rPr>
        <w:t>1. Ingrese al panel lateral y haga clic en 'Cargar / Actualizar Documento'.</w:t>
        <w:br/>
        <w:t>2. Si ha iniciado sesión con el rol de Consultor, se habilitará el selector 'Asignar Documento a Empresa / Sucursal'. Seleccione la sucursal destinataria del archivo.</w:t>
        <w:br/>
        <w:t>3. Escriba la Categoría del Documento (ej: Dictamen de Gas) en el campo correspondiente (se recomienda usar nombres normalizados).</w:t>
        <w:br/>
        <w:t>4. Ingrese un Nombre Personalizado de Versión (ej: Dictamen Estructural Mayo 2026).</w:t>
        <w:br/>
        <w:t>5. Seleccione la fecha exacta de vencimiento utilizando el selector de calendario.</w:t>
        <w:br/>
        <w:t>6. En el campo 'Correo de Alerta Principal', ingrese el email del responsable de dar seguimiento al documento.</w:t>
        <w:br/>
        <w:t>7. Si requiere que la alerta del semáforo Amarillo 2/Rojo llegue a más personas, presione el botón '+ Agregar Correo Extra'. Podrá crear hasta 5 campos de texto adicionales independientes.</w:t>
        <w:br/>
        <w:t>8. Suba el archivo físico. El sistema acepta formatos PDF e imágenes (PNG/JPG) con un peso máximo de 50MB.</w:t>
        <w:br/>
        <w:t>9. Presione el botón 'Indexar Archivo en Sistema'. Se mostrará un mensaje de éxito y el preloader procesará la subida asíncronamente.</w:t>
      </w:r>
    </w:p>
    <w:p>
      <w:r>
        <w:br w:type="page"/>
      </w:r>
    </w:p>
    <w:p>
      <w:pPr>
        <w:pStyle w:val="Heading1"/>
        <w:spacing w:before="400" w:after="200"/>
      </w:pPr>
      <w:r>
        <w:rPr>
          <w:rFonts w:ascii="Arial" w:hAnsi="Arial"/>
          <w:b/>
          <w:color w:val="003366"/>
          <w:sz w:val="36"/>
        </w:rPr>
        <w:t>SECCIÓN 2: MANUAL DE ADMINISTRACIÓN (STAFF GLOBAL)</w:t>
      </w:r>
    </w:p>
    <w:p>
      <w:pPr>
        <w:spacing w:before="0" w:after="120"/>
      </w:pPr>
      <w:r>
        <w:rPr>
          <w:rFonts w:ascii="Arial" w:hAnsi="Arial"/>
          <w:color w:val="333333"/>
          <w:sz w:val="20"/>
        </w:rPr>
        <w:t>La Consola de Aprovisionamiento Corporativo de la plataforma está restringida para el personal técnico interno del propietario del software, permitiendo la gestión integral de licenciamientos y cuentas de staff.</w:t>
      </w:r>
    </w:p>
    <w:p>
      <w:pPr>
        <w:pStyle w:val="Heading2"/>
        <w:spacing w:before="400" w:after="200"/>
      </w:pPr>
      <w:r>
        <w:rPr>
          <w:rFonts w:ascii="Arial" w:hAnsi="Arial"/>
          <w:b/>
          <w:color w:val="0066CC"/>
          <w:sz w:val="26"/>
        </w:rPr>
        <w:t>2.1 Formularios Especializados de Aprovisionamiento:</w:t>
      </w:r>
    </w:p>
    <w:p>
      <w:pPr>
        <w:spacing w:before="0" w:after="120"/>
      </w:pPr>
      <w:r>
        <w:rPr>
          <w:rFonts w:ascii="Arial" w:hAnsi="Arial"/>
          <w:color w:val="333333"/>
          <w:sz w:val="20"/>
        </w:rPr>
        <w:t>Para evitar confusiones en los rangos y estructuras organizacionales de los clientes, la interfaz administrativa está dividida en dos flujos limpios:</w:t>
      </w:r>
    </w:p>
    <w:p>
      <w:pPr>
        <w:spacing w:before="0" w:after="120"/>
      </w:pPr>
      <w:r>
        <w:rPr>
          <w:rFonts w:ascii="Arial" w:hAnsi="Arial"/>
          <w:b/>
          <w:color w:val="333333"/>
          <w:sz w:val="20"/>
        </w:rPr>
        <w:t>1. Registrar Consultores:</w:t>
      </w:r>
      <w:r>
        <w:rPr>
          <w:rFonts w:ascii="Arial" w:hAnsi="Arial"/>
          <w:color w:val="333333"/>
          <w:sz w:val="20"/>
        </w:rPr>
        <w:t xml:space="preserve"> Permite registrar a los clientes raíz del sistema. Solicita el Nombre de la Organización (Nombre Comercial), un ID único (código alfanumérico manual que servirá como base para todos sus establecimientos, ej: CHEVROLET), el Nombre del Encargado corporativo, el Correo Principal, Teléfonos y Contraseña. Se le asigna el rango de Consultor de forma automática. Incluye mapa interactivo de Google Maps para coordenadas geográficas.</w:t>
      </w:r>
    </w:p>
    <w:p>
      <w:pPr>
        <w:spacing w:before="0" w:after="120"/>
      </w:pPr>
      <w:r>
        <w:rPr>
          <w:rFonts w:ascii="Arial" w:hAnsi="Arial"/>
          <w:b/>
          <w:color w:val="333333"/>
          <w:sz w:val="20"/>
        </w:rPr>
        <w:t>2. Registrar Sucursales:</w:t>
      </w:r>
      <w:r>
        <w:rPr>
          <w:rFonts w:ascii="Arial" w:hAnsi="Arial"/>
          <w:color w:val="333333"/>
          <w:sz w:val="20"/>
        </w:rPr>
        <w:t xml:space="preserve"> Diseñado únicamente para dar de alta sucursales de un consultor ya registrado. Solicita el Nombre de la Sucursal (ej: Chevrolet Polanco), el encargado, el Correo Principal de la sucursal y el Correo del Director. Obliga a seleccionar el Consultor Corporativo Superior de un dropdown de búsqueda. Genera de forma automatizada un código jerárquico (ej: CHEVROLET/T1A) y le asigna el rango de Tipo 1, omitiendo preguntas redundantes.</w:t>
      </w:r>
    </w:p>
    <w:p>
      <w:pPr>
        <w:pStyle w:val="Heading2"/>
        <w:spacing w:before="400" w:after="200"/>
      </w:pPr>
      <w:r>
        <w:rPr>
          <w:rFonts w:ascii="Arial" w:hAnsi="Arial"/>
          <w:b/>
          <w:color w:val="0066CC"/>
          <w:sz w:val="26"/>
        </w:rPr>
        <w:t>2.2 Panel de Auditoría de Licencias y Modal de Edición:</w:t>
      </w:r>
    </w:p>
    <w:p>
      <w:pPr>
        <w:spacing w:before="0" w:after="120"/>
      </w:pPr>
      <w:r>
        <w:rPr>
          <w:rFonts w:ascii="Arial" w:hAnsi="Arial"/>
          <w:color w:val="333333"/>
          <w:sz w:val="20"/>
        </w:rPr>
        <w:t>La tabla central de licencias muestra todas las empresas dadas de alta. Al hacer clic en el botón 'Editar' de cualquier fila, se abre un modal interactivo que permite al administrador realizar cambios inmediatos:</w:t>
        <w:br/>
        <w:t>• Modificar el nombre comercial, encargado y correo principal.</w:t>
        <w:br/>
        <w:t>• Configurar y cambiar el Correo del Director (quien recibirá las notificaciones críticas de 24 horas previas al vencimiento).</w:t>
        <w:br/>
        <w:t>• Reemplazar el logotipo de la empresa cargando un archivo de imagen.</w:t>
        <w:br/>
        <w:t>• Modificar las coordenadas geográficas mediante el visor integrado de Google Maps (arrastrando el marcador o haciendo clic).</w:t>
        <w:br/>
        <w:t>• Activar o Suspender la Licencia de la Empresa (si se marca como suspendida, el sistema bloquea inmediatamente el acceso a la cuenta del consultor y de todos sus colaboradores asociados, redirigiéndolos al login con un mensaje de advertencia).</w:t>
        <w:br/>
        <w:br/>
        <w:t>Al presionar 'Guardar Cambios', el modal realiza una llamada POST asíncrona que aplica las modificaciones en la base de datos y actualiza inmediatamente el filtro de consulta del panel sin recargar la página.</w:t>
      </w:r>
    </w:p>
    <w:p>
      <w:r>
        <w:br w:type="page"/>
      </w:r>
    </w:p>
    <w:p>
      <w:pPr>
        <w:pStyle w:val="Heading1"/>
        <w:spacing w:before="400" w:after="200"/>
      </w:pPr>
      <w:r>
        <w:rPr>
          <w:rFonts w:ascii="Arial" w:hAnsi="Arial"/>
          <w:b/>
          <w:color w:val="003366"/>
          <w:sz w:val="36"/>
        </w:rPr>
        <w:t>SECCIÓN 3: GUÍA DE DESPLIEGUE EN SERVIDOR DE PRODUCCIÓN</w:t>
      </w:r>
    </w:p>
    <w:p>
      <w:pPr>
        <w:spacing w:before="0" w:after="120"/>
      </w:pPr>
      <w:r>
        <w:rPr>
          <w:rFonts w:ascii="Arial" w:hAnsi="Arial"/>
          <w:color w:val="333333"/>
          <w:sz w:val="20"/>
        </w:rPr>
        <w:t>Este capítulo describe el procedimiento de instalación en servidores de producción como hostings cPanel o servidores VPS Linux.</w:t>
      </w:r>
    </w:p>
    <w:p>
      <w:pPr>
        <w:pStyle w:val="Heading2"/>
        <w:spacing w:before="400" w:after="200"/>
      </w:pPr>
      <w:r>
        <w:rPr>
          <w:rFonts w:ascii="Arial" w:hAnsi="Arial"/>
          <w:b/>
          <w:color w:val="0066CC"/>
          <w:sz w:val="26"/>
        </w:rPr>
        <w:t>3.1 Requisitos de Infraestructura y Servidor:</w:t>
      </w:r>
    </w:p>
    <w:p>
      <w:pPr>
        <w:pStyle w:val="ListBullet"/>
        <w:spacing w:before="40" w:after="40"/>
      </w:pPr>
      <w:r>
        <w:rPr>
          <w:rFonts w:ascii="Arial" w:hAnsi="Arial"/>
          <w:color w:val="333333"/>
          <w:sz w:val="20"/>
        </w:rPr>
        <w:t xml:space="preserve"> Servidor Web Apache 2.4 o superior con mod_rewrite y mod_headers activos.</w:t>
      </w:r>
    </w:p>
    <w:p>
      <w:pPr>
        <w:pStyle w:val="ListBullet"/>
        <w:spacing w:before="40" w:after="40"/>
      </w:pPr>
      <w:r>
        <w:rPr>
          <w:rFonts w:ascii="Arial" w:hAnsi="Arial"/>
          <w:color w:val="333333"/>
          <w:sz w:val="20"/>
        </w:rPr>
        <w:t xml:space="preserve"> Motor PHP versión 8.0, 8.1 u 8.2 (indispensable habilitar extensiones mysqli, gd, session y json).</w:t>
      </w:r>
    </w:p>
    <w:p>
      <w:pPr>
        <w:pStyle w:val="ListBullet"/>
        <w:spacing w:before="40" w:after="40"/>
      </w:pPr>
      <w:r>
        <w:rPr>
          <w:rFonts w:ascii="Arial" w:hAnsi="Arial"/>
          <w:color w:val="333333"/>
          <w:sz w:val="20"/>
        </w:rPr>
        <w:t xml:space="preserve"> Base de datos MySQL 5.7+ o MariaDB 10.3+.</w:t>
      </w:r>
    </w:p>
    <w:p>
      <w:pPr>
        <w:pStyle w:val="ListBullet"/>
        <w:spacing w:before="40" w:after="40"/>
      </w:pPr>
      <w:r>
        <w:rPr>
          <w:rFonts w:ascii="Arial" w:hAnsi="Arial"/>
          <w:color w:val="333333"/>
          <w:sz w:val="20"/>
        </w:rPr>
        <w:t xml:space="preserve"> Certificado de seguridad SSL (HTTPS) instalado en el servidor para encriptar transferencias.</w:t>
      </w:r>
    </w:p>
    <w:p>
      <w:pPr>
        <w:pStyle w:val="Heading2"/>
        <w:spacing w:before="400" w:after="200"/>
      </w:pPr>
      <w:r>
        <w:rPr>
          <w:rFonts w:ascii="Arial" w:hAnsi="Arial"/>
          <w:b/>
          <w:color w:val="0066CC"/>
          <w:sz w:val="26"/>
        </w:rPr>
        <w:t>3.2 Despliegue Paso a Paso (cPanel / Servidor Web):</w:t>
      </w:r>
    </w:p>
    <w:p>
      <w:pPr>
        <w:spacing w:before="0" w:after="120"/>
      </w:pPr>
      <w:r>
        <w:rPr>
          <w:rFonts w:ascii="Arial" w:hAnsi="Arial"/>
          <w:color w:val="333333"/>
          <w:sz w:val="20"/>
        </w:rPr>
        <w:t>1. Descargue y extraiga el código en el directorio raíz de su dominio o subdominio (ej: /public_html/).</w:t>
        <w:br/>
        <w:t>2. Ingrese a cPanel -&gt; 'Bases de Datos MySQL' y cree una nueva base de datos (ej: xonexka_db).</w:t>
        <w:br/>
        <w:t>3. Cree un usuario de base de datos con una contraseña segura, otórguele todos los privilegios sobre la base de datos y vincúlelos.</w:t>
        <w:br/>
        <w:t>4. Ingrese a PHPMyAdmin, seleccione la base de datos recién creada e importe el archivo de estructura SQL provisto ('upgrade_systems_db.sql').</w:t>
        <w:br/>
        <w:t>5. Abra el archivo config/conexion.php en su editor y edite los valores de la conexión MySQL con sus credenciales:</w:t>
        <w:br/>
        <w:t xml:space="preserve">   $conexion = new mysqli('localhost', 'xonexka_user', 'contraseña_segura', 'xonexka_db');</w:t>
        <w:br/>
        <w:t>6. Configure los permisos de escritura (chmod 755 o 775 en Linux) en las siguientes carpetas:</w:t>
        <w:br/>
        <w:t xml:space="preserve">   • /uploads_dictamenes/ (Donde se resguardan los expedientes PDF privados).</w:t>
        <w:br/>
        <w:t xml:space="preserve">   • /public/uploads/logos/ (Donde se guardan los logotipos comerciales de los clientes).</w:t>
      </w:r>
    </w:p>
    <w:p>
      <w:pPr>
        <w:pStyle w:val="Heading2"/>
        <w:spacing w:before="400" w:after="200"/>
      </w:pPr>
      <w:r>
        <w:rPr>
          <w:rFonts w:ascii="Arial" w:hAnsi="Arial"/>
          <w:b/>
          <w:color w:val="0066CC"/>
          <w:sz w:val="26"/>
        </w:rPr>
        <w:t>3.3 Configuración de la Tarea Programada (Cron Job):</w:t>
      </w:r>
    </w:p>
    <w:p>
      <w:pPr>
        <w:spacing w:before="0" w:after="120"/>
      </w:pPr>
      <w:r>
        <w:rPr>
          <w:rFonts w:ascii="Arial" w:hAnsi="Arial"/>
          <w:color w:val="333333"/>
          <w:sz w:val="20"/>
        </w:rPr>
        <w:t>El motor de alertas automáticas (alertas_automaticas.php) debe programarse para ejecutarse diariamente en el servidor, permitiendo calcular vigencias e inyectar correos electrónicos a los destinatarios a primera hora.</w:t>
      </w:r>
    </w:p>
    <w:p>
      <w:pPr>
        <w:spacing w:before="0" w:after="120"/>
      </w:pPr>
      <w:r>
        <w:rPr>
          <w:rFonts w:ascii="Arial" w:hAnsi="Arial"/>
          <w:b/>
          <w:color w:val="333333"/>
          <w:sz w:val="20"/>
        </w:rPr>
        <w:t>Configuración en cPanel:</w:t>
      </w:r>
      <w:r>
        <w:rPr>
          <w:rFonts w:ascii="Arial" w:hAnsi="Arial"/>
          <w:color w:val="333333"/>
          <w:sz w:val="20"/>
        </w:rPr>
        <w:t xml:space="preserve"> Ingrese a cPanel -&gt; 'Tareas Cron'. Seleccione el intervalo común 'Una vez al día (0 0 * * *)' y configure el comando apuntando al intérprete de PHP de su servidor:</w:t>
      </w:r>
    </w:p>
    <w:p>
      <w:pPr>
        <w:spacing w:before="120" w:after="120"/>
        <w:ind w:left="360"/>
        <w:shd w:fill="F8FAFC"/>
      </w:pPr>
      <w:r>
        <w:rPr>
          <w:rFonts w:ascii="Consolas" w:hAnsi="Consolas"/>
          <w:color w:val="1E293B"/>
          <w:sz w:val="18"/>
        </w:rPr>
        <w:t>/usr/local/bin/php -q /home/usuario/public_html/controllers/alertas_automaticas.php &gt; /dev/null 2&gt;&amp;1</w:t>
      </w:r>
    </w:p>
    <w:p>
      <w:pPr>
        <w:spacing w:before="0" w:after="120"/>
      </w:pPr>
      <w:r>
        <w:rPr>
          <w:rFonts w:ascii="Arial" w:hAnsi="Arial"/>
          <w:b/>
          <w:color w:val="333333"/>
          <w:sz w:val="20"/>
        </w:rPr>
        <w:t>Configuración en VPS Linux (Consola):</w:t>
      </w:r>
      <w:r>
        <w:rPr>
          <w:rFonts w:ascii="Arial" w:hAnsi="Arial"/>
          <w:color w:val="333333"/>
          <w:sz w:val="20"/>
        </w:rPr>
        <w:t xml:space="preserve"> Abra la terminal de SSH, acceda al crontab del usuario root o del servidor web y añada la siguiente instrucción de ejecución a las 08:00 AM de forma diaria:</w:t>
      </w:r>
    </w:p>
    <w:p>
      <w:pPr>
        <w:spacing w:before="120" w:after="120"/>
        <w:ind w:left="360"/>
        <w:shd w:fill="F8FAFC"/>
      </w:pPr>
      <w:r>
        <w:rPr>
          <w:rFonts w:ascii="Consolas" w:hAnsi="Consolas"/>
          <w:color w:val="1E293B"/>
          <w:sz w:val="18"/>
        </w:rPr>
        <w:t>crontab -e</w:t>
        <w:br/>
        <w:t>0 8 * * * /usr/bin/php /var/www/html/controllers/alertas_automaticas.php &gt; /dev/null 2&gt;&amp;1</w:t>
      </w:r>
    </w:p>
    <w:p>
      <w:r>
        <w:br w:type="page"/>
      </w:r>
    </w:p>
    <w:p>
      <w:pPr>
        <w:pStyle w:val="Heading1"/>
        <w:spacing w:before="400" w:after="200"/>
      </w:pPr>
      <w:r>
        <w:rPr>
          <w:rFonts w:ascii="Arial" w:hAnsi="Arial"/>
          <w:b/>
          <w:color w:val="003366"/>
          <w:sz w:val="36"/>
        </w:rPr>
        <w:t>SECCIÓN 4: DICCIONARIO DE DATOS Y MODELO DE RELACIONES</w:t>
      </w:r>
    </w:p>
    <w:p>
      <w:pPr>
        <w:spacing w:before="0" w:after="120"/>
      </w:pPr>
      <w:r>
        <w:rPr>
          <w:rFonts w:ascii="Arial" w:hAnsi="Arial"/>
          <w:color w:val="333333"/>
          <w:sz w:val="20"/>
        </w:rPr>
        <w:t>Esta sección detalla de forma exhaustiva la estructura y campos de las tablas del sistema de base de datos MySQL.</w:t>
      </w:r>
    </w:p>
    <w:p>
      <w:pPr>
        <w:pStyle w:val="Heading2"/>
        <w:spacing w:before="400" w:after="200"/>
      </w:pPr>
      <w:r>
        <w:rPr>
          <w:rFonts w:ascii="Arial" w:hAnsi="Arial"/>
          <w:b/>
          <w:color w:val="0066CC"/>
          <w:sz w:val="26"/>
        </w:rPr>
        <w:t>4.1 Tabla: empresas_clientes (Usuarios e Inquilinos)</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Columna / Tipo de Dato</w:t>
            </w:r>
          </w:p>
        </w:tc>
        <w:tc>
          <w:tcPr>
            <w:tcW w:type="dxa" w:w="4680"/>
            <w:tcMar>
              <w:top w:w="120" w:type="dxa"/>
              <w:bottom w:w="120" w:type="dxa"/>
              <w:left w:w="180" w:type="dxa"/>
              <w:right w:w="180" w:type="dxa"/>
            </w:tcMar>
            <w:shd w:fill="003366"/>
          </w:tcPr>
          <w:p>
            <w:r>
              <w:rPr>
                <w:rFonts w:ascii="Arial" w:hAnsi="Arial"/>
                <w:b/>
                <w:color w:val="FFFFFF"/>
                <w:sz w:val="20"/>
              </w:rPr>
              <w:t>Especificación y Lógica de Negocio</w:t>
            </w:r>
          </w:p>
        </w:tc>
      </w:tr>
      <w:tr>
        <w:tc>
          <w:tcPr>
            <w:tcW w:type="dxa" w:w="4680"/>
            <w:tcMar>
              <w:top w:w="120" w:type="dxa"/>
              <w:bottom w:w="120" w:type="dxa"/>
              <w:left w:w="180" w:type="dxa"/>
              <w:right w:w="180" w:type="dxa"/>
            </w:tcMar>
          </w:tcPr>
          <w:p>
            <w:r>
              <w:rPr>
                <w:rFonts w:ascii="Arial" w:hAnsi="Arial"/>
                <w:color w:val="333333"/>
                <w:sz w:val="19"/>
              </w:rPr>
              <w:t>`id` INT (Primary Key, Auto-increment)</w:t>
            </w:r>
          </w:p>
        </w:tc>
        <w:tc>
          <w:tcPr>
            <w:tcW w:type="dxa" w:w="4680"/>
            <w:tcMar>
              <w:top w:w="120" w:type="dxa"/>
              <w:bottom w:w="120" w:type="dxa"/>
              <w:left w:w="180" w:type="dxa"/>
              <w:right w:w="180" w:type="dxa"/>
            </w:tcMar>
          </w:tcPr>
          <w:p>
            <w:r>
              <w:rPr>
                <w:rFonts w:ascii="Arial" w:hAnsi="Arial"/>
                <w:color w:val="333333"/>
                <w:sz w:val="19"/>
              </w:rPr>
              <w:t>Identificador secuencial único de la organización o sucursal.</w:t>
            </w:r>
          </w:p>
        </w:tc>
      </w:tr>
      <w:tr>
        <w:tc>
          <w:tcPr>
            <w:tcW w:type="dxa" w:w="4680"/>
            <w:tcMar>
              <w:top w:w="120" w:type="dxa"/>
              <w:bottom w:w="120" w:type="dxa"/>
              <w:left w:w="180" w:type="dxa"/>
              <w:right w:w="180" w:type="dxa"/>
            </w:tcMar>
          </w:tcPr>
          <w:p>
            <w:r>
              <w:rPr>
                <w:rFonts w:ascii="Arial" w:hAnsi="Arial"/>
                <w:color w:val="333333"/>
                <w:sz w:val="19"/>
              </w:rPr>
              <w:t>`cod` VARCHAR(255) (Not Null)</w:t>
            </w:r>
          </w:p>
        </w:tc>
        <w:tc>
          <w:tcPr>
            <w:tcW w:type="dxa" w:w="4680"/>
            <w:tcMar>
              <w:top w:w="120" w:type="dxa"/>
              <w:bottom w:w="120" w:type="dxa"/>
              <w:left w:w="180" w:type="dxa"/>
              <w:right w:w="180" w:type="dxa"/>
            </w:tcMar>
          </w:tcPr>
          <w:p>
            <w:r>
              <w:rPr>
                <w:rFonts w:ascii="Arial" w:hAnsi="Arial"/>
                <w:color w:val="333333"/>
                <w:sz w:val="19"/>
              </w:rPr>
              <w:t>Código jerárquico identificador. En consultores es el código base (ej: PORSCHE). En sucursales vinculadas hereda la base con una extensión incremental de tipo (ej: PORSCHE/T1A).</w:t>
            </w:r>
          </w:p>
        </w:tc>
      </w:tr>
      <w:tr>
        <w:tc>
          <w:tcPr>
            <w:tcW w:type="dxa" w:w="4680"/>
            <w:tcMar>
              <w:top w:w="120" w:type="dxa"/>
              <w:bottom w:w="120" w:type="dxa"/>
              <w:left w:w="180" w:type="dxa"/>
              <w:right w:w="180" w:type="dxa"/>
            </w:tcMar>
          </w:tcPr>
          <w:p>
            <w:r>
              <w:rPr>
                <w:rFonts w:ascii="Arial" w:hAnsi="Arial"/>
                <w:color w:val="333333"/>
                <w:sz w:val="19"/>
              </w:rPr>
              <w:t>`nombre` VARCHAR(255) (Not Null)</w:t>
            </w:r>
          </w:p>
        </w:tc>
        <w:tc>
          <w:tcPr>
            <w:tcW w:type="dxa" w:w="4680"/>
            <w:tcMar>
              <w:top w:w="120" w:type="dxa"/>
              <w:bottom w:w="120" w:type="dxa"/>
              <w:left w:w="180" w:type="dxa"/>
              <w:right w:w="180" w:type="dxa"/>
            </w:tcMar>
          </w:tcPr>
          <w:p>
            <w:r>
              <w:rPr>
                <w:rFonts w:ascii="Arial" w:hAnsi="Arial"/>
                <w:color w:val="333333"/>
                <w:sz w:val="19"/>
              </w:rPr>
              <w:t>Nombre comercial de la sucursal o consultora (ej: Porsche Santa Fe).</w:t>
            </w:r>
          </w:p>
        </w:tc>
      </w:tr>
      <w:tr>
        <w:tc>
          <w:tcPr>
            <w:tcW w:type="dxa" w:w="4680"/>
            <w:tcMar>
              <w:top w:w="120" w:type="dxa"/>
              <w:bottom w:w="120" w:type="dxa"/>
              <w:left w:w="180" w:type="dxa"/>
              <w:right w:w="180" w:type="dxa"/>
            </w:tcMar>
          </w:tcPr>
          <w:p>
            <w:r>
              <w:rPr>
                <w:rFonts w:ascii="Arial" w:hAnsi="Arial"/>
                <w:color w:val="333333"/>
                <w:sz w:val="19"/>
              </w:rPr>
              <w:t>`encargado` VARCHAR(255) (Not Null)</w:t>
            </w:r>
          </w:p>
        </w:tc>
        <w:tc>
          <w:tcPr>
            <w:tcW w:type="dxa" w:w="4680"/>
            <w:tcMar>
              <w:top w:w="120" w:type="dxa"/>
              <w:bottom w:w="120" w:type="dxa"/>
              <w:left w:w="180" w:type="dxa"/>
              <w:right w:w="180" w:type="dxa"/>
            </w:tcMar>
          </w:tcPr>
          <w:p>
            <w:r>
              <w:rPr>
                <w:rFonts w:ascii="Arial" w:hAnsi="Arial"/>
                <w:color w:val="333333"/>
                <w:sz w:val="19"/>
              </w:rPr>
              <w:t>Nombre del responsable de la operación a nivel local.</w:t>
            </w:r>
          </w:p>
        </w:tc>
      </w:tr>
      <w:tr>
        <w:tc>
          <w:tcPr>
            <w:tcW w:type="dxa" w:w="4680"/>
            <w:tcMar>
              <w:top w:w="120" w:type="dxa"/>
              <w:bottom w:w="120" w:type="dxa"/>
              <w:left w:w="180" w:type="dxa"/>
              <w:right w:w="180" w:type="dxa"/>
            </w:tcMar>
          </w:tcPr>
          <w:p>
            <w:r>
              <w:rPr>
                <w:rFonts w:ascii="Arial" w:hAnsi="Arial"/>
                <w:color w:val="333333"/>
                <w:sz w:val="19"/>
              </w:rPr>
              <w:t>`email` VARCHAR(255) (Unique, Not Null)</w:t>
            </w:r>
          </w:p>
        </w:tc>
        <w:tc>
          <w:tcPr>
            <w:tcW w:type="dxa" w:w="4680"/>
            <w:tcMar>
              <w:top w:w="120" w:type="dxa"/>
              <w:bottom w:w="120" w:type="dxa"/>
              <w:left w:w="180" w:type="dxa"/>
              <w:right w:w="180" w:type="dxa"/>
            </w:tcMar>
          </w:tcPr>
          <w:p>
            <w:r>
              <w:rPr>
                <w:rFonts w:ascii="Arial" w:hAnsi="Arial"/>
                <w:color w:val="333333"/>
                <w:sz w:val="19"/>
              </w:rPr>
              <w:t>Correo principal usado como credencial de acceso (login) al sistema.</w:t>
            </w:r>
          </w:p>
        </w:tc>
      </w:tr>
      <w:tr>
        <w:tc>
          <w:tcPr>
            <w:tcW w:type="dxa" w:w="4680"/>
            <w:tcMar>
              <w:top w:w="120" w:type="dxa"/>
              <w:bottom w:w="120" w:type="dxa"/>
              <w:left w:w="180" w:type="dxa"/>
              <w:right w:w="180" w:type="dxa"/>
            </w:tcMar>
          </w:tcPr>
          <w:p>
            <w:r>
              <w:rPr>
                <w:rFonts w:ascii="Arial" w:hAnsi="Arial"/>
                <w:color w:val="333333"/>
                <w:sz w:val="19"/>
              </w:rPr>
              <w:t>`director_email` VARCHAR(255) (Null)</w:t>
            </w:r>
          </w:p>
        </w:tc>
        <w:tc>
          <w:tcPr>
            <w:tcW w:type="dxa" w:w="4680"/>
            <w:tcMar>
              <w:top w:w="120" w:type="dxa"/>
              <w:bottom w:w="120" w:type="dxa"/>
              <w:left w:w="180" w:type="dxa"/>
              <w:right w:w="180" w:type="dxa"/>
            </w:tcMar>
          </w:tcPr>
          <w:p>
            <w:r>
              <w:rPr>
                <w:rFonts w:ascii="Arial" w:hAnsi="Arial"/>
                <w:color w:val="333333"/>
                <w:sz w:val="19"/>
              </w:rPr>
              <w:t>Correo del director de la sucursal. Destinatario de la última alerta crítica (24 horas previas).</w:t>
            </w:r>
          </w:p>
        </w:tc>
      </w:tr>
      <w:tr>
        <w:tc>
          <w:tcPr>
            <w:tcW w:type="dxa" w:w="4680"/>
            <w:tcMar>
              <w:top w:w="120" w:type="dxa"/>
              <w:bottom w:w="120" w:type="dxa"/>
              <w:left w:w="180" w:type="dxa"/>
              <w:right w:w="180" w:type="dxa"/>
            </w:tcMar>
          </w:tcPr>
          <w:p>
            <w:r>
              <w:rPr>
                <w:rFonts w:ascii="Arial" w:hAnsi="Arial"/>
                <w:color w:val="333333"/>
                <w:sz w:val="19"/>
              </w:rPr>
              <w:t>`email_adicional` VARCHAR(255) (Null)</w:t>
            </w:r>
          </w:p>
        </w:tc>
        <w:tc>
          <w:tcPr>
            <w:tcW w:type="dxa" w:w="4680"/>
            <w:tcMar>
              <w:top w:w="120" w:type="dxa"/>
              <w:bottom w:w="120" w:type="dxa"/>
              <w:left w:w="180" w:type="dxa"/>
              <w:right w:w="180" w:type="dxa"/>
            </w:tcMar>
          </w:tcPr>
          <w:p>
            <w:r>
              <w:rPr>
                <w:rFonts w:ascii="Arial" w:hAnsi="Arial"/>
                <w:color w:val="333333"/>
                <w:sz w:val="19"/>
              </w:rPr>
              <w:t>Contacto alternativo opcional.</w:t>
            </w:r>
          </w:p>
        </w:tc>
      </w:tr>
      <w:tr>
        <w:tc>
          <w:tcPr>
            <w:tcW w:type="dxa" w:w="4680"/>
            <w:tcMar>
              <w:top w:w="120" w:type="dxa"/>
              <w:bottom w:w="120" w:type="dxa"/>
              <w:left w:w="180" w:type="dxa"/>
              <w:right w:w="180" w:type="dxa"/>
            </w:tcMar>
          </w:tcPr>
          <w:p>
            <w:r>
              <w:rPr>
                <w:rFonts w:ascii="Arial" w:hAnsi="Arial"/>
                <w:color w:val="333333"/>
                <w:sz w:val="19"/>
              </w:rPr>
              <w:t>`telefono_principal` VARCHAR(50) (Not Null)</w:t>
            </w:r>
          </w:p>
        </w:tc>
        <w:tc>
          <w:tcPr>
            <w:tcW w:type="dxa" w:w="4680"/>
            <w:tcMar>
              <w:top w:w="120" w:type="dxa"/>
              <w:bottom w:w="120" w:type="dxa"/>
              <w:left w:w="180" w:type="dxa"/>
              <w:right w:w="180" w:type="dxa"/>
            </w:tcMar>
          </w:tcPr>
          <w:p>
            <w:r>
              <w:rPr>
                <w:rFonts w:ascii="Arial" w:hAnsi="Arial"/>
                <w:color w:val="333333"/>
                <w:sz w:val="19"/>
              </w:rPr>
              <w:t>Teléfono principal para alertas de WhatsApp.</w:t>
            </w:r>
          </w:p>
        </w:tc>
      </w:tr>
      <w:tr>
        <w:tc>
          <w:tcPr>
            <w:tcW w:type="dxa" w:w="4680"/>
            <w:tcMar>
              <w:top w:w="120" w:type="dxa"/>
              <w:bottom w:w="120" w:type="dxa"/>
              <w:left w:w="180" w:type="dxa"/>
              <w:right w:w="180" w:type="dxa"/>
            </w:tcMar>
          </w:tcPr>
          <w:p>
            <w:r>
              <w:rPr>
                <w:rFonts w:ascii="Arial" w:hAnsi="Arial"/>
                <w:color w:val="333333"/>
                <w:sz w:val="19"/>
              </w:rPr>
              <w:t>`telefono_adicional` VARCHAR(50) (Null)</w:t>
            </w:r>
          </w:p>
        </w:tc>
        <w:tc>
          <w:tcPr>
            <w:tcW w:type="dxa" w:w="4680"/>
            <w:tcMar>
              <w:top w:w="120" w:type="dxa"/>
              <w:bottom w:w="120" w:type="dxa"/>
              <w:left w:w="180" w:type="dxa"/>
              <w:right w:w="180" w:type="dxa"/>
            </w:tcMar>
          </w:tcPr>
          <w:p>
            <w:r>
              <w:rPr>
                <w:rFonts w:ascii="Arial" w:hAnsi="Arial"/>
                <w:color w:val="333333"/>
                <w:sz w:val="19"/>
              </w:rPr>
              <w:t>Teléfono secundario opcional.</w:t>
            </w:r>
          </w:p>
        </w:tc>
      </w:tr>
      <w:tr>
        <w:tc>
          <w:tcPr>
            <w:tcW w:type="dxa" w:w="4680"/>
            <w:tcMar>
              <w:top w:w="120" w:type="dxa"/>
              <w:bottom w:w="120" w:type="dxa"/>
              <w:left w:w="180" w:type="dxa"/>
              <w:right w:w="180" w:type="dxa"/>
            </w:tcMar>
          </w:tcPr>
          <w:p>
            <w:r>
              <w:rPr>
                <w:rFonts w:ascii="Arial" w:hAnsi="Arial"/>
                <w:color w:val="333333"/>
                <w:sz w:val="19"/>
              </w:rPr>
              <w:t>`direccion` TEXT (Null)</w:t>
            </w:r>
          </w:p>
        </w:tc>
        <w:tc>
          <w:tcPr>
            <w:tcW w:type="dxa" w:w="4680"/>
            <w:tcMar>
              <w:top w:w="120" w:type="dxa"/>
              <w:bottom w:w="120" w:type="dxa"/>
              <w:left w:w="180" w:type="dxa"/>
              <w:right w:w="180" w:type="dxa"/>
            </w:tcMar>
          </w:tcPr>
          <w:p>
            <w:r>
              <w:rPr>
                <w:rFonts w:ascii="Arial" w:hAnsi="Arial"/>
                <w:color w:val="333333"/>
                <w:sz w:val="19"/>
              </w:rPr>
              <w:t>Domicilio físico oficial del establecimiento.</w:t>
            </w:r>
          </w:p>
        </w:tc>
      </w:tr>
      <w:tr>
        <w:tc>
          <w:tcPr>
            <w:tcW w:type="dxa" w:w="4680"/>
            <w:tcMar>
              <w:top w:w="120" w:type="dxa"/>
              <w:bottom w:w="120" w:type="dxa"/>
              <w:left w:w="180" w:type="dxa"/>
              <w:right w:w="180" w:type="dxa"/>
            </w:tcMar>
          </w:tcPr>
          <w:p>
            <w:r>
              <w:rPr>
                <w:rFonts w:ascii="Arial" w:hAnsi="Arial"/>
                <w:color w:val="333333"/>
                <w:sz w:val="19"/>
              </w:rPr>
              <w:t>`coordenadas` VARCHAR(255) (Null)</w:t>
            </w:r>
          </w:p>
        </w:tc>
        <w:tc>
          <w:tcPr>
            <w:tcW w:type="dxa" w:w="4680"/>
            <w:tcMar>
              <w:top w:w="120" w:type="dxa"/>
              <w:bottom w:w="120" w:type="dxa"/>
              <w:left w:w="180" w:type="dxa"/>
              <w:right w:w="180" w:type="dxa"/>
            </w:tcMar>
          </w:tcPr>
          <w:p>
            <w:r>
              <w:rPr>
                <w:rFonts w:ascii="Arial" w:hAnsi="Arial"/>
                <w:color w:val="333333"/>
                <w:sz w:val="19"/>
              </w:rPr>
              <w:t>Coordenadas GPS (Latitud, Longitud) cargadas en Google Maps.</w:t>
            </w:r>
          </w:p>
        </w:tc>
      </w:tr>
      <w:tr>
        <w:tc>
          <w:tcPr>
            <w:tcW w:type="dxa" w:w="4680"/>
            <w:tcMar>
              <w:top w:w="120" w:type="dxa"/>
              <w:bottom w:w="120" w:type="dxa"/>
              <w:left w:w="180" w:type="dxa"/>
              <w:right w:w="180" w:type="dxa"/>
            </w:tcMar>
          </w:tcPr>
          <w:p>
            <w:r>
              <w:rPr>
                <w:rFonts w:ascii="Arial" w:hAnsi="Arial"/>
                <w:color w:val="333333"/>
                <w:sz w:val="19"/>
              </w:rPr>
              <w:t>`logo` VARCHAR(255) (Null)</w:t>
            </w:r>
          </w:p>
        </w:tc>
        <w:tc>
          <w:tcPr>
            <w:tcW w:type="dxa" w:w="4680"/>
            <w:tcMar>
              <w:top w:w="120" w:type="dxa"/>
              <w:bottom w:w="120" w:type="dxa"/>
              <w:left w:w="180" w:type="dxa"/>
              <w:right w:w="180" w:type="dxa"/>
            </w:tcMar>
          </w:tcPr>
          <w:p>
            <w:r>
              <w:rPr>
                <w:rFonts w:ascii="Arial" w:hAnsi="Arial"/>
                <w:color w:val="333333"/>
                <w:sz w:val="19"/>
              </w:rPr>
              <w:t>Ruta del logotipo comercial almacenado físicamente en /uploads/logos/.</w:t>
            </w:r>
          </w:p>
        </w:tc>
      </w:tr>
      <w:tr>
        <w:tc>
          <w:tcPr>
            <w:tcW w:type="dxa" w:w="4680"/>
            <w:tcMar>
              <w:top w:w="120" w:type="dxa"/>
              <w:bottom w:w="120" w:type="dxa"/>
              <w:left w:w="180" w:type="dxa"/>
              <w:right w:w="180" w:type="dxa"/>
            </w:tcMar>
          </w:tcPr>
          <w:p>
            <w:r>
              <w:rPr>
                <w:rFonts w:ascii="Arial" w:hAnsi="Arial"/>
                <w:color w:val="333333"/>
                <w:sz w:val="19"/>
              </w:rPr>
              <w:t>`pass` VARCHAR(255) (Not Null)</w:t>
            </w:r>
          </w:p>
        </w:tc>
        <w:tc>
          <w:tcPr>
            <w:tcW w:type="dxa" w:w="4680"/>
            <w:tcMar>
              <w:top w:w="120" w:type="dxa"/>
              <w:bottom w:w="120" w:type="dxa"/>
              <w:left w:w="180" w:type="dxa"/>
              <w:right w:w="180" w:type="dxa"/>
            </w:tcMar>
          </w:tcPr>
          <w:p>
            <w:r>
              <w:rPr>
                <w:rFonts w:ascii="Arial" w:hAnsi="Arial"/>
                <w:color w:val="333333"/>
                <w:sz w:val="19"/>
              </w:rPr>
              <w:t>Contraseña cifrada mediante la función password_hash() con el algoritmo BCrypt.</w:t>
            </w:r>
          </w:p>
        </w:tc>
      </w:tr>
      <w:tr>
        <w:tc>
          <w:tcPr>
            <w:tcW w:type="dxa" w:w="4680"/>
            <w:tcMar>
              <w:top w:w="120" w:type="dxa"/>
              <w:bottom w:w="120" w:type="dxa"/>
              <w:left w:w="180" w:type="dxa"/>
              <w:right w:w="180" w:type="dxa"/>
            </w:tcMar>
          </w:tcPr>
          <w:p>
            <w:r>
              <w:rPr>
                <w:rFonts w:ascii="Arial" w:hAnsi="Arial"/>
                <w:color w:val="333333"/>
                <w:sz w:val="19"/>
              </w:rPr>
              <w:t>`rol` VARCHAR(50) (Not Null)</w:t>
            </w:r>
          </w:p>
        </w:tc>
        <w:tc>
          <w:tcPr>
            <w:tcW w:type="dxa" w:w="4680"/>
            <w:tcMar>
              <w:top w:w="120" w:type="dxa"/>
              <w:bottom w:w="120" w:type="dxa"/>
              <w:left w:w="180" w:type="dxa"/>
              <w:right w:w="180" w:type="dxa"/>
            </w:tcMar>
          </w:tcPr>
          <w:p>
            <w:r>
              <w:rPr>
                <w:rFonts w:ascii="Arial" w:hAnsi="Arial"/>
                <w:color w:val="333333"/>
                <w:sz w:val="19"/>
              </w:rPr>
              <w:t>Nivel jerárquico: 'Consultor', 'Responsable Nacional', 'Tipo 1', 'Tipo 2', 'Tipo 3'.</w:t>
            </w:r>
          </w:p>
        </w:tc>
      </w:tr>
      <w:tr>
        <w:tc>
          <w:tcPr>
            <w:tcW w:type="dxa" w:w="4680"/>
            <w:tcMar>
              <w:top w:w="120" w:type="dxa"/>
              <w:bottom w:w="120" w:type="dxa"/>
              <w:left w:w="180" w:type="dxa"/>
              <w:right w:w="180" w:type="dxa"/>
            </w:tcMar>
          </w:tcPr>
          <w:p>
            <w:r>
              <w:rPr>
                <w:rFonts w:ascii="Arial" w:hAnsi="Arial"/>
                <w:color w:val="333333"/>
                <w:sz w:val="19"/>
              </w:rPr>
              <w:t>`activo` TINYINT(1) (Default 1)</w:t>
            </w:r>
          </w:p>
        </w:tc>
        <w:tc>
          <w:tcPr>
            <w:tcW w:type="dxa" w:w="4680"/>
            <w:tcMar>
              <w:top w:w="120" w:type="dxa"/>
              <w:bottom w:w="120" w:type="dxa"/>
              <w:left w:w="180" w:type="dxa"/>
              <w:right w:w="180" w:type="dxa"/>
            </w:tcMar>
          </w:tcPr>
          <w:p>
            <w:r>
              <w:rPr>
                <w:rFonts w:ascii="Arial" w:hAnsi="Arial"/>
                <w:color w:val="333333"/>
                <w:sz w:val="19"/>
              </w:rPr>
              <w:t>Bandera de licencia activa. 1 = Acceso permitido, 0 = Acceso denegado (bloqueo total).</w:t>
            </w:r>
          </w:p>
        </w:tc>
      </w:tr>
    </w:tbl>
    <w:p>
      <w:pPr>
        <w:spacing w:after="240"/>
      </w:pPr>
    </w:p>
    <w:p>
      <w:pPr>
        <w:pStyle w:val="Heading2"/>
        <w:spacing w:before="400" w:after="200"/>
      </w:pPr>
      <w:r>
        <w:rPr>
          <w:rFonts w:ascii="Arial" w:hAnsi="Arial"/>
          <w:b/>
          <w:color w:val="0066CC"/>
          <w:sz w:val="26"/>
        </w:rPr>
        <w:t>4.2 Tabla: documentos_pc (Expedientes y Alertas)</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Columna / Tipo de Dato</w:t>
            </w:r>
          </w:p>
        </w:tc>
        <w:tc>
          <w:tcPr>
            <w:tcW w:type="dxa" w:w="4680"/>
            <w:tcMar>
              <w:top w:w="120" w:type="dxa"/>
              <w:bottom w:w="120" w:type="dxa"/>
              <w:left w:w="180" w:type="dxa"/>
              <w:right w:w="180" w:type="dxa"/>
            </w:tcMar>
            <w:shd w:fill="003366"/>
          </w:tcPr>
          <w:p>
            <w:r>
              <w:rPr>
                <w:rFonts w:ascii="Arial" w:hAnsi="Arial"/>
                <w:b/>
                <w:color w:val="FFFFFF"/>
                <w:sz w:val="20"/>
              </w:rPr>
              <w:t>Especificación y Lógica de Negocio</w:t>
            </w:r>
          </w:p>
        </w:tc>
      </w:tr>
      <w:tr>
        <w:tc>
          <w:tcPr>
            <w:tcW w:type="dxa" w:w="4680"/>
            <w:tcMar>
              <w:top w:w="120" w:type="dxa"/>
              <w:bottom w:w="120" w:type="dxa"/>
              <w:left w:w="180" w:type="dxa"/>
              <w:right w:w="180" w:type="dxa"/>
            </w:tcMar>
          </w:tcPr>
          <w:p>
            <w:r>
              <w:rPr>
                <w:rFonts w:ascii="Arial" w:hAnsi="Arial"/>
                <w:color w:val="333333"/>
                <w:sz w:val="19"/>
              </w:rPr>
              <w:t>`id` INT (Primary Key, Auto-increment)</w:t>
            </w:r>
          </w:p>
        </w:tc>
        <w:tc>
          <w:tcPr>
            <w:tcW w:type="dxa" w:w="4680"/>
            <w:tcMar>
              <w:top w:w="120" w:type="dxa"/>
              <w:bottom w:w="120" w:type="dxa"/>
              <w:left w:w="180" w:type="dxa"/>
              <w:right w:w="180" w:type="dxa"/>
            </w:tcMar>
          </w:tcPr>
          <w:p>
            <w:r>
              <w:rPr>
                <w:rFonts w:ascii="Arial" w:hAnsi="Arial"/>
                <w:color w:val="333333"/>
                <w:sz w:val="19"/>
              </w:rPr>
              <w:t>Identificador único de archivo indexado.</w:t>
            </w:r>
          </w:p>
        </w:tc>
      </w:tr>
      <w:tr>
        <w:tc>
          <w:tcPr>
            <w:tcW w:type="dxa" w:w="4680"/>
            <w:tcMar>
              <w:top w:w="120" w:type="dxa"/>
              <w:bottom w:w="120" w:type="dxa"/>
              <w:left w:w="180" w:type="dxa"/>
              <w:right w:w="180" w:type="dxa"/>
            </w:tcMar>
          </w:tcPr>
          <w:p>
            <w:r>
              <w:rPr>
                <w:rFonts w:ascii="Arial" w:hAnsi="Arial"/>
                <w:color w:val="333333"/>
                <w:sz w:val="19"/>
              </w:rPr>
              <w:t>`empresa_cod` VARCHAR(255) (Not Null)</w:t>
            </w:r>
          </w:p>
        </w:tc>
        <w:tc>
          <w:tcPr>
            <w:tcW w:type="dxa" w:w="4680"/>
            <w:tcMar>
              <w:top w:w="120" w:type="dxa"/>
              <w:bottom w:w="120" w:type="dxa"/>
              <w:left w:w="180" w:type="dxa"/>
              <w:right w:w="180" w:type="dxa"/>
            </w:tcMar>
          </w:tcPr>
          <w:p>
            <w:r>
              <w:rPr>
                <w:rFonts w:ascii="Arial" w:hAnsi="Arial"/>
                <w:color w:val="333333"/>
                <w:sz w:val="19"/>
              </w:rPr>
              <w:t>Vínculo lógico al código (cod) de la empresa o sucursal propietaria.</w:t>
            </w:r>
          </w:p>
        </w:tc>
      </w:tr>
      <w:tr>
        <w:tc>
          <w:tcPr>
            <w:tcW w:type="dxa" w:w="4680"/>
            <w:tcMar>
              <w:top w:w="120" w:type="dxa"/>
              <w:bottom w:w="120" w:type="dxa"/>
              <w:left w:w="180" w:type="dxa"/>
              <w:right w:w="180" w:type="dxa"/>
            </w:tcMar>
          </w:tcPr>
          <w:p>
            <w:r>
              <w:rPr>
                <w:rFonts w:ascii="Arial" w:hAnsi="Arial"/>
                <w:color w:val="333333"/>
                <w:sz w:val="19"/>
              </w:rPr>
              <w:t>`tipo_doc` VARCHAR(255) (Not Null)</w:t>
            </w:r>
          </w:p>
        </w:tc>
        <w:tc>
          <w:tcPr>
            <w:tcW w:type="dxa" w:w="4680"/>
            <w:tcMar>
              <w:top w:w="120" w:type="dxa"/>
              <w:bottom w:w="120" w:type="dxa"/>
              <w:left w:w="180" w:type="dxa"/>
              <w:right w:w="180" w:type="dxa"/>
            </w:tcMar>
          </w:tcPr>
          <w:p>
            <w:r>
              <w:rPr>
                <w:rFonts w:ascii="Arial" w:hAnsi="Arial"/>
                <w:color w:val="333333"/>
                <w:sz w:val="19"/>
              </w:rPr>
              <w:t>Categoría de clasificación (ej: Dictamen Estructural, Licencia de Construcción).</w:t>
            </w:r>
          </w:p>
        </w:tc>
      </w:tr>
      <w:tr>
        <w:tc>
          <w:tcPr>
            <w:tcW w:type="dxa" w:w="4680"/>
            <w:tcMar>
              <w:top w:w="120" w:type="dxa"/>
              <w:bottom w:w="120" w:type="dxa"/>
              <w:left w:w="180" w:type="dxa"/>
              <w:right w:w="180" w:type="dxa"/>
            </w:tcMar>
          </w:tcPr>
          <w:p>
            <w:r>
              <w:rPr>
                <w:rFonts w:ascii="Arial" w:hAnsi="Arial"/>
                <w:color w:val="333333"/>
                <w:sz w:val="19"/>
              </w:rPr>
              <w:t>`nombre_personalizado` VARCHAR(255) (Not Null)</w:t>
            </w:r>
          </w:p>
        </w:tc>
        <w:tc>
          <w:tcPr>
            <w:tcW w:type="dxa" w:w="4680"/>
            <w:tcMar>
              <w:top w:w="120" w:type="dxa"/>
              <w:bottom w:w="120" w:type="dxa"/>
              <w:left w:w="180" w:type="dxa"/>
              <w:right w:w="180" w:type="dxa"/>
            </w:tcMar>
          </w:tcPr>
          <w:p>
            <w:r>
              <w:rPr>
                <w:rFonts w:ascii="Arial" w:hAnsi="Arial"/>
                <w:color w:val="333333"/>
                <w:sz w:val="19"/>
              </w:rPr>
              <w:t>Nombre físico codificado en md5/sha1 del archivo PDF en uploads_dictamenes/.</w:t>
            </w:r>
          </w:p>
        </w:tc>
      </w:tr>
      <w:tr>
        <w:tc>
          <w:tcPr>
            <w:tcW w:type="dxa" w:w="4680"/>
            <w:tcMar>
              <w:top w:w="120" w:type="dxa"/>
              <w:bottom w:w="120" w:type="dxa"/>
              <w:left w:w="180" w:type="dxa"/>
              <w:right w:w="180" w:type="dxa"/>
            </w:tcMar>
          </w:tcPr>
          <w:p>
            <w:r>
              <w:rPr>
                <w:rFonts w:ascii="Arial" w:hAnsi="Arial"/>
                <w:color w:val="333333"/>
                <w:sz w:val="19"/>
              </w:rPr>
              <w:t>`fecha_vencimiento` DATE (Null)</w:t>
            </w:r>
          </w:p>
        </w:tc>
        <w:tc>
          <w:tcPr>
            <w:tcW w:type="dxa" w:w="4680"/>
            <w:tcMar>
              <w:top w:w="120" w:type="dxa"/>
              <w:bottom w:w="120" w:type="dxa"/>
              <w:left w:w="180" w:type="dxa"/>
              <w:right w:w="180" w:type="dxa"/>
            </w:tcMar>
          </w:tcPr>
          <w:p>
            <w:r>
              <w:rPr>
                <w:rFonts w:ascii="Arial" w:hAnsi="Arial"/>
                <w:color w:val="333333"/>
                <w:sz w:val="19"/>
              </w:rPr>
              <w:t>Fecha límite de vigencia (calcula el semáforo y disparadores de correo).</w:t>
            </w:r>
          </w:p>
        </w:tc>
      </w:tr>
      <w:tr>
        <w:tc>
          <w:tcPr>
            <w:tcW w:type="dxa" w:w="4680"/>
            <w:tcMar>
              <w:top w:w="120" w:type="dxa"/>
              <w:bottom w:w="120" w:type="dxa"/>
              <w:left w:w="180" w:type="dxa"/>
              <w:right w:w="180" w:type="dxa"/>
            </w:tcMar>
          </w:tcPr>
          <w:p>
            <w:r>
              <w:rPr>
                <w:rFonts w:ascii="Arial" w:hAnsi="Arial"/>
                <w:color w:val="333333"/>
                <w:sz w:val="19"/>
              </w:rPr>
              <w:t>`notificar_correos` TEXT (Null)</w:t>
            </w:r>
          </w:p>
        </w:tc>
        <w:tc>
          <w:tcPr>
            <w:tcW w:type="dxa" w:w="4680"/>
            <w:tcMar>
              <w:top w:w="120" w:type="dxa"/>
              <w:bottom w:w="120" w:type="dxa"/>
              <w:left w:w="180" w:type="dxa"/>
              <w:right w:w="180" w:type="dxa"/>
            </w:tcMar>
          </w:tcPr>
          <w:p>
            <w:r>
              <w:rPr>
                <w:rFonts w:ascii="Arial" w:hAnsi="Arial"/>
                <w:color w:val="333333"/>
                <w:sz w:val="19"/>
              </w:rPr>
              <w:t>Lista en formato de texto plano con hasta 5 correos adicionales separados por comas.</w:t>
            </w:r>
          </w:p>
        </w:tc>
      </w:tr>
      <w:tr>
        <w:tc>
          <w:tcPr>
            <w:tcW w:type="dxa" w:w="4680"/>
            <w:tcMar>
              <w:top w:w="120" w:type="dxa"/>
              <w:bottom w:w="120" w:type="dxa"/>
              <w:left w:w="180" w:type="dxa"/>
              <w:right w:w="180" w:type="dxa"/>
            </w:tcMar>
          </w:tcPr>
          <w:p>
            <w:r>
              <w:rPr>
                <w:rFonts w:ascii="Arial" w:hAnsi="Arial"/>
                <w:color w:val="333333"/>
                <w:sz w:val="19"/>
              </w:rPr>
              <w:t>`activo` TINYINT(1) (Default 1)</w:t>
            </w:r>
          </w:p>
        </w:tc>
        <w:tc>
          <w:tcPr>
            <w:tcW w:type="dxa" w:w="4680"/>
            <w:tcMar>
              <w:top w:w="120" w:type="dxa"/>
              <w:bottom w:w="120" w:type="dxa"/>
              <w:left w:w="180" w:type="dxa"/>
              <w:right w:w="180" w:type="dxa"/>
            </w:tcMar>
          </w:tcPr>
          <w:p>
            <w:r>
              <w:rPr>
                <w:rFonts w:ascii="Arial" w:hAnsi="Arial"/>
                <w:color w:val="333333"/>
                <w:sz w:val="19"/>
              </w:rPr>
              <w:t>Bandera de borrado lógico en el sistema (1 = En control, 0 = Archivado/Borrado).</w:t>
            </w:r>
          </w:p>
        </w:tc>
      </w:tr>
    </w:tbl>
    <w:p>
      <w:pPr>
        <w:spacing w:after="240"/>
      </w:pPr>
    </w:p>
    <w:p>
      <w:pPr>
        <w:pStyle w:val="Heading2"/>
        <w:spacing w:before="400" w:after="200"/>
      </w:pPr>
      <w:r>
        <w:rPr>
          <w:rFonts w:ascii="Arial" w:hAnsi="Arial"/>
          <w:b/>
          <w:color w:val="0066CC"/>
          <w:sz w:val="26"/>
        </w:rPr>
        <w:t>4.3 Tabla: historial_documentos (Historial y Auditoría)</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Columna / Tipo de Dato</w:t>
            </w:r>
          </w:p>
        </w:tc>
        <w:tc>
          <w:tcPr>
            <w:tcW w:type="dxa" w:w="4680"/>
            <w:tcMar>
              <w:top w:w="120" w:type="dxa"/>
              <w:bottom w:w="120" w:type="dxa"/>
              <w:left w:w="180" w:type="dxa"/>
              <w:right w:w="180" w:type="dxa"/>
            </w:tcMar>
            <w:shd w:fill="003366"/>
          </w:tcPr>
          <w:p>
            <w:r>
              <w:rPr>
                <w:rFonts w:ascii="Arial" w:hAnsi="Arial"/>
                <w:b/>
                <w:color w:val="FFFFFF"/>
                <w:sz w:val="20"/>
              </w:rPr>
              <w:t>Especificación y Lógica de Negocio</w:t>
            </w:r>
          </w:p>
        </w:tc>
      </w:tr>
      <w:tr>
        <w:tc>
          <w:tcPr>
            <w:tcW w:type="dxa" w:w="4680"/>
            <w:tcMar>
              <w:top w:w="120" w:type="dxa"/>
              <w:bottom w:w="120" w:type="dxa"/>
              <w:left w:w="180" w:type="dxa"/>
              <w:right w:w="180" w:type="dxa"/>
            </w:tcMar>
          </w:tcPr>
          <w:p>
            <w:r>
              <w:rPr>
                <w:rFonts w:ascii="Arial" w:hAnsi="Arial"/>
                <w:color w:val="333333"/>
                <w:sz w:val="19"/>
              </w:rPr>
              <w:t>`id` INT (Primary Key, Auto-increment)</w:t>
            </w:r>
          </w:p>
        </w:tc>
        <w:tc>
          <w:tcPr>
            <w:tcW w:type="dxa" w:w="4680"/>
            <w:tcMar>
              <w:top w:w="120" w:type="dxa"/>
              <w:bottom w:w="120" w:type="dxa"/>
              <w:left w:w="180" w:type="dxa"/>
              <w:right w:w="180" w:type="dxa"/>
            </w:tcMar>
          </w:tcPr>
          <w:p>
            <w:r>
              <w:rPr>
                <w:rFonts w:ascii="Arial" w:hAnsi="Arial"/>
                <w:color w:val="333333"/>
                <w:sz w:val="19"/>
              </w:rPr>
              <w:t>Identificador secuencial del respaldo.</w:t>
            </w:r>
          </w:p>
        </w:tc>
      </w:tr>
      <w:tr>
        <w:tc>
          <w:tcPr>
            <w:tcW w:type="dxa" w:w="4680"/>
            <w:tcMar>
              <w:top w:w="120" w:type="dxa"/>
              <w:bottom w:w="120" w:type="dxa"/>
              <w:left w:w="180" w:type="dxa"/>
              <w:right w:w="180" w:type="dxa"/>
            </w:tcMar>
          </w:tcPr>
          <w:p>
            <w:r>
              <w:rPr>
                <w:rFonts w:ascii="Arial" w:hAnsi="Arial"/>
                <w:color w:val="333333"/>
                <w:sz w:val="19"/>
              </w:rPr>
              <w:t>`documento_id` INT (Not Null)</w:t>
            </w:r>
          </w:p>
        </w:tc>
        <w:tc>
          <w:tcPr>
            <w:tcW w:type="dxa" w:w="4680"/>
            <w:tcMar>
              <w:top w:w="120" w:type="dxa"/>
              <w:bottom w:w="120" w:type="dxa"/>
              <w:left w:w="180" w:type="dxa"/>
              <w:right w:w="180" w:type="dxa"/>
            </w:tcMar>
          </w:tcPr>
          <w:p>
            <w:r>
              <w:rPr>
                <w:rFonts w:ascii="Arial" w:hAnsi="Arial"/>
                <w:color w:val="333333"/>
                <w:sz w:val="19"/>
              </w:rPr>
              <w:t>Relación de llave foránea al id de documentos_pc.</w:t>
            </w:r>
          </w:p>
        </w:tc>
      </w:tr>
      <w:tr>
        <w:tc>
          <w:tcPr>
            <w:tcW w:type="dxa" w:w="4680"/>
            <w:tcMar>
              <w:top w:w="120" w:type="dxa"/>
              <w:bottom w:w="120" w:type="dxa"/>
              <w:left w:w="180" w:type="dxa"/>
              <w:right w:w="180" w:type="dxa"/>
            </w:tcMar>
          </w:tcPr>
          <w:p>
            <w:r>
              <w:rPr>
                <w:rFonts w:ascii="Arial" w:hAnsi="Arial"/>
                <w:color w:val="333333"/>
                <w:sz w:val="19"/>
              </w:rPr>
              <w:t>`nombre_archivo_fisico` VARCHAR(255) (Not Null)</w:t>
            </w:r>
          </w:p>
        </w:tc>
        <w:tc>
          <w:tcPr>
            <w:tcW w:type="dxa" w:w="4680"/>
            <w:tcMar>
              <w:top w:w="120" w:type="dxa"/>
              <w:bottom w:w="120" w:type="dxa"/>
              <w:left w:w="180" w:type="dxa"/>
              <w:right w:w="180" w:type="dxa"/>
            </w:tcMar>
          </w:tcPr>
          <w:p>
            <w:r>
              <w:rPr>
                <w:rFonts w:ascii="Arial" w:hAnsi="Arial"/>
                <w:color w:val="333333"/>
                <w:sz w:val="19"/>
              </w:rPr>
              <w:t>Nombre físico anterior del archivo en disco para conservar el histórico.</w:t>
            </w:r>
          </w:p>
        </w:tc>
      </w:tr>
      <w:tr>
        <w:tc>
          <w:tcPr>
            <w:tcW w:type="dxa" w:w="4680"/>
            <w:tcMar>
              <w:top w:w="120" w:type="dxa"/>
              <w:bottom w:w="120" w:type="dxa"/>
              <w:left w:w="180" w:type="dxa"/>
              <w:right w:w="180" w:type="dxa"/>
            </w:tcMar>
          </w:tcPr>
          <w:p>
            <w:r>
              <w:rPr>
                <w:rFonts w:ascii="Arial" w:hAnsi="Arial"/>
                <w:color w:val="333333"/>
                <w:sz w:val="19"/>
              </w:rPr>
              <w:t>`fecha_registro` TIMESTAMP (Default CURRENT_TIMESTAMP)</w:t>
            </w:r>
          </w:p>
        </w:tc>
        <w:tc>
          <w:tcPr>
            <w:tcW w:type="dxa" w:w="4680"/>
            <w:tcMar>
              <w:top w:w="120" w:type="dxa"/>
              <w:bottom w:w="120" w:type="dxa"/>
              <w:left w:w="180" w:type="dxa"/>
              <w:right w:w="180" w:type="dxa"/>
            </w:tcMar>
          </w:tcPr>
          <w:p>
            <w:r>
              <w:rPr>
                <w:rFonts w:ascii="Arial" w:hAnsi="Arial"/>
                <w:color w:val="333333"/>
                <w:sz w:val="19"/>
              </w:rPr>
              <w:t>Fecha y hora exacta en la que se inyectó la nueva versión.</w:t>
            </w:r>
          </w:p>
        </w:tc>
      </w:tr>
      <w:tr>
        <w:tc>
          <w:tcPr>
            <w:tcW w:type="dxa" w:w="4680"/>
            <w:tcMar>
              <w:top w:w="120" w:type="dxa"/>
              <w:bottom w:w="120" w:type="dxa"/>
              <w:left w:w="180" w:type="dxa"/>
              <w:right w:w="180" w:type="dxa"/>
            </w:tcMar>
          </w:tcPr>
          <w:p>
            <w:r>
              <w:rPr>
                <w:rFonts w:ascii="Arial" w:hAnsi="Arial"/>
                <w:color w:val="333333"/>
                <w:sz w:val="19"/>
              </w:rPr>
              <w:t>`empresa_cod` VARCHAR(255) (Not Null)</w:t>
            </w:r>
          </w:p>
        </w:tc>
        <w:tc>
          <w:tcPr>
            <w:tcW w:type="dxa" w:w="4680"/>
            <w:tcMar>
              <w:top w:w="120" w:type="dxa"/>
              <w:bottom w:w="120" w:type="dxa"/>
              <w:left w:w="180" w:type="dxa"/>
              <w:right w:w="180" w:type="dxa"/>
            </w:tcMar>
          </w:tcPr>
          <w:p>
            <w:r>
              <w:rPr>
                <w:rFonts w:ascii="Arial" w:hAnsi="Arial"/>
                <w:color w:val="333333"/>
                <w:sz w:val="19"/>
              </w:rPr>
              <w:t>Código de la empresa u operador que realizó el reemplazo.</w:t>
            </w:r>
          </w:p>
        </w:tc>
      </w:tr>
    </w:tbl>
    <w:p>
      <w:pPr>
        <w:spacing w:after="240"/>
      </w:pPr>
    </w:p>
    <w:p>
      <w:pPr>
        <w:pStyle w:val="Heading2"/>
        <w:spacing w:before="400" w:after="200"/>
      </w:pPr>
      <w:r>
        <w:rPr>
          <w:rFonts w:ascii="Arial" w:hAnsi="Arial"/>
          <w:b/>
          <w:color w:val="0066CC"/>
          <w:sz w:val="26"/>
        </w:rPr>
        <w:t>4.4 Tabla: admin_ups (Administradores y Staff)</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Columna / Tipo de Dato</w:t>
            </w:r>
          </w:p>
        </w:tc>
        <w:tc>
          <w:tcPr>
            <w:tcW w:type="dxa" w:w="4680"/>
            <w:tcMar>
              <w:top w:w="120" w:type="dxa"/>
              <w:bottom w:w="120" w:type="dxa"/>
              <w:left w:w="180" w:type="dxa"/>
              <w:right w:w="180" w:type="dxa"/>
            </w:tcMar>
            <w:shd w:fill="003366"/>
          </w:tcPr>
          <w:p>
            <w:r>
              <w:rPr>
                <w:rFonts w:ascii="Arial" w:hAnsi="Arial"/>
                <w:b/>
                <w:color w:val="FFFFFF"/>
                <w:sz w:val="20"/>
              </w:rPr>
              <w:t>Especificación y Lógica de Negocio</w:t>
            </w:r>
          </w:p>
        </w:tc>
      </w:tr>
      <w:tr>
        <w:tc>
          <w:tcPr>
            <w:tcW w:type="dxa" w:w="4680"/>
            <w:tcMar>
              <w:top w:w="120" w:type="dxa"/>
              <w:bottom w:w="120" w:type="dxa"/>
              <w:left w:w="180" w:type="dxa"/>
              <w:right w:w="180" w:type="dxa"/>
            </w:tcMar>
          </w:tcPr>
          <w:p>
            <w:r>
              <w:rPr>
                <w:rFonts w:ascii="Arial" w:hAnsi="Arial"/>
                <w:color w:val="333333"/>
                <w:sz w:val="19"/>
              </w:rPr>
              <w:t>`id` INT (Primary Key, Auto-increment)</w:t>
            </w:r>
          </w:p>
        </w:tc>
        <w:tc>
          <w:tcPr>
            <w:tcW w:type="dxa" w:w="4680"/>
            <w:tcMar>
              <w:top w:w="120" w:type="dxa"/>
              <w:bottom w:w="120" w:type="dxa"/>
              <w:left w:w="180" w:type="dxa"/>
              <w:right w:w="180" w:type="dxa"/>
            </w:tcMar>
          </w:tcPr>
          <w:p>
            <w:r>
              <w:rPr>
                <w:rFonts w:ascii="Arial" w:hAnsi="Arial"/>
                <w:color w:val="333333"/>
                <w:sz w:val="19"/>
              </w:rPr>
              <w:t>Identificador único de la cuenta de staff.</w:t>
            </w:r>
          </w:p>
        </w:tc>
      </w:tr>
      <w:tr>
        <w:tc>
          <w:tcPr>
            <w:tcW w:type="dxa" w:w="4680"/>
            <w:tcMar>
              <w:top w:w="120" w:type="dxa"/>
              <w:bottom w:w="120" w:type="dxa"/>
              <w:left w:w="180" w:type="dxa"/>
              <w:right w:w="180" w:type="dxa"/>
            </w:tcMar>
          </w:tcPr>
          <w:p>
            <w:r>
              <w:rPr>
                <w:rFonts w:ascii="Arial" w:hAnsi="Arial"/>
                <w:color w:val="333333"/>
                <w:sz w:val="19"/>
              </w:rPr>
              <w:t>`nombre` VARCHAR(255) (Not Null)</w:t>
            </w:r>
          </w:p>
        </w:tc>
        <w:tc>
          <w:tcPr>
            <w:tcW w:type="dxa" w:w="4680"/>
            <w:tcMar>
              <w:top w:w="120" w:type="dxa"/>
              <w:bottom w:w="120" w:type="dxa"/>
              <w:left w:w="180" w:type="dxa"/>
              <w:right w:w="180" w:type="dxa"/>
            </w:tcMar>
          </w:tcPr>
          <w:p>
            <w:r>
              <w:rPr>
                <w:rFonts w:ascii="Arial" w:hAnsi="Arial"/>
                <w:color w:val="333333"/>
                <w:sz w:val="19"/>
              </w:rPr>
              <w:t>Nombre completo del administrador de soporte.</w:t>
            </w:r>
          </w:p>
        </w:tc>
      </w:tr>
      <w:tr>
        <w:tc>
          <w:tcPr>
            <w:tcW w:type="dxa" w:w="4680"/>
            <w:tcMar>
              <w:top w:w="120" w:type="dxa"/>
              <w:bottom w:w="120" w:type="dxa"/>
              <w:left w:w="180" w:type="dxa"/>
              <w:right w:w="180" w:type="dxa"/>
            </w:tcMar>
          </w:tcPr>
          <w:p>
            <w:r>
              <w:rPr>
                <w:rFonts w:ascii="Arial" w:hAnsi="Arial"/>
                <w:color w:val="333333"/>
                <w:sz w:val="19"/>
              </w:rPr>
              <w:t>`email` VARCHAR(255) (Unique, Not Null)</w:t>
            </w:r>
          </w:p>
        </w:tc>
        <w:tc>
          <w:tcPr>
            <w:tcW w:type="dxa" w:w="4680"/>
            <w:tcMar>
              <w:top w:w="120" w:type="dxa"/>
              <w:bottom w:w="120" w:type="dxa"/>
              <w:left w:w="180" w:type="dxa"/>
              <w:right w:w="180" w:type="dxa"/>
            </w:tcMar>
          </w:tcPr>
          <w:p>
            <w:r>
              <w:rPr>
                <w:rFonts w:ascii="Arial" w:hAnsi="Arial"/>
                <w:color w:val="333333"/>
                <w:sz w:val="19"/>
              </w:rPr>
              <w:t>Correo de acceso del administrador al panel.</w:t>
            </w:r>
          </w:p>
        </w:tc>
      </w:tr>
      <w:tr>
        <w:tc>
          <w:tcPr>
            <w:tcW w:type="dxa" w:w="4680"/>
            <w:tcMar>
              <w:top w:w="120" w:type="dxa"/>
              <w:bottom w:w="120" w:type="dxa"/>
              <w:left w:w="180" w:type="dxa"/>
              <w:right w:w="180" w:type="dxa"/>
            </w:tcMar>
          </w:tcPr>
          <w:p>
            <w:r>
              <w:rPr>
                <w:rFonts w:ascii="Arial" w:hAnsi="Arial"/>
                <w:color w:val="333333"/>
                <w:sz w:val="19"/>
              </w:rPr>
              <w:t>`pass` VARCHAR(255) (Not Null)</w:t>
            </w:r>
          </w:p>
        </w:tc>
        <w:tc>
          <w:tcPr>
            <w:tcW w:type="dxa" w:w="4680"/>
            <w:tcMar>
              <w:top w:w="120" w:type="dxa"/>
              <w:bottom w:w="120" w:type="dxa"/>
              <w:left w:w="180" w:type="dxa"/>
              <w:right w:w="180" w:type="dxa"/>
            </w:tcMar>
          </w:tcPr>
          <w:p>
            <w:r>
              <w:rPr>
                <w:rFonts w:ascii="Arial" w:hAnsi="Arial"/>
                <w:color w:val="333333"/>
                <w:sz w:val="19"/>
              </w:rPr>
              <w:t>Contraseña del administrador encriptada en BCrypt.</w:t>
            </w:r>
          </w:p>
        </w:tc>
      </w:tr>
      <w:tr>
        <w:tc>
          <w:tcPr>
            <w:tcW w:type="dxa" w:w="4680"/>
            <w:tcMar>
              <w:top w:w="120" w:type="dxa"/>
              <w:bottom w:w="120" w:type="dxa"/>
              <w:left w:w="180" w:type="dxa"/>
              <w:right w:w="180" w:type="dxa"/>
            </w:tcMar>
          </w:tcPr>
          <w:p>
            <w:r>
              <w:rPr>
                <w:rFonts w:ascii="Arial" w:hAnsi="Arial"/>
                <w:color w:val="333333"/>
                <w:sz w:val="19"/>
              </w:rPr>
              <w:t>`rol` VARCHAR(50) (Not Null)</w:t>
            </w:r>
          </w:p>
        </w:tc>
        <w:tc>
          <w:tcPr>
            <w:tcW w:type="dxa" w:w="4680"/>
            <w:tcMar>
              <w:top w:w="120" w:type="dxa"/>
              <w:bottom w:w="120" w:type="dxa"/>
              <w:left w:w="180" w:type="dxa"/>
              <w:right w:w="180" w:type="dxa"/>
            </w:tcMar>
          </w:tcPr>
          <w:p>
            <w:r>
              <w:rPr>
                <w:rFonts w:ascii="Arial" w:hAnsi="Arial"/>
                <w:color w:val="333333"/>
                <w:sz w:val="19"/>
              </w:rPr>
              <w:t>Rango interno ('Administrador', 'Usuario Estándar', 'Invitado').</w:t>
            </w:r>
          </w:p>
        </w:tc>
      </w:tr>
      <w:tr>
        <w:tc>
          <w:tcPr>
            <w:tcW w:type="dxa" w:w="4680"/>
            <w:tcMar>
              <w:top w:w="120" w:type="dxa"/>
              <w:bottom w:w="120" w:type="dxa"/>
              <w:left w:w="180" w:type="dxa"/>
              <w:right w:w="180" w:type="dxa"/>
            </w:tcMar>
          </w:tcPr>
          <w:p>
            <w:r>
              <w:rPr>
                <w:rFonts w:ascii="Arial" w:hAnsi="Arial"/>
                <w:color w:val="333333"/>
                <w:sz w:val="19"/>
              </w:rPr>
              <w:t>`estatus` VARCHAR(50) (Default 'Activo')</w:t>
            </w:r>
          </w:p>
        </w:tc>
        <w:tc>
          <w:tcPr>
            <w:tcW w:type="dxa" w:w="4680"/>
            <w:tcMar>
              <w:top w:w="120" w:type="dxa"/>
              <w:bottom w:w="120" w:type="dxa"/>
              <w:left w:w="180" w:type="dxa"/>
              <w:right w:w="180" w:type="dxa"/>
            </w:tcMar>
          </w:tcPr>
          <w:p>
            <w:r>
              <w:rPr>
                <w:rFonts w:ascii="Arial" w:hAnsi="Arial"/>
                <w:color w:val="333333"/>
                <w:sz w:val="19"/>
              </w:rPr>
              <w:t>Estado operativo ('Activo', 'Suspendido').</w:t>
            </w:r>
          </w:p>
        </w:tc>
      </w:tr>
    </w:tbl>
    <w:p>
      <w:r>
        <w:br w:type="page"/>
      </w:r>
    </w:p>
    <w:p>
      <w:pPr>
        <w:pStyle w:val="Heading1"/>
        <w:spacing w:before="400" w:after="200"/>
      </w:pPr>
      <w:r>
        <w:rPr>
          <w:rFonts w:ascii="Arial" w:hAnsi="Arial"/>
          <w:b/>
          <w:color w:val="003366"/>
          <w:sz w:val="36"/>
        </w:rPr>
        <w:t>SECCIÓN 5: ESPECIFICACIÓN DE ENDPOINTS (API INTERNA AJAX)</w:t>
      </w:r>
    </w:p>
    <w:p>
      <w:pPr>
        <w:spacing w:before="0" w:after="120"/>
      </w:pPr>
      <w:r>
        <w:rPr>
          <w:rFonts w:ascii="Arial" w:hAnsi="Arial"/>
          <w:color w:val="333333"/>
          <w:sz w:val="20"/>
        </w:rPr>
        <w:t>La comunicación entre las vistas HTML y el servidor PHP se realiza asíncronamente a través del protocolo HTTP POST enviando objetos JSON o FormData. A continuación se listan las acciones y parámetros de cada controlador:</w:t>
      </w:r>
    </w:p>
    <w:p>
      <w:pPr>
        <w:pStyle w:val="Heading2"/>
        <w:spacing w:before="400" w:after="200"/>
      </w:pPr>
      <w:r>
        <w:rPr>
          <w:rFonts w:ascii="Arial" w:hAnsi="Arial"/>
          <w:b/>
          <w:color w:val="0066CC"/>
          <w:sz w:val="26"/>
        </w:rPr>
        <w:t>5.1 API del Portal Cliente (controllers/cliente_procesar.php)</w:t>
      </w:r>
    </w:p>
    <w:p>
      <w:pPr>
        <w:spacing w:before="0" w:after="120"/>
      </w:pPr>
      <w:r>
        <w:rPr>
          <w:rFonts w:ascii="Arial" w:hAnsi="Arial"/>
          <w:color w:val="333333"/>
          <w:sz w:val="20"/>
        </w:rPr>
        <w:t>Este controlador procesa la subida de expedientes, consulta de semáforos y asignaciones de personal.</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Acción (POST 'accion')</w:t>
            </w:r>
          </w:p>
        </w:tc>
        <w:tc>
          <w:tcPr>
            <w:tcW w:type="dxa" w:w="4680"/>
            <w:tcMar>
              <w:top w:w="120" w:type="dxa"/>
              <w:bottom w:w="120" w:type="dxa"/>
              <w:left w:w="180" w:type="dxa"/>
              <w:right w:w="180" w:type="dxa"/>
            </w:tcMar>
            <w:shd w:fill="003366"/>
          </w:tcPr>
          <w:p>
            <w:r>
              <w:rPr>
                <w:rFonts w:ascii="Arial" w:hAnsi="Arial"/>
                <w:b/>
                <w:color w:val="FFFFFF"/>
                <w:sz w:val="20"/>
              </w:rPr>
              <w:t>Descripción y Parámetros del Endpoint</w:t>
            </w:r>
          </w:p>
        </w:tc>
      </w:tr>
      <w:tr>
        <w:tc>
          <w:tcPr>
            <w:tcW w:type="dxa" w:w="4680"/>
            <w:tcMar>
              <w:top w:w="120" w:type="dxa"/>
              <w:bottom w:w="120" w:type="dxa"/>
              <w:left w:w="180" w:type="dxa"/>
              <w:right w:w="180" w:type="dxa"/>
            </w:tcMar>
          </w:tcPr>
          <w:p>
            <w:r>
              <w:rPr>
                <w:rFonts w:ascii="Consolas" w:hAnsi="Consolas"/>
                <w:color w:val="333333"/>
                <w:sz w:val="19"/>
              </w:rPr>
              <w:t>listar_documentos</w:t>
            </w:r>
          </w:p>
        </w:tc>
        <w:tc>
          <w:tcPr>
            <w:tcW w:type="dxa" w:w="4680"/>
            <w:tcMar>
              <w:top w:w="120" w:type="dxa"/>
              <w:bottom w:w="120" w:type="dxa"/>
              <w:left w:w="180" w:type="dxa"/>
              <w:right w:w="180" w:type="dxa"/>
            </w:tcMar>
          </w:tcPr>
          <w:p>
            <w:r>
              <w:rPr>
                <w:rFonts w:ascii="Arial" w:hAnsi="Arial"/>
                <w:color w:val="333333"/>
                <w:sz w:val="19"/>
              </w:rPr>
              <w:t>Parámetros: Ninguno (lee de la sesión activa).</w:t>
              <w:br/>
              <w:t>Retorna: Un JSON con la lista de documentos, calculando dinámicamente su porcentaje de vigencia y semáforo correspondiente.</w:t>
            </w:r>
          </w:p>
        </w:tc>
      </w:tr>
      <w:tr>
        <w:tc>
          <w:tcPr>
            <w:tcW w:type="dxa" w:w="4680"/>
            <w:tcMar>
              <w:top w:w="120" w:type="dxa"/>
              <w:bottom w:w="120" w:type="dxa"/>
              <w:left w:w="180" w:type="dxa"/>
              <w:right w:w="180" w:type="dxa"/>
            </w:tcMar>
          </w:tcPr>
          <w:p>
            <w:r>
              <w:rPr>
                <w:rFonts w:ascii="Consolas" w:hAnsi="Consolas"/>
                <w:color w:val="333333"/>
                <w:sz w:val="19"/>
              </w:rPr>
              <w:t>listar_mis_nodos</w:t>
            </w:r>
          </w:p>
        </w:tc>
        <w:tc>
          <w:tcPr>
            <w:tcW w:type="dxa" w:w="4680"/>
            <w:tcMar>
              <w:top w:w="120" w:type="dxa"/>
              <w:bottom w:w="120" w:type="dxa"/>
              <w:left w:w="180" w:type="dxa"/>
              <w:right w:w="180" w:type="dxa"/>
            </w:tcMar>
          </w:tcPr>
          <w:p>
            <w:r>
              <w:rPr>
                <w:rFonts w:ascii="Arial" w:hAnsi="Arial"/>
                <w:color w:val="333333"/>
                <w:sz w:val="19"/>
              </w:rPr>
              <w:t>Parámetros: Ninguno.</w:t>
              <w:br/>
              <w:t>Retorna: JSON con el listado de empresas y sucursales dadas de alta por el Consultor, alimentando dinámicamente los selectores de subida de archivos.</w:t>
            </w:r>
          </w:p>
        </w:tc>
      </w:tr>
      <w:tr>
        <w:tc>
          <w:tcPr>
            <w:tcW w:type="dxa" w:w="4680"/>
            <w:tcMar>
              <w:top w:w="120" w:type="dxa"/>
              <w:bottom w:w="120" w:type="dxa"/>
              <w:left w:w="180" w:type="dxa"/>
              <w:right w:w="180" w:type="dxa"/>
            </w:tcMar>
          </w:tcPr>
          <w:p>
            <w:r>
              <w:rPr>
                <w:rFonts w:ascii="Consolas" w:hAnsi="Consolas"/>
                <w:color w:val="333333"/>
                <w:sz w:val="19"/>
              </w:rPr>
              <w:t>crear_usuario_operativo</w:t>
            </w:r>
          </w:p>
        </w:tc>
        <w:tc>
          <w:tcPr>
            <w:tcW w:type="dxa" w:w="4680"/>
            <w:tcMar>
              <w:top w:w="120" w:type="dxa"/>
              <w:bottom w:w="120" w:type="dxa"/>
              <w:left w:w="180" w:type="dxa"/>
              <w:right w:w="180" w:type="dxa"/>
            </w:tcMar>
          </w:tcPr>
          <w:p>
            <w:r>
              <w:rPr>
                <w:rFonts w:ascii="Arial" w:hAnsi="Arial"/>
                <w:color w:val="333333"/>
                <w:sz w:val="19"/>
              </w:rPr>
              <w:t>Parámetros (FormData): userNombre, userEmail, userRol, userSucursal, userLogo (opcional), userDireccion, userCoordenadas.</w:t>
              <w:br/>
              <w:t>Procesa: Valida el archivo del logotipo (máx 5MB, JPG/PNG), lo sube física y encriptadamente, y crea la cuenta del colaborador en la base de datos.</w:t>
            </w:r>
          </w:p>
        </w:tc>
      </w:tr>
      <w:tr>
        <w:tc>
          <w:tcPr>
            <w:tcW w:type="dxa" w:w="4680"/>
            <w:tcMar>
              <w:top w:w="120" w:type="dxa"/>
              <w:bottom w:w="120" w:type="dxa"/>
              <w:left w:w="180" w:type="dxa"/>
              <w:right w:w="180" w:type="dxa"/>
            </w:tcMar>
          </w:tcPr>
          <w:p>
            <w:r>
              <w:rPr>
                <w:rFonts w:ascii="Consolas" w:hAnsi="Consolas"/>
                <w:color w:val="333333"/>
                <w:sz w:val="19"/>
              </w:rPr>
              <w:t>suspender_documento</w:t>
            </w:r>
          </w:p>
        </w:tc>
        <w:tc>
          <w:tcPr>
            <w:tcW w:type="dxa" w:w="4680"/>
            <w:tcMar>
              <w:top w:w="120" w:type="dxa"/>
              <w:bottom w:w="120" w:type="dxa"/>
              <w:left w:w="180" w:type="dxa"/>
              <w:right w:w="180" w:type="dxa"/>
            </w:tcMar>
          </w:tcPr>
          <w:p>
            <w:r>
              <w:rPr>
                <w:rFonts w:ascii="Arial" w:hAnsi="Arial"/>
                <w:color w:val="333333"/>
                <w:sz w:val="19"/>
              </w:rPr>
              <w:t>Parámetros: doc_id.</w:t>
              <w:br/>
              <w:t>Cambia el estatus del expediente a activo = 0 en la tabla documentos_pc.</w:t>
            </w:r>
          </w:p>
        </w:tc>
      </w:tr>
      <w:tr>
        <w:tc>
          <w:tcPr>
            <w:tcW w:type="dxa" w:w="4680"/>
            <w:tcMar>
              <w:top w:w="120" w:type="dxa"/>
              <w:bottom w:w="120" w:type="dxa"/>
              <w:left w:w="180" w:type="dxa"/>
              <w:right w:w="180" w:type="dxa"/>
            </w:tcMar>
          </w:tcPr>
          <w:p>
            <w:r>
              <w:rPr>
                <w:rFonts w:ascii="Consolas" w:hAnsi="Consolas"/>
                <w:color w:val="333333"/>
                <w:sz w:val="19"/>
              </w:rPr>
              <w:t>actualizar_documento</w:t>
            </w:r>
          </w:p>
        </w:tc>
        <w:tc>
          <w:tcPr>
            <w:tcW w:type="dxa" w:w="4680"/>
            <w:tcMar>
              <w:top w:w="120" w:type="dxa"/>
              <w:bottom w:w="120" w:type="dxa"/>
              <w:left w:w="180" w:type="dxa"/>
              <w:right w:w="180" w:type="dxa"/>
            </w:tcMar>
          </w:tcPr>
          <w:p>
            <w:r>
              <w:rPr>
                <w:rFonts w:ascii="Arial" w:hAnsi="Arial"/>
                <w:color w:val="333333"/>
                <w:sz w:val="19"/>
              </w:rPr>
              <w:t>Parámetros (FormData): doc_id, docFile.</w:t>
              <w:br/>
              <w:t>Procesa: Mueve la versión anterior del archivo a la tabla de históricos en base de datos y carga el nuevo PDF/imagen.</w:t>
            </w:r>
          </w:p>
        </w:tc>
      </w:tr>
    </w:tbl>
    <w:p>
      <w:pPr>
        <w:spacing w:after="240"/>
      </w:pPr>
    </w:p>
    <w:p>
      <w:pPr>
        <w:pStyle w:val="Heading2"/>
        <w:spacing w:before="400" w:after="200"/>
      </w:pPr>
      <w:r>
        <w:rPr>
          <w:rFonts w:ascii="Arial" w:hAnsi="Arial"/>
          <w:b/>
          <w:color w:val="0066CC"/>
          <w:sz w:val="26"/>
        </w:rPr>
        <w:t>5.2 API Administrativa (controllers/ups_procesar.php)</w:t>
      </w:r>
    </w:p>
    <w:p>
      <w:pPr>
        <w:spacing w:before="0" w:after="120"/>
      </w:pPr>
      <w:r>
        <w:rPr>
          <w:rFonts w:ascii="Arial" w:hAnsi="Arial"/>
          <w:color w:val="333333"/>
          <w:sz w:val="20"/>
        </w:rPr>
        <w:t>Este controlador procesa el alta de licencias, suspensión de accesos y la gestión del staff administrativo.</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Acción (POST 'accion')</w:t>
            </w:r>
          </w:p>
        </w:tc>
        <w:tc>
          <w:tcPr>
            <w:tcW w:type="dxa" w:w="4680"/>
            <w:tcMar>
              <w:top w:w="120" w:type="dxa"/>
              <w:bottom w:w="120" w:type="dxa"/>
              <w:left w:w="180" w:type="dxa"/>
              <w:right w:w="180" w:type="dxa"/>
            </w:tcMar>
            <w:shd w:fill="003366"/>
          </w:tcPr>
          <w:p>
            <w:r>
              <w:rPr>
                <w:rFonts w:ascii="Arial" w:hAnsi="Arial"/>
                <w:b/>
                <w:color w:val="FFFFFF"/>
                <w:sz w:val="20"/>
              </w:rPr>
              <w:t>Descripción y Parámetros del Endpoint</w:t>
            </w:r>
          </w:p>
        </w:tc>
      </w:tr>
      <w:tr>
        <w:tc>
          <w:tcPr>
            <w:tcW w:type="dxa" w:w="4680"/>
            <w:tcMar>
              <w:top w:w="120" w:type="dxa"/>
              <w:bottom w:w="120" w:type="dxa"/>
              <w:left w:w="180" w:type="dxa"/>
              <w:right w:w="180" w:type="dxa"/>
            </w:tcMar>
          </w:tcPr>
          <w:p>
            <w:r>
              <w:rPr>
                <w:rFonts w:ascii="Consolas" w:hAnsi="Consolas"/>
                <w:color w:val="333333"/>
                <w:sz w:val="19"/>
              </w:rPr>
              <w:t>registrar_nueva_empresa</w:t>
            </w:r>
          </w:p>
        </w:tc>
        <w:tc>
          <w:tcPr>
            <w:tcW w:type="dxa" w:w="4680"/>
            <w:tcMar>
              <w:top w:w="120" w:type="dxa"/>
              <w:bottom w:w="120" w:type="dxa"/>
              <w:left w:w="180" w:type="dxa"/>
              <w:right w:w="180" w:type="dxa"/>
            </w:tcMar>
          </w:tcPr>
          <w:p>
            <w:r>
              <w:rPr>
                <w:rFonts w:ascii="Arial" w:hAnsi="Arial"/>
                <w:color w:val="333333"/>
                <w:sz w:val="19"/>
              </w:rPr>
              <w:t>Parámetros (FormData): nombre, cod (en consultores), encargado, email, director_email, telefono_principal, telefono_adicional, direccion, coordenadas, logo (opcional), pass, rango.</w:t>
              <w:br/>
              <w:t>Procesa: Crea la cuenta y la carpeta física en disco, aplicando BCrypt a la contraseña.</w:t>
            </w:r>
          </w:p>
        </w:tc>
      </w:tr>
      <w:tr>
        <w:tc>
          <w:tcPr>
            <w:tcW w:type="dxa" w:w="4680"/>
            <w:tcMar>
              <w:top w:w="120" w:type="dxa"/>
              <w:bottom w:w="120" w:type="dxa"/>
              <w:left w:w="180" w:type="dxa"/>
              <w:right w:w="180" w:type="dxa"/>
            </w:tcMar>
          </w:tcPr>
          <w:p>
            <w:r>
              <w:rPr>
                <w:rFonts w:ascii="Consolas" w:hAnsi="Consolas"/>
                <w:color w:val="333333"/>
                <w:sz w:val="19"/>
              </w:rPr>
              <w:t>editar_empresa_cliente</w:t>
            </w:r>
          </w:p>
        </w:tc>
        <w:tc>
          <w:tcPr>
            <w:tcW w:type="dxa" w:w="4680"/>
            <w:tcMar>
              <w:top w:w="120" w:type="dxa"/>
              <w:bottom w:w="120" w:type="dxa"/>
              <w:left w:w="180" w:type="dxa"/>
              <w:right w:w="180" w:type="dxa"/>
            </w:tcMar>
          </w:tcPr>
          <w:p>
            <w:r>
              <w:rPr>
                <w:rFonts w:ascii="Arial" w:hAnsi="Arial"/>
                <w:color w:val="333333"/>
                <w:sz w:val="19"/>
              </w:rPr>
              <w:t>Parámetros (FormData): empresa_id, nombre, encargado, email, director_email, telefono_principal, telefono_adicional, direccion, coordenadas, logo (opcional), pass (opcional).</w:t>
              <w:br/>
              <w:t>Procesa: Aplica los cambios de metadatos de la licencia y refresca los selectores dinámicos del panel.</w:t>
            </w:r>
          </w:p>
        </w:tc>
      </w:tr>
      <w:tr>
        <w:tc>
          <w:tcPr>
            <w:tcW w:type="dxa" w:w="4680"/>
            <w:tcMar>
              <w:top w:w="120" w:type="dxa"/>
              <w:bottom w:w="120" w:type="dxa"/>
              <w:left w:w="180" w:type="dxa"/>
              <w:right w:w="180" w:type="dxa"/>
            </w:tcMar>
          </w:tcPr>
          <w:p>
            <w:r>
              <w:rPr>
                <w:rFonts w:ascii="Consolas" w:hAnsi="Consolas"/>
                <w:color w:val="333333"/>
                <w:sz w:val="19"/>
              </w:rPr>
              <w:t>cambiar_estatus_licencia</w:t>
            </w:r>
          </w:p>
        </w:tc>
        <w:tc>
          <w:tcPr>
            <w:tcW w:type="dxa" w:w="4680"/>
            <w:tcMar>
              <w:top w:w="120" w:type="dxa"/>
              <w:bottom w:w="120" w:type="dxa"/>
              <w:left w:w="180" w:type="dxa"/>
              <w:right w:w="180" w:type="dxa"/>
            </w:tcMar>
          </w:tcPr>
          <w:p>
            <w:r>
              <w:rPr>
                <w:rFonts w:ascii="Arial" w:hAnsi="Arial"/>
                <w:color w:val="333333"/>
                <w:sz w:val="19"/>
              </w:rPr>
              <w:t>Parámetros: empresa_id, activo.</w:t>
              <w:br/>
              <w:t>Cambia la bandera de estatus de la licencia (1 = Permitido, 0 = Acceso denegado global).</w:t>
            </w:r>
          </w:p>
        </w:tc>
      </w:tr>
    </w:tbl>
    <w:p>
      <w:r>
        <w:br w:type="page"/>
      </w:r>
    </w:p>
    <w:p>
      <w:pPr>
        <w:pStyle w:val="Heading1"/>
        <w:spacing w:before="400" w:after="200"/>
      </w:pPr>
      <w:r>
        <w:rPr>
          <w:rFonts w:ascii="Arial" w:hAnsi="Arial"/>
          <w:b/>
          <w:color w:val="003366"/>
          <w:sz w:val="36"/>
        </w:rPr>
        <w:t>SECCIÓN 6: RESPALDOS, RENDIMIENTO Y SEGURIDAD</w:t>
      </w:r>
    </w:p>
    <w:p>
      <w:pPr>
        <w:pStyle w:val="Heading2"/>
        <w:spacing w:before="400" w:after="200"/>
      </w:pPr>
      <w:r>
        <w:rPr>
          <w:rFonts w:ascii="Arial" w:hAnsi="Arial"/>
          <w:b/>
          <w:color w:val="0066CC"/>
          <w:sz w:val="26"/>
        </w:rPr>
        <w:t>6.1 Optimización del Archivo php.ini para Carga de Expedientes:</w:t>
      </w:r>
    </w:p>
    <w:p>
      <w:pPr>
        <w:spacing w:before="0" w:after="120"/>
      </w:pPr>
      <w:r>
        <w:rPr>
          <w:rFonts w:ascii="Arial" w:hAnsi="Arial"/>
          <w:color w:val="333333"/>
          <w:sz w:val="20"/>
        </w:rPr>
        <w:t>Debido a que el portal de clientes procesa expedientes pesados de alta resolución, la configuración por defecto de PHP en un hosting nuevo suele fallar al superar los 2MB de carga. Es necesario ajustar las siguientes directivas en el archivo php.ini de su servidor:</w:t>
      </w:r>
    </w:p>
    <w:p>
      <w:pPr>
        <w:spacing w:before="120" w:after="120"/>
        <w:ind w:left="360"/>
        <w:shd w:fill="F8FAFC"/>
      </w:pPr>
      <w:r>
        <w:rPr>
          <w:rFonts w:ascii="Consolas" w:hAnsi="Consolas"/>
          <w:color w:val="1E293B"/>
          <w:sz w:val="18"/>
        </w:rPr>
        <w:t>; Configuración recomendada para carga de archivos grandes</w:t>
        <w:br/>
        <w:t>upload_max_filesize = 50M      ; Límite de tamaño máximo por archivo PDF/imagen</w:t>
        <w:br/>
        <w:t>post_max_size = 55M            ; Límite máximo de datos enviados en una solicitud POST</w:t>
        <w:br/>
        <w:t>memory_limit = 128M            ; Memoria RAM máxima para procesamiento de scripts</w:t>
        <w:br/>
        <w:t>max_execution_time = 300       ; Tiempo máximo de ejecución del script (5 minutos)</w:t>
        <w:br/>
        <w:t>max_input_time = 300           ; Tiempo máximo para recibir datos del cliente</w:t>
      </w:r>
    </w:p>
    <w:p>
      <w:pPr>
        <w:pStyle w:val="Heading2"/>
        <w:spacing w:before="400" w:after="200"/>
      </w:pPr>
      <w:r>
        <w:rPr>
          <w:rFonts w:ascii="Arial" w:hAnsi="Arial"/>
          <w:b/>
          <w:color w:val="0066CC"/>
          <w:sz w:val="26"/>
        </w:rPr>
        <w:t>6.2 Plan de Respaldos de Base de Datos y Archivos:</w:t>
      </w:r>
    </w:p>
    <w:p>
      <w:pPr>
        <w:spacing w:before="0" w:after="120"/>
      </w:pPr>
      <w:r>
        <w:rPr>
          <w:rFonts w:ascii="Arial" w:hAnsi="Arial"/>
          <w:color w:val="333333"/>
          <w:sz w:val="20"/>
        </w:rPr>
        <w:t>Para garantizar la recuperación del software ante caídas de hardware o ataques maliciosos, se deben programar respaldos automatizados diariamente en el programador del servidor.</w:t>
      </w:r>
    </w:p>
    <w:p>
      <w:pPr>
        <w:spacing w:before="0" w:after="120"/>
      </w:pPr>
      <w:r>
        <w:rPr>
          <w:rFonts w:ascii="Arial" w:hAnsi="Arial"/>
          <w:b/>
          <w:color w:val="333333"/>
          <w:sz w:val="20"/>
        </w:rPr>
        <w:t>En VPS Linux (Script de Respaldo):</w:t>
      </w:r>
      <w:r>
        <w:rPr>
          <w:rFonts w:ascii="Arial" w:hAnsi="Arial"/>
          <w:color w:val="333333"/>
          <w:sz w:val="20"/>
        </w:rPr>
        <w:t xml:space="preserve"> Cree un archivo script en Bash (ej: backup.sh) en su servidor Linux, y prográmelo en crontab para ejecutarse a las 11:00 PM de forma diaria:</w:t>
      </w:r>
    </w:p>
    <w:p>
      <w:pPr>
        <w:spacing w:before="120" w:after="120"/>
        <w:ind w:left="360"/>
        <w:shd w:fill="F8FAFC"/>
      </w:pPr>
      <w:r>
        <w:rPr>
          <w:rFonts w:ascii="Consolas" w:hAnsi="Consolas"/>
          <w:color w:val="1E293B"/>
          <w:sz w:val="18"/>
        </w:rPr>
        <w:t>#!/bin/bash</w:t>
        <w:br/>
        <w:t>BACKUP_DIR="/home/usuario/backups/db"</w:t>
        <w:br/>
        <w:t>DB_NAME="upgrade_systems"</w:t>
        <w:br/>
        <w:t>DB_USER="usuario_db"</w:t>
        <w:br/>
        <w:t>DB_PASS="contraseña_db"</w:t>
        <w:br/>
        <w:t>DATE=$(date +"%Y-%m-%d_%H-%M-%S")</w:t>
        <w:br/>
        <w:br/>
        <w:t>mysqldump -u$DB_USER -p$DB_PASS $DB_NAME &gt; $BACKUP_DIR/db_backup_$DATE.sql</w:t>
        <w:br/>
        <w:t>tar -czf /home/usuario/backups/files/files_$DATE.tar.gz /var/www/html/uploads_dictamenes/</w:t>
        <w:br/>
        <w:br/>
        <w:t>find $BACKUP_DIR -type f -mtime +15 -delete # Conservar históricos de los últimos 15 días</w:t>
      </w:r>
    </w:p>
    <w:p>
      <w:pPr>
        <w:spacing w:before="0" w:after="120"/>
      </w:pPr>
      <w:r>
        <w:rPr>
          <w:rFonts w:ascii="Arial" w:hAnsi="Arial"/>
          <w:b/>
          <w:color w:val="333333"/>
          <w:sz w:val="20"/>
        </w:rPr>
        <w:t>En Servidor Windows (Batch Command):</w:t>
      </w:r>
      <w:r>
        <w:rPr>
          <w:rFonts w:ascii="Arial" w:hAnsi="Arial"/>
          <w:color w:val="333333"/>
          <w:sz w:val="20"/>
        </w:rPr>
        <w:t xml:space="preserve"> Cree un archivo batch (ej: backup.bat) en su servidor Windows, y prográmelo en el Programador de Tareas:</w:t>
      </w:r>
    </w:p>
    <w:p>
      <w:pPr>
        <w:spacing w:before="120" w:after="120"/>
        <w:ind w:left="360"/>
        <w:shd w:fill="F8FAFC"/>
      </w:pPr>
      <w:r>
        <w:rPr>
          <w:rFonts w:ascii="Consolas" w:hAnsi="Consolas"/>
          <w:color w:val="1E293B"/>
          <w:sz w:val="18"/>
        </w:rPr>
        <w:t>@echo off</w:t>
        <w:br/>
        <w:t>set BACKUP_DIR=C:\xampp\backups</w:t>
        <w:br/>
        <w:t>set DB_NAME=upgrade_systems</w:t>
        <w:br/>
        <w:t>set DB_USER=root</w:t>
        <w:br/>
        <w:t>set DATE=%date:~10,4%-%date:~4,2%-%date:~7,2%_%time:~0,2%-%time:~3,2%-%time:~6,2%</w:t>
        <w:br/>
        <w:t>set DATE=%DATE: =0%</w:t>
        <w:br/>
        <w:br/>
        <w:t>C:\xampp\mysql\bin\mysqldump.exe -u%DB_USER% %DB_NAME% &gt; %BACKUP_DIR%\backup_%DATE%.sql</w:t>
      </w:r>
    </w:p>
    <w:p>
      <w:r>
        <w:br w:type="page"/>
      </w:r>
    </w:p>
    <w:p>
      <w:pPr>
        <w:pStyle w:val="Heading1"/>
        <w:spacing w:before="400" w:after="200"/>
      </w:pPr>
      <w:r>
        <w:rPr>
          <w:rFonts w:ascii="Arial" w:hAnsi="Arial"/>
          <w:b/>
          <w:color w:val="003366"/>
          <w:sz w:val="36"/>
        </w:rPr>
        <w:t>SECCIÓN 7: GUÍA DE PERSONALIZACIÓN Y MARCA BLANCA (WHITELABELING)</w:t>
      </w:r>
    </w:p>
    <w:p>
      <w:pPr>
        <w:spacing w:before="0" w:after="120"/>
      </w:pPr>
      <w:r>
        <w:rPr>
          <w:rFonts w:ascii="Arial" w:hAnsi="Arial"/>
          <w:color w:val="333333"/>
          <w:sz w:val="20"/>
        </w:rPr>
        <w:t>El sistema está diseñado de manera que es extremadamente sencillo cambiar su identidad visual (colores principales, tipografías, logotipos e imágenes de inicio de sesión) para re-etiquetarlo y venderlo a múltiples clientes independientes.</w:t>
      </w:r>
    </w:p>
    <w:p>
      <w:pPr>
        <w:pStyle w:val="Heading2"/>
        <w:spacing w:before="400" w:after="200"/>
      </w:pPr>
      <w:r>
        <w:rPr>
          <w:rFonts w:ascii="Arial" w:hAnsi="Arial"/>
          <w:b/>
          <w:color w:val="0066CC"/>
          <w:sz w:val="26"/>
        </w:rPr>
        <w:t>7.1 Modificar la Paleta de Colores en CSS:</w:t>
      </w:r>
    </w:p>
    <w:p>
      <w:pPr>
        <w:spacing w:before="0" w:after="120"/>
      </w:pPr>
      <w:r>
        <w:rPr>
          <w:rFonts w:ascii="Arial" w:hAnsi="Arial"/>
          <w:color w:val="333333"/>
          <w:sz w:val="20"/>
        </w:rPr>
        <w:t>Los colores principales de la aplicación se definen mediante Variables CSS en el archivo /public/cliente/css/index.css (para el cliente) y /public/admin/css/index.css (para la administración). Modifique estos valores para redefinir el esquema visual:</w:t>
      </w:r>
    </w:p>
    <w:p>
      <w:pPr>
        <w:spacing w:before="120" w:after="120"/>
        <w:ind w:left="360"/>
        <w:shd w:fill="F8FAFC"/>
      </w:pPr>
      <w:r>
        <w:rPr>
          <w:rFonts w:ascii="Consolas" w:hAnsi="Consolas"/>
          <w:color w:val="1E293B"/>
          <w:sz w:val="18"/>
        </w:rPr>
        <w:t>:root {</w:t>
        <w:br/>
        <w:t xml:space="preserve">    --ups-blue: #0f172a;       ; Fondo principal de la barra lateral (Oscuro)</w:t>
        <w:br/>
        <w:t xml:space="preserve">    --ups-blue-light: #1e293b; ; Fondo secundario de navegación</w:t>
        <w:br/>
        <w:t xml:space="preserve">    --ups-accent: #0284c7;     ; Color de acento primario (Botones, enlaces)</w:t>
        <w:br/>
        <w:t xml:space="preserve">    --accent-orange: #f97316;  ; Color de acento secundario</w:t>
        <w:br/>
        <w:t xml:space="preserve">    --accent-green: #10b981;   ; Color para semáforo verde / seguro</w:t>
        <w:br/>
        <w:t xml:space="preserve">    --accent-yellow: #eab308;  ; Color para semáforo amarillo / preventivo</w:t>
        <w:br/>
        <w:t xml:space="preserve">    --accent-red: #ef4444;     ; Color para semáforo rojo / crítico</w:t>
        <w:br/>
        <w:t xml:space="preserve">    --bg-main: #f8fafc;        ; Fondo de la interfaz principal</w:t>
        <w:br/>
        <w:t>}</w:t>
      </w:r>
    </w:p>
    <w:p>
      <w:pPr>
        <w:pStyle w:val="Heading2"/>
        <w:spacing w:before="400" w:after="200"/>
      </w:pPr>
      <w:r>
        <w:rPr>
          <w:rFonts w:ascii="Arial" w:hAnsi="Arial"/>
          <w:b/>
          <w:color w:val="0066CC"/>
          <w:sz w:val="26"/>
        </w:rPr>
        <w:t>7.2 Reemplazar Imágenes de Portada y Logotipos:</w:t>
      </w:r>
    </w:p>
    <w:p>
      <w:pPr>
        <w:spacing w:before="0" w:after="120"/>
      </w:pPr>
      <w:r>
        <w:rPr>
          <w:rFonts w:ascii="Arial" w:hAnsi="Arial"/>
          <w:b/>
          <w:color w:val="333333"/>
          <w:sz w:val="20"/>
        </w:rPr>
        <w:t>Fondo de Login:</w:t>
      </w:r>
      <w:r>
        <w:rPr>
          <w:rFonts w:ascii="Arial" w:hAnsi="Arial"/>
          <w:color w:val="333333"/>
          <w:sz w:val="20"/>
        </w:rPr>
        <w:t xml:space="preserve"> Para cambiar el fondo del inicio de sesión (que muestra el Camaro azul clásico), edite la directiva background-image en /public/cliente/css/login.css y /public/admin/css/login.css y reemplace el archivo físico en la ruta correspondiente.</w:t>
      </w:r>
    </w:p>
    <w:p>
      <w:pPr>
        <w:spacing w:before="0" w:after="120"/>
      </w:pPr>
      <w:r>
        <w:rPr>
          <w:rFonts w:ascii="Arial" w:hAnsi="Arial"/>
          <w:b/>
          <w:color w:val="333333"/>
          <w:sz w:val="20"/>
        </w:rPr>
        <w:t>Logotipo General:</w:t>
      </w:r>
      <w:r>
        <w:rPr>
          <w:rFonts w:ascii="Arial" w:hAnsi="Arial"/>
          <w:color w:val="333333"/>
          <w:sz w:val="20"/>
        </w:rPr>
        <w:t xml:space="preserve"> El sistema carga logotipos comerciales para cada empresa. Si desea configurar un logotipo por defecto para el sistema principal, modifique la plantilla HTML en /public/cliente/index.html y apunte a la imagen por defecto deseada.</w:t>
      </w:r>
    </w:p>
    <w:p>
      <w:pPr>
        <w:pStyle w:val="Heading2"/>
        <w:spacing w:before="400" w:after="200"/>
      </w:pPr>
      <w:r>
        <w:rPr>
          <w:rFonts w:ascii="Arial" w:hAnsi="Arial"/>
          <w:b/>
          <w:color w:val="0066CC"/>
          <w:sz w:val="26"/>
        </w:rPr>
        <w:t>7.3 Personalización de Plantillas de Correo:</w:t>
      </w:r>
    </w:p>
    <w:p>
      <w:pPr>
        <w:spacing w:before="0" w:after="120"/>
      </w:pPr>
      <w:r>
        <w:rPr>
          <w:rFonts w:ascii="Arial" w:hAnsi="Arial"/>
          <w:color w:val="333333"/>
          <w:sz w:val="20"/>
        </w:rPr>
        <w:t>Las firmas y asuntos de los correos automatizados se definen en el script backend controllers/alertas_automaticas.php y controllers/cliente_procesar.php. Reemplace los valores por defecto (ej: 'Atentamente, Xonexka' o 'Atentamente, Upgrade Systems') para re-etiquetar el origen de las notificaciones normativas.</w:t>
      </w:r>
    </w:p>
    <w:p>
      <w:r>
        <w:br w:type="page"/>
      </w:r>
    </w:p>
    <w:p>
      <w:pPr>
        <w:pStyle w:val="Heading1"/>
        <w:spacing w:before="400" w:after="200"/>
      </w:pPr>
      <w:r>
        <w:rPr>
          <w:rFonts w:ascii="Arial" w:hAnsi="Arial"/>
          <w:b/>
          <w:color w:val="003366"/>
          <w:sz w:val="36"/>
        </w:rPr>
        <w:t>SECCIÓN 8: GUÍA DE SOLUCIÓN DE PROBLEMAS (FAQ)</w:t>
      </w:r>
    </w:p>
    <w:p>
      <w:pPr>
        <w:spacing w:before="0" w:after="120"/>
      </w:pPr>
      <w:r>
        <w:rPr>
          <w:rFonts w:ascii="Arial" w:hAnsi="Arial"/>
          <w:color w:val="333333"/>
          <w:sz w:val="20"/>
        </w:rPr>
        <w:t>Este capítulo provee soluciones técnicas rápidas a los errores más comunes de despliegue y configuración:</w:t>
      </w:r>
    </w:p>
    <w:p>
      <w:pPr>
        <w:pStyle w:val="Heading2"/>
        <w:spacing w:before="400" w:after="200"/>
      </w:pPr>
      <w:r>
        <w:rPr>
          <w:rFonts w:ascii="Arial" w:hAnsi="Arial"/>
          <w:b/>
          <w:color w:val="0066CC"/>
          <w:sz w:val="26"/>
        </w:rPr>
        <w:t>8.1 Error 403 Forbidden al Descargar Archivos:</w:t>
      </w:r>
    </w:p>
    <w:p>
      <w:pPr>
        <w:pStyle w:val="ListBullet"/>
        <w:spacing w:before="40" w:after="40"/>
      </w:pPr>
      <w:r>
        <w:rPr>
          <w:rFonts w:ascii="Arial" w:hAnsi="Arial"/>
          <w:color w:val="333333"/>
          <w:sz w:val="20"/>
        </w:rPr>
        <w:t xml:space="preserve"> Verifique que su servidor web Apache tenga mod_rewrite y mod_headers activos.</w:t>
      </w:r>
    </w:p>
    <w:p>
      <w:pPr>
        <w:pStyle w:val="ListBullet"/>
        <w:spacing w:before="40" w:after="40"/>
      </w:pPr>
      <w:r>
        <w:rPr>
          <w:rFonts w:ascii="Arial" w:hAnsi="Arial"/>
          <w:color w:val="333333"/>
          <w:sz w:val="20"/>
        </w:rPr>
        <w:t xml:space="preserve"> Asegúrese de haber iniciado sesión previamente. El sistema deniega el acceso a enlaces directos si no hay una sesión activa de PHP en el servidor web.</w:t>
      </w:r>
    </w:p>
    <w:p>
      <w:pPr>
        <w:pStyle w:val="ListBullet"/>
        <w:spacing w:before="40" w:after="40"/>
      </w:pPr>
      <w:r>
        <w:rPr>
          <w:rFonts w:ascii="Arial" w:hAnsi="Arial"/>
          <w:color w:val="333333"/>
          <w:sz w:val="20"/>
        </w:rPr>
        <w:t xml:space="preserve"> Valide que la empresa del usuario en sesión coincida con la empresa propietaria del documento en la tabla documentos_pc.</w:t>
      </w:r>
    </w:p>
    <w:p>
      <w:pPr>
        <w:pStyle w:val="Heading2"/>
        <w:spacing w:before="400" w:after="200"/>
      </w:pPr>
      <w:r>
        <w:rPr>
          <w:rFonts w:ascii="Arial" w:hAnsi="Arial"/>
          <w:b/>
          <w:color w:val="0066CC"/>
          <w:sz w:val="26"/>
        </w:rPr>
        <w:t>8.2 Los Mapas en 'Registrar Sucursales' no cargan o se ven grises:</w:t>
      </w:r>
    </w:p>
    <w:p>
      <w:pPr>
        <w:pStyle w:val="ListBullet"/>
        <w:spacing w:before="40" w:after="40"/>
      </w:pPr>
      <w:r>
        <w:rPr>
          <w:rFonts w:ascii="Arial" w:hAnsi="Arial"/>
          <w:color w:val="333333"/>
          <w:sz w:val="20"/>
        </w:rPr>
        <w:t xml:space="preserve"> El visor interactivo Leaflet requiere de una conexión activa a internet para cargar los mosaicos de Google Maps de forma dinámica.</w:t>
      </w:r>
    </w:p>
    <w:p>
      <w:pPr>
        <w:pStyle w:val="ListBullet"/>
        <w:spacing w:before="40" w:after="40"/>
      </w:pPr>
      <w:r>
        <w:rPr>
          <w:rFonts w:ascii="Arial" w:hAnsi="Arial"/>
          <w:color w:val="333333"/>
          <w:sz w:val="20"/>
        </w:rPr>
        <w:t xml:space="preserve"> Si el mapa se despliega con partes grises, asegúrese de que el contenedor div del mapa tenga un tamaño establecido (por ejemplo, height: 250px; width: 100%) y de llamar a map.invalidateSize() si el mapa se inicializa dentro de un elemento oculto que luego se muestra.</w:t>
      </w:r>
    </w:p>
    <w:p>
      <w:pPr>
        <w:pStyle w:val="Heading2"/>
        <w:spacing w:before="400" w:after="200"/>
      </w:pPr>
      <w:r>
        <w:rPr>
          <w:rFonts w:ascii="Arial" w:hAnsi="Arial"/>
          <w:b/>
          <w:color w:val="0066CC"/>
          <w:sz w:val="26"/>
        </w:rPr>
        <w:t>8.3 Errores al subir archivos mayores a 2MB (Falla silenciosa):</w:t>
      </w:r>
    </w:p>
    <w:p>
      <w:pPr>
        <w:pStyle w:val="ListBullet"/>
        <w:spacing w:before="40" w:after="40"/>
      </w:pPr>
      <w:r>
        <w:rPr>
          <w:rFonts w:ascii="Arial" w:hAnsi="Arial"/>
          <w:color w:val="333333"/>
          <w:sz w:val="20"/>
        </w:rPr>
        <w:t xml:space="preserve"> Este error es causado por los límites por defecto del servidor PHP. Edite el archivo php.ini y aumente los valores de upload_max_filesize y post_max_size a 50M y 55M respectivamente, tal como se especifica en la sección de rendimiento.</w:t>
      </w:r>
    </w:p>
    <w:p>
      <w:pPr>
        <w:pStyle w:val="ListBullet"/>
        <w:spacing w:before="40" w:after="40"/>
      </w:pPr>
      <w:r>
        <w:rPr>
          <w:rFonts w:ascii="Arial" w:hAnsi="Arial"/>
          <w:color w:val="333333"/>
          <w:sz w:val="20"/>
        </w:rPr>
        <w:t xml:space="preserve"> Asegúrese de reiniciar su servidor web Apache después de aplicar cambios en php.ini.</w:t>
      </w:r>
    </w:p>
    <w:p>
      <w:pPr>
        <w:pStyle w:val="Heading2"/>
        <w:spacing w:before="400" w:after="200"/>
      </w:pPr>
      <w:r>
        <w:rPr>
          <w:rFonts w:ascii="Arial" w:hAnsi="Arial"/>
          <w:b/>
          <w:color w:val="0066CC"/>
          <w:sz w:val="26"/>
        </w:rPr>
        <w:t>8.4 Los correos automáticos no llegan a los destinatarios:</w:t>
      </w:r>
    </w:p>
    <w:p>
      <w:pPr>
        <w:pStyle w:val="ListBullet"/>
        <w:spacing w:before="40" w:after="40"/>
      </w:pPr>
      <w:r>
        <w:rPr>
          <w:rFonts w:ascii="Arial" w:hAnsi="Arial"/>
          <w:color w:val="333333"/>
          <w:sz w:val="20"/>
        </w:rPr>
        <w:t xml:space="preserve"> Si está probando en un entorno local (como XAMPP en Windows sin configurar SMTP de salida), la función mail() nativa de PHP fallará en enviar correos a buzones reales. Instale una herramienta de servidor de correo falso (como Papercut SMTP) para capturar los correos enviados localmente.</w:t>
      </w:r>
    </w:p>
    <w:p>
      <w:pPr>
        <w:pStyle w:val="ListBullet"/>
        <w:spacing w:before="40" w:after="40"/>
      </w:pPr>
      <w:r>
        <w:rPr>
          <w:rFonts w:ascii="Arial" w:hAnsi="Arial"/>
          <w:color w:val="333333"/>
          <w:sz w:val="20"/>
        </w:rPr>
        <w:t xml:space="preserve"> En producción, asegúrese de configurar las directivas de SMTP en su servidor web o en php.ini para garantizar la salida y entrega de correos electrónicos a través de un servidor de correo con registros SPF/DKIM válidos para evitar la carpeta de Spam.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