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FB3" w:rsidRPr="00031671" w:rsidRDefault="001B6FB3" w:rsidP="001B6FB3">
      <w:pPr>
        <w:tabs>
          <w:tab w:val="center" w:pos="4419"/>
          <w:tab w:val="left" w:pos="8010"/>
        </w:tabs>
        <w:rPr>
          <w:rFonts w:ascii="Century Gothic" w:hAnsi="Century Gothic"/>
          <w:b/>
          <w:color w:val="000000" w:themeColor="text1"/>
          <w:sz w:val="18"/>
          <w:szCs w:val="18"/>
        </w:rPr>
      </w:pPr>
      <w:r w:rsidRPr="00031671">
        <w:rPr>
          <w:rFonts w:ascii="Century Gothic" w:hAnsi="Century Gothic"/>
          <w:b/>
          <w:color w:val="000000" w:themeColor="text1"/>
          <w:sz w:val="18"/>
          <w:szCs w:val="18"/>
        </w:rPr>
        <w:tab/>
        <w:t>ACTA DE REUNIÓN</w:t>
      </w:r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"/>
        <w:gridCol w:w="737"/>
        <w:gridCol w:w="765"/>
        <w:gridCol w:w="1134"/>
        <w:gridCol w:w="1418"/>
        <w:gridCol w:w="997"/>
        <w:gridCol w:w="28"/>
        <w:gridCol w:w="251"/>
        <w:gridCol w:w="1137"/>
        <w:gridCol w:w="567"/>
        <w:gridCol w:w="30"/>
        <w:gridCol w:w="820"/>
        <w:gridCol w:w="1702"/>
      </w:tblGrid>
      <w:tr w:rsidR="00031671" w:rsidRPr="00031671" w:rsidTr="0023570A">
        <w:trPr>
          <w:trHeight w:val="397"/>
        </w:trPr>
        <w:tc>
          <w:tcPr>
            <w:tcW w:w="1783" w:type="dxa"/>
            <w:gridSpan w:val="2"/>
            <w:shd w:val="clear" w:color="auto" w:fill="BFBFBF"/>
            <w:vAlign w:val="center"/>
          </w:tcPr>
          <w:p w:rsidR="001B6FB3" w:rsidRPr="00031671" w:rsidRDefault="001B6FB3" w:rsidP="0023570A">
            <w:pPr>
              <w:spacing w:after="0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  <w:t>Acta No.</w:t>
            </w:r>
          </w:p>
        </w:tc>
        <w:tc>
          <w:tcPr>
            <w:tcW w:w="765" w:type="dxa"/>
            <w:vAlign w:val="center"/>
          </w:tcPr>
          <w:p w:rsidR="001B6FB3" w:rsidRPr="00031671" w:rsidRDefault="009842D2" w:rsidP="009842D2">
            <w:pPr>
              <w:spacing w:after="0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highlight w:val="yellow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1B6FB3" w:rsidRPr="00031671" w:rsidRDefault="001B6FB3" w:rsidP="0023570A">
            <w:pPr>
              <w:spacing w:after="0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  <w:t>Fecha:</w:t>
            </w:r>
          </w:p>
        </w:tc>
        <w:tc>
          <w:tcPr>
            <w:tcW w:w="1418" w:type="dxa"/>
            <w:vAlign w:val="center"/>
          </w:tcPr>
          <w:p w:rsidR="001B6FB3" w:rsidRPr="00031671" w:rsidRDefault="001B6FB3" w:rsidP="009842D2">
            <w:pPr>
              <w:spacing w:after="0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  <w:t>1</w:t>
            </w:r>
            <w:r w:rsidR="009842D2"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  <w:t>1/07</w:t>
            </w: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  <w:t>/2023</w:t>
            </w:r>
          </w:p>
        </w:tc>
        <w:tc>
          <w:tcPr>
            <w:tcW w:w="1276" w:type="dxa"/>
            <w:gridSpan w:val="3"/>
            <w:shd w:val="clear" w:color="auto" w:fill="BFBFBF"/>
            <w:vAlign w:val="center"/>
          </w:tcPr>
          <w:p w:rsidR="001B6FB3" w:rsidRPr="00031671" w:rsidRDefault="001B6FB3" w:rsidP="0023570A">
            <w:pPr>
              <w:spacing w:after="0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  <w:t>Hora Inicio:</w:t>
            </w:r>
          </w:p>
        </w:tc>
        <w:tc>
          <w:tcPr>
            <w:tcW w:w="1137" w:type="dxa"/>
            <w:vAlign w:val="center"/>
          </w:tcPr>
          <w:p w:rsidR="001B6FB3" w:rsidRPr="00031671" w:rsidRDefault="009842D2" w:rsidP="009842D2">
            <w:pPr>
              <w:spacing w:after="0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  <w:t>15:</w:t>
            </w:r>
            <w:r w:rsidR="001B6FB3"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1417" w:type="dxa"/>
            <w:gridSpan w:val="3"/>
            <w:shd w:val="clear" w:color="auto" w:fill="BFBFBF"/>
            <w:vAlign w:val="center"/>
          </w:tcPr>
          <w:p w:rsidR="001B6FB3" w:rsidRPr="00031671" w:rsidRDefault="001B6FB3" w:rsidP="0023570A">
            <w:pPr>
              <w:spacing w:after="0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  <w:t>Hora Cierre:</w:t>
            </w:r>
          </w:p>
        </w:tc>
        <w:tc>
          <w:tcPr>
            <w:tcW w:w="1702" w:type="dxa"/>
            <w:vAlign w:val="center"/>
          </w:tcPr>
          <w:p w:rsidR="001B6FB3" w:rsidRPr="00031671" w:rsidRDefault="001731AA" w:rsidP="001731AA">
            <w:pPr>
              <w:spacing w:after="0"/>
              <w:ind w:right="-250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  <w:t>15:40</w:t>
            </w:r>
          </w:p>
        </w:tc>
      </w:tr>
      <w:tr w:rsidR="00031671" w:rsidRPr="00031671" w:rsidTr="0023570A">
        <w:trPr>
          <w:trHeight w:val="397"/>
        </w:trPr>
        <w:tc>
          <w:tcPr>
            <w:tcW w:w="1783" w:type="dxa"/>
            <w:gridSpan w:val="2"/>
            <w:shd w:val="clear" w:color="auto" w:fill="BFBFBF"/>
            <w:vAlign w:val="center"/>
          </w:tcPr>
          <w:p w:rsidR="001B6FB3" w:rsidRPr="00031671" w:rsidRDefault="001B6FB3" w:rsidP="0023570A">
            <w:pPr>
              <w:spacing w:after="0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  <w:t>Dirección:</w:t>
            </w:r>
          </w:p>
        </w:tc>
        <w:tc>
          <w:tcPr>
            <w:tcW w:w="8849" w:type="dxa"/>
            <w:gridSpan w:val="11"/>
            <w:vAlign w:val="center"/>
          </w:tcPr>
          <w:p w:rsidR="001B6FB3" w:rsidRPr="00031671" w:rsidRDefault="001B6FB3" w:rsidP="0023570A">
            <w:pPr>
              <w:spacing w:after="0"/>
              <w:ind w:right="-250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  <w:t xml:space="preserve">Dirección de Estadísticas Económicas (DECON) – Cambio de año base del Índice de Precios al Productor (CAB-SIPP) </w:t>
            </w:r>
          </w:p>
        </w:tc>
      </w:tr>
      <w:tr w:rsidR="00031671" w:rsidRPr="00031671" w:rsidTr="0023570A">
        <w:trPr>
          <w:trHeight w:val="397"/>
        </w:trPr>
        <w:tc>
          <w:tcPr>
            <w:tcW w:w="1783" w:type="dxa"/>
            <w:gridSpan w:val="2"/>
            <w:shd w:val="clear" w:color="auto" w:fill="BFBFBF"/>
            <w:vAlign w:val="center"/>
          </w:tcPr>
          <w:p w:rsidR="001B6FB3" w:rsidRPr="00031671" w:rsidRDefault="001B6FB3" w:rsidP="0023570A">
            <w:pPr>
              <w:spacing w:after="0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  <w:t>Organizador:</w:t>
            </w:r>
          </w:p>
        </w:tc>
        <w:tc>
          <w:tcPr>
            <w:tcW w:w="8849" w:type="dxa"/>
            <w:gridSpan w:val="11"/>
            <w:vAlign w:val="center"/>
          </w:tcPr>
          <w:p w:rsidR="001B6FB3" w:rsidRPr="00031671" w:rsidRDefault="001B6FB3" w:rsidP="0023570A">
            <w:pPr>
              <w:spacing w:after="0"/>
              <w:ind w:right="-250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  <w:t>Instituto Nacional de Estadística y Censos (INEC) Dirección de Estadísticas Económicas (DECON)</w:t>
            </w:r>
          </w:p>
        </w:tc>
      </w:tr>
      <w:tr w:rsidR="00031671" w:rsidRPr="00031671" w:rsidTr="0023570A">
        <w:trPr>
          <w:trHeight w:val="397"/>
        </w:trPr>
        <w:tc>
          <w:tcPr>
            <w:tcW w:w="1783" w:type="dxa"/>
            <w:gridSpan w:val="2"/>
            <w:shd w:val="clear" w:color="auto" w:fill="BFBFBF"/>
            <w:vAlign w:val="center"/>
          </w:tcPr>
          <w:p w:rsidR="001B6FB3" w:rsidRPr="00031671" w:rsidRDefault="001B6FB3" w:rsidP="0023570A">
            <w:pPr>
              <w:spacing w:after="0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  <w:t>Lugar:</w:t>
            </w:r>
          </w:p>
        </w:tc>
        <w:tc>
          <w:tcPr>
            <w:tcW w:w="8849" w:type="dxa"/>
            <w:gridSpan w:val="11"/>
            <w:vAlign w:val="center"/>
          </w:tcPr>
          <w:p w:rsidR="001B6FB3" w:rsidRPr="00031671" w:rsidRDefault="004C58C6" w:rsidP="0023570A">
            <w:pPr>
              <w:spacing w:after="0"/>
              <w:ind w:right="-250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</w:rPr>
              <w:t>Sala de reuniones  DECON</w:t>
            </w:r>
          </w:p>
        </w:tc>
      </w:tr>
      <w:tr w:rsidR="00031671" w:rsidRPr="00031671" w:rsidTr="0023570A">
        <w:trPr>
          <w:trHeight w:val="397"/>
        </w:trPr>
        <w:tc>
          <w:tcPr>
            <w:tcW w:w="1783" w:type="dxa"/>
            <w:gridSpan w:val="2"/>
            <w:shd w:val="clear" w:color="auto" w:fill="BFBFBF"/>
            <w:vAlign w:val="center"/>
          </w:tcPr>
          <w:p w:rsidR="001B6FB3" w:rsidRPr="00031671" w:rsidRDefault="001B6FB3" w:rsidP="0023570A">
            <w:pPr>
              <w:spacing w:after="0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  <w:t>Tema:</w:t>
            </w:r>
          </w:p>
        </w:tc>
        <w:tc>
          <w:tcPr>
            <w:tcW w:w="8849" w:type="dxa"/>
            <w:gridSpan w:val="11"/>
            <w:vAlign w:val="center"/>
          </w:tcPr>
          <w:p w:rsidR="001B6FB3" w:rsidRPr="00031671" w:rsidRDefault="00EC294E" w:rsidP="00D07682">
            <w:pPr>
              <w:spacing w:after="0"/>
              <w:ind w:right="175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Revisión y análisis de variables de diseño muestral para la metodología del m</w:t>
            </w:r>
            <w:r w:rsidR="00D07682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arco muestral y diseño de la muestra 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del proyecto CAB-SIPP. </w:t>
            </w:r>
          </w:p>
        </w:tc>
      </w:tr>
      <w:tr w:rsidR="00031671" w:rsidRPr="00031671" w:rsidTr="0023570A">
        <w:trPr>
          <w:trHeight w:val="1003"/>
        </w:trPr>
        <w:tc>
          <w:tcPr>
            <w:tcW w:w="1783" w:type="dxa"/>
            <w:gridSpan w:val="2"/>
            <w:shd w:val="clear" w:color="auto" w:fill="BFBFBF"/>
            <w:vAlign w:val="center"/>
          </w:tcPr>
          <w:p w:rsidR="001B6FB3" w:rsidRPr="00031671" w:rsidRDefault="001B6FB3" w:rsidP="0023570A">
            <w:pPr>
              <w:spacing w:after="0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</w:rPr>
              <w:t>Antecedentes</w:t>
            </w:r>
          </w:p>
        </w:tc>
        <w:tc>
          <w:tcPr>
            <w:tcW w:w="8849" w:type="dxa"/>
            <w:gridSpan w:val="11"/>
            <w:vAlign w:val="center"/>
          </w:tcPr>
          <w:p w:rsidR="00185484" w:rsidRPr="00031671" w:rsidRDefault="001B6FB3" w:rsidP="00185484">
            <w:pPr>
              <w:jc w:val="both"/>
              <w:rPr>
                <w:rFonts w:ascii="Century Gothic" w:hAnsi="Century Gothic" w:cs="Calibri"/>
                <w:color w:val="000000" w:themeColor="text1"/>
                <w:sz w:val="18"/>
                <w:szCs w:val="18"/>
                <w:lang w:val="es-ES"/>
              </w:rPr>
            </w:pP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En el</w:t>
            </w:r>
            <w:r w:rsidR="00FD12FC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marco del Proyecto CAB-SIPP</w:t>
            </w:r>
            <w:r w:rsidR="00185484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, se determina la relevancia del trabajo técnico interno entre </w:t>
            </w:r>
            <w:r w:rsidR="00185484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  <w:lang w:val="es-ES"/>
              </w:rPr>
              <w:t xml:space="preserve">la Dirección de Estadísticas Económicas (DECON), la Dirección de Infraestructura Estadística y Muestreo (DINEM); y, la Dirección de Registros Administrativos (DIRAD). </w:t>
            </w:r>
          </w:p>
          <w:p w:rsidR="009C6211" w:rsidRPr="00031671" w:rsidRDefault="001B6FB3" w:rsidP="009C6211">
            <w:pPr>
              <w:jc w:val="both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La primera reunión</w:t>
            </w:r>
            <w:r w:rsidR="00185484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entre las citadas direccione</w:t>
            </w:r>
            <w:r w:rsidR="004859F3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s del INEC tiene como objetivo</w:t>
            </w:r>
            <w:r w:rsidR="00185484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verificar la disponibilidad de información (vari</w:t>
            </w:r>
            <w:r w:rsidR="009310B7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ables de diseño muestral) para</w:t>
            </w:r>
            <w:r w:rsidR="00185484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consolidar criterios técnico</w:t>
            </w:r>
            <w:r w:rsidR="009C6211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s para robustecer el diseño muestral CAB-SIPP.</w:t>
            </w:r>
          </w:p>
          <w:p w:rsidR="001B6FB3" w:rsidRPr="00031671" w:rsidRDefault="001B6FB3" w:rsidP="009C6211">
            <w:pPr>
              <w:jc w:val="both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Se coordinó</w:t>
            </w:r>
            <w:r w:rsidR="00756A40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la reunión</w:t>
            </w: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con</w:t>
            </w:r>
            <w:r w:rsidR="00A93E43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la presencia de</w:t>
            </w:r>
            <w:r w:rsidR="00CA157A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</w:t>
            </w:r>
            <w:r w:rsidR="00756A40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la directora de D</w:t>
            </w:r>
            <w:r w:rsidR="00CA157A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ECON,</w:t>
            </w:r>
            <w:r w:rsidR="00756A40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la </w:t>
            </w:r>
            <w:r w:rsidR="004859F3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responsable </w:t>
            </w:r>
            <w:r w:rsidR="00756A40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del proyecto CAB-SIPP, el director de </w:t>
            </w:r>
            <w:r w:rsidR="00CA157A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DINE</w:t>
            </w:r>
            <w:r w:rsidR="00756A40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M, la Responsable de Gestión de Estadísticas Económicas en Base a Registros Administrativos, el Responsable de Gestión </w:t>
            </w:r>
            <w:r w:rsidR="00A93E43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del Sistema de Registros Administrativos, la Responsable de Gestión de Planificación y Metodologías de Registros Administrativos</w:t>
            </w:r>
            <w:r w:rsidR="008B70F1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,</w:t>
            </w:r>
            <w:r w:rsidR="00A93E43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y sus analistas y equipos técnicos</w:t>
            </w:r>
            <w:r w:rsidR="008B70F1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correspondientes</w:t>
            </w:r>
            <w:r w:rsidR="00A93E43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. </w:t>
            </w: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97"/>
        </w:trPr>
        <w:tc>
          <w:tcPr>
            <w:tcW w:w="106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1B6FB3" w:rsidRPr="00031671" w:rsidRDefault="001B6FB3" w:rsidP="0023570A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  <w:t>AGENDA DE TRABAJO</w:t>
            </w: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758"/>
        </w:trPr>
        <w:tc>
          <w:tcPr>
            <w:tcW w:w="106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FB3" w:rsidRPr="00031671" w:rsidRDefault="001B6FB3" w:rsidP="0023570A">
            <w:pPr>
              <w:spacing w:after="0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Orden del día: </w:t>
            </w:r>
          </w:p>
          <w:p w:rsidR="001B6FB3" w:rsidRPr="00031671" w:rsidRDefault="001B6FB3" w:rsidP="0023570A">
            <w:pPr>
              <w:spacing w:after="0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</w:p>
          <w:p w:rsidR="001B6FB3" w:rsidRPr="00031671" w:rsidRDefault="001B6FB3" w:rsidP="0023570A">
            <w:pPr>
              <w:numPr>
                <w:ilvl w:val="0"/>
                <w:numId w:val="1"/>
              </w:numPr>
              <w:spacing w:after="0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Bienvenida</w:t>
            </w:r>
          </w:p>
          <w:p w:rsidR="001B6FB3" w:rsidRPr="00031671" w:rsidRDefault="001B6FB3" w:rsidP="0023570A">
            <w:pPr>
              <w:numPr>
                <w:ilvl w:val="0"/>
                <w:numId w:val="1"/>
              </w:numPr>
              <w:spacing w:after="0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Presentación</w:t>
            </w:r>
            <w:r w:rsidR="001D6EC4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CAB-SIPP y n</w:t>
            </w: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ecesidades de</w:t>
            </w:r>
            <w:r w:rsidR="001D6EC4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variables de diseño</w:t>
            </w:r>
            <w:r w:rsidR="006D6959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para el </w:t>
            </w:r>
            <w:r w:rsidR="001D6EC4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marco muestral </w:t>
            </w:r>
            <w:r w:rsidR="0015592F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CAB-SIPP</w:t>
            </w: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</w:t>
            </w:r>
          </w:p>
          <w:p w:rsidR="001B6FB3" w:rsidRPr="00031671" w:rsidRDefault="001B6FB3" w:rsidP="0023570A">
            <w:pPr>
              <w:numPr>
                <w:ilvl w:val="0"/>
                <w:numId w:val="1"/>
              </w:numPr>
              <w:spacing w:after="0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Conversatorio</w:t>
            </w:r>
            <w:r w:rsidR="0015592F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Técnico</w:t>
            </w: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</w:t>
            </w:r>
          </w:p>
          <w:p w:rsidR="001B6FB3" w:rsidRPr="00031671" w:rsidRDefault="00B4176B" w:rsidP="0023570A">
            <w:pPr>
              <w:numPr>
                <w:ilvl w:val="0"/>
                <w:numId w:val="1"/>
              </w:numPr>
              <w:spacing w:after="0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Conclusiones y compromisos</w:t>
            </w:r>
          </w:p>
          <w:p w:rsidR="001B6FB3" w:rsidRPr="00031671" w:rsidRDefault="001B6FB3" w:rsidP="0023570A">
            <w:pPr>
              <w:spacing w:after="0"/>
              <w:ind w:left="720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97"/>
        </w:trPr>
        <w:tc>
          <w:tcPr>
            <w:tcW w:w="106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1B6FB3" w:rsidRPr="00031671" w:rsidRDefault="001B6FB3" w:rsidP="0023570A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  <w:t>DESARROLLO DE LA AGENDA O TEMAS TRATADOS</w:t>
            </w: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6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FB3" w:rsidRPr="00031671" w:rsidRDefault="001B6FB3" w:rsidP="0023570A">
            <w:pPr>
              <w:pStyle w:val="Prrafodelista"/>
              <w:numPr>
                <w:ilvl w:val="0"/>
                <w:numId w:val="2"/>
              </w:numPr>
              <w:spacing w:before="240"/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Bienvenida</w:t>
            </w:r>
          </w:p>
          <w:p w:rsidR="00532595" w:rsidRPr="00031671" w:rsidRDefault="00493D77" w:rsidP="0023570A">
            <w:p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La DECON</w:t>
            </w:r>
            <w:r w:rsidR="00532595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/ 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CAB-SIPP </w:t>
            </w:r>
            <w:r w:rsidR="001B6FB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dio la bienvenida a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los representantes de las direcciones del INEC </w:t>
            </w:r>
            <w:r w:rsidR="001B6FB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para el trabajo técnico</w:t>
            </w:r>
            <w:r w:rsidR="00532595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sobre la metodología del marco muestral y diseño de la muestra del proyecto CAB-SIPP.</w:t>
            </w:r>
          </w:p>
          <w:p w:rsidR="001B6FB3" w:rsidRPr="00031671" w:rsidRDefault="001B6FB3" w:rsidP="0023570A">
            <w:pPr>
              <w:pStyle w:val="Prrafodelista"/>
              <w:numPr>
                <w:ilvl w:val="0"/>
                <w:numId w:val="2"/>
              </w:numPr>
              <w:spacing w:before="240"/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Presentación CAB-SIPP</w:t>
            </w:r>
            <w:r w:rsidR="00532595" w:rsidRPr="0003167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y necesidades de</w:t>
            </w:r>
            <w:r w:rsidR="006D6959" w:rsidRPr="0003167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variables de diseño para el marco </w:t>
            </w:r>
            <w:r w:rsidR="00532595" w:rsidRPr="0003167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muestral CAB-SIPP</w:t>
            </w:r>
          </w:p>
          <w:p w:rsidR="00AB2653" w:rsidRPr="00031671" w:rsidRDefault="00A70BF6" w:rsidP="00A2661F">
            <w:p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La DECON/</w:t>
            </w:r>
            <w:r w:rsidR="0011063A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CAB-SIPP presentó las generalidades del proyecto y</w:t>
            </w:r>
            <w:r w:rsidR="009310B7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se</w:t>
            </w:r>
            <w:r w:rsidR="0011063A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puntualizó</w:t>
            </w:r>
            <w:r w:rsidR="00DD509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que al momento se encuentra en proceso de desarrollo de l</w:t>
            </w:r>
            <w:r w:rsidR="009310B7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 metodología del marco y diseño muestral</w:t>
            </w:r>
            <w:r w:rsidR="004C58C6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, p</w:t>
            </w:r>
            <w:r w:rsidR="00DD509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roceso que es parte de la metodología integral de la operación estadística </w:t>
            </w:r>
            <w:r w:rsidR="00132904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y que requiere ser ejecutada</w:t>
            </w:r>
            <w:r w:rsidR="00DD509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="00132904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con el objetivo de buscar </w:t>
            </w:r>
            <w:r w:rsidR="00DD509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representatividad nacional, minimización de sesgo en la selecci</w:t>
            </w:r>
            <w:r w:rsidR="00F94D3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ón de la muestra,</w:t>
            </w:r>
            <w:r w:rsidR="00132904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entre otros.</w:t>
            </w:r>
            <w:r w:rsidR="00F94D3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="00132904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Estas necesidades surgen p</w:t>
            </w:r>
            <w:r w:rsidR="00DD509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or observación y sugerencia de </w:t>
            </w:r>
            <w:r w:rsidR="00132904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la </w:t>
            </w:r>
            <w:r w:rsidR="00DD509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certificación institucional </w:t>
            </w:r>
            <w:r w:rsidR="004859F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al </w:t>
            </w:r>
            <w:r w:rsidR="00DD509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INEC</w:t>
            </w:r>
            <w:r w:rsidR="004859F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/IPP-DN</w:t>
            </w:r>
            <w:r w:rsidR="00DD509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(el actual IPP-DN 2015=100</w:t>
            </w:r>
            <w:r w:rsidR="00AB265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="00132904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que </w:t>
            </w:r>
            <w:r w:rsidR="00AB265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tiene </w:t>
            </w:r>
            <w:r w:rsidR="00132904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una </w:t>
            </w:r>
            <w:r w:rsidR="00AB265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limitación técnica en cuanto a la metodología del marco muestral, - probabilístico)</w:t>
            </w:r>
            <w:r w:rsidR="00F94D3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, y por recomendación de CEPA</w:t>
            </w:r>
            <w:r w:rsidR="0030532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L</w:t>
            </w:r>
            <w:r w:rsidR="00F94D3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.</w:t>
            </w:r>
          </w:p>
          <w:p w:rsidR="00AB2653" w:rsidRPr="00031671" w:rsidRDefault="00AB2653" w:rsidP="00A2661F">
            <w:p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En tal sentido, </w:t>
            </w:r>
            <w:r w:rsidR="001A7EBF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el </w:t>
            </w:r>
            <w:r w:rsidR="004859F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proceso de desarrollo de la metodología del marco muestral y diseño de la muestra se</w:t>
            </w:r>
            <w:r w:rsidR="00E86745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="00DD509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está ejecutando en</w:t>
            </w:r>
            <w:r w:rsidR="001A7EBF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trabajo conjunto entre el equipo del</w:t>
            </w:r>
            <w:r w:rsidR="00DD509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CAB-SIPP y la DINEM, y para aquello se requiere robustecer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el marco muestral a 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lastRenderedPageBreak/>
              <w:t>través de ot</w:t>
            </w:r>
            <w:r w:rsidR="00FD1AF8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ras variables de diseño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, puesto que en los ejercicios preliminares</w:t>
            </w:r>
            <w:r w:rsidR="00EE1A45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se ha considerado como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="00FD1AF8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principal</w:t>
            </w:r>
            <w:r w:rsidR="00EE1A45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variable de</w:t>
            </w:r>
            <w:r w:rsidR="001A7EBF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="00700F7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diseño “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ventas</w:t>
            </w:r>
            <w:r w:rsidR="00E86745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totales</w:t>
            </w:r>
            <w:r w:rsidR="00C50B9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”</w:t>
            </w:r>
            <w:r w:rsidR="00EE1A45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.</w:t>
            </w:r>
          </w:p>
          <w:p w:rsidR="00EA1A6C" w:rsidRPr="00031671" w:rsidRDefault="00AB2653" w:rsidP="00A2661F">
            <w:pPr>
              <w:spacing w:before="240"/>
              <w:jc w:val="both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Considerando que</w:t>
            </w:r>
            <w:r w:rsidR="00EA1A6C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la </w:t>
            </w:r>
            <w:r w:rsidR="00EA1A6C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  <w:lang w:val="es-ES"/>
              </w:rPr>
              <w:t xml:space="preserve">Dirección de Registros Administrativos (DIRAD) y la </w:t>
            </w:r>
            <w:r w:rsidR="00EA1A6C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Gestión de Estadísticas Económicas en Base a Registros Administrativos son soporte para la elaboración de marcos de muestra y que </w:t>
            </w:r>
            <w:proofErr w:type="spellStart"/>
            <w:r w:rsidR="00EA1A6C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operativizan</w:t>
            </w:r>
            <w:proofErr w:type="spellEnd"/>
            <w:r w:rsidR="00EA1A6C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la información de registros administrativos provenientes del SRI, del IESS y de otras instituciones públicas, resulta primordial</w:t>
            </w:r>
            <w:r w:rsidR="008D4305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</w:t>
            </w:r>
            <w:r w:rsidR="00EE1A45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conocer la factibilidad de efectuar el</w:t>
            </w:r>
            <w:r w:rsidR="008D4305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</w:t>
            </w:r>
            <w:r w:rsidR="00EA1A6C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cruce </w:t>
            </w:r>
            <w:r w:rsidR="00EE1A45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entre diferentes bases de datos disponible</w:t>
            </w:r>
            <w:r w:rsidR="00EA1A6C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para </w:t>
            </w:r>
            <w:r w:rsidR="00EE1A45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robustecer</w:t>
            </w:r>
            <w:r w:rsidR="00EA1A6C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el marco muestral del CAB-SIPP. </w:t>
            </w:r>
          </w:p>
          <w:p w:rsidR="00C057B2" w:rsidRPr="00031671" w:rsidRDefault="008D4305" w:rsidP="00A2661F">
            <w:pPr>
              <w:spacing w:before="240"/>
              <w:jc w:val="both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En esta perspectiva, </w:t>
            </w:r>
            <w:r w:rsidR="0058100E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la DECON/</w:t>
            </w:r>
            <w:r w:rsidR="00EA1A6C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CAB-SIPP plante</w:t>
            </w:r>
            <w:r w:rsidR="00C057B2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ó la necesidad</w:t>
            </w:r>
            <w:r w:rsidR="00C455D5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de incorporar las siguientes </w:t>
            </w:r>
            <w:r w:rsidR="00C057B2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variables</w:t>
            </w:r>
            <w:r w:rsidR="00C455D5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al análisis y definición del universo de establecimientos económicos del cual se extraerá la muestra.</w:t>
            </w:r>
          </w:p>
          <w:p w:rsidR="00C057B2" w:rsidRPr="00031671" w:rsidRDefault="00C057B2" w:rsidP="00C057B2">
            <w:pPr>
              <w:pStyle w:val="Prrafodelista"/>
              <w:numPr>
                <w:ilvl w:val="0"/>
                <w:numId w:val="6"/>
              </w:num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Consumo eléctrico</w:t>
            </w:r>
          </w:p>
          <w:p w:rsidR="00C057B2" w:rsidRPr="00031671" w:rsidRDefault="00C057B2" w:rsidP="00C057B2">
            <w:pPr>
              <w:pStyle w:val="Prrafodelista"/>
              <w:numPr>
                <w:ilvl w:val="0"/>
                <w:numId w:val="6"/>
              </w:num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Cantidad de empleados</w:t>
            </w:r>
            <w:r w:rsidR="0058100E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destinados a la elaboración del producto</w:t>
            </w:r>
          </w:p>
          <w:p w:rsidR="00A2661F" w:rsidRPr="00031671" w:rsidRDefault="001A7EBF" w:rsidP="00C057B2">
            <w:p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Con ello se da</w:t>
            </w:r>
            <w:r w:rsidR="00A74074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inicio al conversatorio técnico sobre la temática y el requerimiento de información del CAB-SIPP. </w:t>
            </w:r>
          </w:p>
          <w:p w:rsidR="001B6FB3" w:rsidRPr="00031671" w:rsidRDefault="001B6FB3" w:rsidP="0023570A">
            <w:pPr>
              <w:pStyle w:val="Prrafodelista"/>
              <w:numPr>
                <w:ilvl w:val="0"/>
                <w:numId w:val="2"/>
              </w:numPr>
              <w:spacing w:before="240"/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Conversatorio técnico</w:t>
            </w:r>
          </w:p>
          <w:p w:rsidR="00115681" w:rsidRPr="00031671" w:rsidRDefault="00F94D39" w:rsidP="00714142">
            <w:p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Sobre la variable de consumo eléctrico, DIRAD planteó que se dispone de una base de datos de consumo de electricidad</w:t>
            </w:r>
            <w:r w:rsidR="006D09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, dicha base tiene como identificador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el número de cédula del dueño (corresponde al medidor de energía eléctrica). </w:t>
            </w:r>
            <w:r w:rsidR="003732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Se indica que la base de datos contiene un gran tamaño de información y esto afecta directamente a la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operatividad</w:t>
            </w:r>
            <w:r w:rsidR="003732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informática, la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cual </w:t>
            </w:r>
            <w:r w:rsidR="003732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en 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un </w:t>
            </w:r>
            <w:r w:rsidR="006D09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equipo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informático convencional no respondería </w:t>
            </w:r>
            <w:r w:rsidR="006D09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con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eficiencia </w:t>
            </w:r>
            <w:r w:rsidR="001A7EBF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y</w:t>
            </w:r>
            <w:r w:rsidR="006D09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eficacia al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procesamiento de los datos. Además</w:t>
            </w:r>
            <w:r w:rsidR="00115681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, la base de datos geográfica (alfanumérica) </w:t>
            </w:r>
            <w:r w:rsidR="00700F7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con periodicidad semestral, está</w:t>
            </w:r>
            <w:r w:rsidR="00C50B9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en proceso de análisis para ser añadida a</w:t>
            </w:r>
            <w:r w:rsidR="00115681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la base </w:t>
            </w:r>
            <w:r w:rsidR="00C50B9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mensual</w:t>
            </w:r>
            <w:bookmarkStart w:id="0" w:name="_GoBack"/>
            <w:bookmarkEnd w:id="0"/>
            <w:r w:rsidR="00C50B9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="00115681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de consumo eléctrico, no obstante </w:t>
            </w:r>
            <w:r w:rsidR="00C50B9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se debe considera</w:t>
            </w:r>
            <w:r w:rsidR="00816EEB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r</w:t>
            </w:r>
            <w:r w:rsidR="00C50B9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que </w:t>
            </w:r>
            <w:r w:rsidR="00115681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la</w:t>
            </w:r>
            <w:r w:rsidR="00C50B9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</w:t>
            </w:r>
            <w:r w:rsidR="00115681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base</w:t>
            </w:r>
            <w:r w:rsidR="00C50B9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s son </w:t>
            </w:r>
            <w:r w:rsidR="00115681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pesada</w:t>
            </w:r>
            <w:r w:rsidR="00C50B99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</w:t>
            </w:r>
            <w:r w:rsidR="00115681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="0029497B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(</w:t>
            </w:r>
            <w:r w:rsidR="00115681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en términos de Gigas</w:t>
            </w:r>
            <w:r w:rsidR="0029497B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)</w:t>
            </w:r>
            <w:r w:rsidR="00115681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.</w:t>
            </w:r>
            <w:r w:rsidR="00115681" w:rsidRPr="00031671">
              <w:rPr>
                <w:rFonts w:ascii="Century Gothic" w:hAnsi="Century Gothic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</w:p>
          <w:p w:rsidR="00340FAC" w:rsidRPr="00031671" w:rsidRDefault="00115681" w:rsidP="00714142">
            <w:p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Este contexto</w:t>
            </w:r>
            <w:r w:rsidR="00BB2BD0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, </w:t>
            </w:r>
            <w:r w:rsidR="00340FAC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DECON plantea que no necesariamente se requiere </w:t>
            </w:r>
            <w:r w:rsidR="007B06E4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la </w:t>
            </w:r>
            <w:r w:rsidR="00340FAC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ubicación geográfica porque el IPP actual tiene representatividad nacional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,</w:t>
            </w:r>
            <w:r w:rsidR="00340FAC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lo central es que se pueda tener información del establecimiento informante. 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DINEM</w:t>
            </w:r>
            <w:r w:rsidR="00340FAC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también acotó 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que el objetivo</w:t>
            </w:r>
            <w:r w:rsidR="007B06E4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primordial</w:t>
            </w:r>
            <w:r w:rsidR="00340FAC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es poder vincular la base de datos de</w:t>
            </w:r>
            <w:r w:rsidR="00A70BF6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l</w:t>
            </w:r>
            <w:r w:rsidR="00340FAC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consumo eléctrico con </w:t>
            </w:r>
            <w:r w:rsidR="00A70BF6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la base de datos DIEE-2021, que es el insumo principal actual disponible.</w:t>
            </w:r>
          </w:p>
          <w:p w:rsidR="00F616B1" w:rsidRPr="00031671" w:rsidRDefault="00340FAC" w:rsidP="00F616B1">
            <w:p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A lo </w:t>
            </w:r>
            <w:r w:rsidR="00AD6302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expuesto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, DIRAD comentó que la disposición</w:t>
            </w:r>
            <w:r w:rsidR="007B06E4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e identificación de la información está asociada al número de</w:t>
            </w:r>
            <w:r w:rsidR="00D9345D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cédula mediante el cual se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identifica al dueño del medidor elé</w:t>
            </w:r>
            <w:r w:rsidR="00D9345D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ctrico y su respectivo consumo. Se plantea una observación de suma importancia: 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no </w:t>
            </w:r>
            <w:r w:rsidR="00D9345D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se 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garantiza que</w:t>
            </w:r>
            <w:r w:rsidR="00F616B1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="0072558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el dueño tenga un solo medidor y </w:t>
            </w:r>
            <w:r w:rsidR="00F616B1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pude ser que exista un dueño con varios medidores e incluso en diferentes regiones geográficas.</w:t>
            </w:r>
          </w:p>
          <w:p w:rsidR="00F616B1" w:rsidRPr="00031671" w:rsidRDefault="00F616B1" w:rsidP="00F616B1">
            <w:p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DECON </w:t>
            </w:r>
            <w:r w:rsidR="00807EFF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y</w:t>
            </w:r>
            <w:r w:rsidR="00AD6302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DINEM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consultan si en la citada base se dispone de</w:t>
            </w:r>
            <w:r w:rsidR="00A5625A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l número de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RUC. Al respecto, DIRAD acota que no se dispone de esa información. Por consiguiente, no existe posibilidad de realizar un empate con </w:t>
            </w:r>
            <w:r w:rsidR="0072558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la base de datos DIEE</w:t>
            </w:r>
            <w:r w:rsidR="00A5625A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-2021</w:t>
            </w:r>
            <w:r w:rsidR="0072558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.</w:t>
            </w:r>
          </w:p>
          <w:p w:rsidR="001A754F" w:rsidRPr="00031671" w:rsidRDefault="00F616B1" w:rsidP="00F616B1">
            <w:pPr>
              <w:spacing w:before="240"/>
              <w:jc w:val="both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En cuanto a la variable de cantidad de empleados, con la característica de diferenciación de los procesos de producción</w:t>
            </w:r>
            <w:r w:rsidR="001A754F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, la </w:t>
            </w:r>
            <w:r w:rsidR="001A754F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Gestión de Estadísticas Económicas en Base a Registros Administrativos comenta que </w:t>
            </w:r>
            <w:r w:rsidR="00B94097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esta información es recolectada en ENESEM, se aclara que esta recolección de información se lo hace estrictamente para la </w:t>
            </w:r>
            <w:r w:rsidR="001A754F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muestra</w:t>
            </w:r>
            <w:r w:rsidR="009F7083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, mas no se cuenta con esta información </w:t>
            </w:r>
            <w:r w:rsidR="00030C8C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en</w:t>
            </w:r>
            <w:r w:rsidR="009F7083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el DIEE</w:t>
            </w:r>
            <w:r w:rsidR="00A5625A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-2021</w:t>
            </w:r>
            <w:r w:rsidR="00B94097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.</w:t>
            </w:r>
            <w:r w:rsidR="001A754F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</w:t>
            </w:r>
            <w:r w:rsidR="00030C8C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En</w:t>
            </w:r>
            <w:r w:rsidR="009F7083" w:rsidRPr="009F7083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el DIEE</w:t>
            </w:r>
            <w:r w:rsidR="00A5625A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-2021</w:t>
            </w:r>
            <w:r w:rsidR="009F7083" w:rsidRPr="009F7083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solo se dispone de la</w:t>
            </w:r>
            <w:r w:rsidR="001A754F" w:rsidRPr="009F7083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</w:t>
            </w:r>
            <w:r w:rsidR="009F7083" w:rsidRPr="009F7083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cantidad total de plazas en la empresa, podría usarse en conjunto</w:t>
            </w:r>
            <w:r w:rsidR="001A754F" w:rsidRPr="009F7083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con la variable de ventas</w:t>
            </w:r>
            <w:r w:rsidR="009F7083" w:rsidRPr="009F7083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totales</w:t>
            </w:r>
            <w:r w:rsidR="001A754F" w:rsidRPr="009F7083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, que ya se está utilizando.</w:t>
            </w:r>
          </w:p>
          <w:p w:rsidR="00F45523" w:rsidRPr="00031671" w:rsidRDefault="00F45523" w:rsidP="00F45523">
            <w:p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Desarrollado los puntos del orden del día, el CAB-SIPP agradeció la predisposición de las autoridades presentes por acompañar a la discusión técnica y por sugerir mecanismos técnicos que solventen la metodología del marco muestral. Además planteó el trabajo continuo</w:t>
            </w:r>
            <w:r w:rsidR="004767B4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interno entre </w:t>
            </w:r>
            <w:r w:rsidR="00B94097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l</w:t>
            </w:r>
            <w:r w:rsidR="004767B4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as direcciones para robustecer todo el proceso de ejecución del proyecto CAB-SIPP. Señalado aquello se d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io por cerrada la reunión</w:t>
            </w:r>
            <w:r w:rsidR="004767B4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.</w:t>
            </w:r>
          </w:p>
          <w:p w:rsidR="001B6FB3" w:rsidRPr="00031671" w:rsidRDefault="002664EC" w:rsidP="00F616B1">
            <w:pPr>
              <w:spacing w:before="240"/>
              <w:jc w:val="both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lastRenderedPageBreak/>
              <w:t xml:space="preserve">4. </w:t>
            </w:r>
            <w:r w:rsidR="001B6FB3" w:rsidRPr="0003167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Conclusiones</w:t>
            </w:r>
            <w:r w:rsidR="007A668A" w:rsidRPr="0003167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y compromisos</w:t>
            </w:r>
          </w:p>
          <w:p w:rsidR="00725583" w:rsidRPr="00031671" w:rsidRDefault="00F24435" w:rsidP="00725583">
            <w:pPr>
              <w:pStyle w:val="Prrafodelista"/>
              <w:numPr>
                <w:ilvl w:val="0"/>
                <w:numId w:val="4"/>
              </w:num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La información de la variable de consumo eléctri</w:t>
            </w:r>
            <w:r w:rsidR="0072558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co no podrá ser enlazada con la base de datos DIEE</w:t>
            </w:r>
            <w:r w:rsidR="0094613B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-2021</w:t>
            </w:r>
            <w:r w:rsidR="0072558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, principal fuente de información al momento. Este cruce de información no es viable debido a que no existe una variable de identificación, código único o número de RUC</w:t>
            </w:r>
            <w:r w:rsidR="00FA635C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que permita dicho</w:t>
            </w:r>
            <w:r w:rsidR="0072558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proceso.</w:t>
            </w:r>
          </w:p>
          <w:p w:rsidR="002D7363" w:rsidRPr="00031671" w:rsidRDefault="002D7363" w:rsidP="00725583">
            <w:pPr>
              <w:pStyle w:val="Prrafodelista"/>
              <w:numPr>
                <w:ilvl w:val="0"/>
                <w:numId w:val="4"/>
              </w:numPr>
              <w:spacing w:before="240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El </w:t>
            </w:r>
            <w:r w:rsidR="00F24435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proceso de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fortalecimiento de la metodolog</w:t>
            </w:r>
            <w:r w:rsidR="0072558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ía del marco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y</w:t>
            </w:r>
            <w:r w:rsidR="0072558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diseño de la muestra para el CAB-SIPP continuará con las</w:t>
            </w:r>
            <w:r w:rsidR="00725583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variables de diseño muestral</w:t>
            </w:r>
            <w:r w:rsidR="00FA635C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disponibles en el DIEE-2021</w:t>
            </w:r>
            <w:r w:rsidR="007B53BB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: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="00F24435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ventas </w:t>
            </w:r>
            <w:r w:rsidR="00D770E0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totales </w:t>
            </w:r>
            <w:r w:rsidR="00F24435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y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="00F24435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cantidad </w:t>
            </w:r>
            <w:r w:rsidR="009F708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total </w:t>
            </w:r>
            <w:r w:rsidR="00F24435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de empleados.</w:t>
            </w:r>
          </w:p>
          <w:p w:rsidR="001B6FB3" w:rsidRPr="00031671" w:rsidRDefault="002D7363" w:rsidP="0022481E">
            <w:pPr>
              <w:pStyle w:val="Prrafodelista"/>
              <w:numPr>
                <w:ilvl w:val="0"/>
                <w:numId w:val="4"/>
              </w:numPr>
              <w:spacing w:before="240" w:after="0" w:line="240" w:lineRule="auto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</w:t>
            </w:r>
            <w:r w:rsidR="00FA635C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e continuará co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n el trabajo conjunto entre la DECON/CAB-SIPP y la DINEM con el objetivo de consolidar el marco muestral, el diseño de la muestra, su tamaño y</w:t>
            </w:r>
            <w:r w:rsidR="0022481E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su</w:t>
            </w: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selección</w:t>
            </w:r>
            <w:r w:rsidR="0022481E"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.</w:t>
            </w:r>
          </w:p>
          <w:p w:rsidR="0022481E" w:rsidRPr="00031671" w:rsidRDefault="0022481E" w:rsidP="0022481E">
            <w:pPr>
              <w:spacing w:before="240" w:after="0" w:line="240" w:lineRule="auto"/>
              <w:jc w:val="both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97"/>
        </w:trPr>
        <w:tc>
          <w:tcPr>
            <w:tcW w:w="106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1B6FB3" w:rsidRPr="00031671" w:rsidRDefault="001B6FB3" w:rsidP="0023570A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  <w:lastRenderedPageBreak/>
              <w:t xml:space="preserve">COMPROMISOS DE LA REUNIÓN </w:t>
            </w: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97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1B6FB3" w:rsidRPr="00031671" w:rsidRDefault="001B6FB3" w:rsidP="0023570A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  <w:t>Ítem</w:t>
            </w:r>
          </w:p>
        </w:tc>
        <w:tc>
          <w:tcPr>
            <w:tcW w:w="5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B6FB3" w:rsidRPr="00031671" w:rsidRDefault="001B6FB3" w:rsidP="0023570A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  <w:t>Tarea / Actividad</w:t>
            </w: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B6FB3" w:rsidRPr="00031671" w:rsidRDefault="001B6FB3" w:rsidP="0023570A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  <w:t>Responsable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B6FB3" w:rsidRPr="00031671" w:rsidRDefault="001B6FB3" w:rsidP="0023570A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  <w:t>Fecha Entrega</w:t>
            </w: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768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FB3" w:rsidRPr="00031671" w:rsidRDefault="001B6FB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5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807EFF" w:rsidP="00807EFF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Ejercicio de Diseño Muestral para el CAB-SIPP con la variable  “ventas</w:t>
            </w:r>
            <w:r w:rsidR="00D770E0"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totales</w:t>
            </w:r>
            <w:r w:rsidRPr="00031671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” y  “cantidad de empleados” del REEM</w:t>
            </w: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807EFF" w:rsidP="0023570A">
            <w:pPr>
              <w:spacing w:before="240" w:line="240" w:lineRule="auto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DINEM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807EFF" w:rsidP="0023570A">
            <w:pPr>
              <w:pStyle w:val="Prrafodelista"/>
              <w:spacing w:before="240" w:line="240" w:lineRule="auto"/>
              <w:ind w:left="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31/07/2023</w:t>
            </w: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FB3" w:rsidRPr="00031671" w:rsidRDefault="001B6FB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807EFF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Trabajo continuo y conjunto entre la DECON/CAB-SIPP y la DINEM</w:t>
            </w: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807EFF" w:rsidP="0023570A">
            <w:pPr>
              <w:spacing w:before="240" w:line="240" w:lineRule="auto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DINEM/DECON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807EFF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31/12/2023</w:t>
            </w: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32"/>
        </w:trPr>
        <w:tc>
          <w:tcPr>
            <w:tcW w:w="106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1B6FB3" w:rsidRPr="00031671" w:rsidRDefault="001B6FB3" w:rsidP="0023570A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b/>
                <w:color w:val="000000" w:themeColor="text1"/>
                <w:sz w:val="18"/>
                <w:szCs w:val="18"/>
                <w:lang w:eastAsia="es-ES"/>
              </w:rPr>
              <w:t>FIRMAS DE RESPONSABILIDAD</w:t>
            </w: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595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FB3" w:rsidRPr="00031671" w:rsidRDefault="001B6FB3" w:rsidP="0023570A">
            <w:pPr>
              <w:spacing w:after="0"/>
              <w:jc w:val="center"/>
              <w:rPr>
                <w:rFonts w:ascii="Century Gothic" w:eastAsia="Times New Roman" w:hAnsi="Century Gothic" w:cstheme="minorHAnsi"/>
                <w:b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b/>
                <w:color w:val="000000" w:themeColor="text1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B6FB3" w:rsidP="0023570A">
            <w:pPr>
              <w:spacing w:after="0"/>
              <w:jc w:val="center"/>
              <w:rPr>
                <w:rFonts w:ascii="Century Gothic" w:eastAsia="Times New Roman" w:hAnsi="Century Gothic" w:cstheme="minorHAnsi"/>
                <w:b/>
                <w:color w:val="000000" w:themeColor="text1"/>
                <w:sz w:val="18"/>
                <w:szCs w:val="18"/>
                <w:lang w:eastAsia="es-ES"/>
              </w:rPr>
            </w:pPr>
          </w:p>
          <w:p w:rsidR="001B6FB3" w:rsidRPr="00031671" w:rsidRDefault="001B6FB3" w:rsidP="0023570A">
            <w:pPr>
              <w:spacing w:after="0"/>
              <w:jc w:val="center"/>
              <w:rPr>
                <w:rFonts w:ascii="Century Gothic" w:eastAsia="Times New Roman" w:hAnsi="Century Gothic" w:cstheme="minorHAnsi"/>
                <w:b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b/>
                <w:color w:val="000000" w:themeColor="text1"/>
                <w:sz w:val="18"/>
                <w:szCs w:val="18"/>
                <w:lang w:eastAsia="es-ES"/>
              </w:rPr>
              <w:t>Nombre y Apellido</w:t>
            </w:r>
          </w:p>
          <w:p w:rsidR="001B6FB3" w:rsidRPr="00031671" w:rsidRDefault="001B6FB3" w:rsidP="0023570A">
            <w:pPr>
              <w:spacing w:after="0"/>
              <w:rPr>
                <w:rFonts w:ascii="Century Gothic" w:eastAsia="Times New Roman" w:hAnsi="Century Gothic" w:cstheme="minorHAnsi"/>
                <w:b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B6FB3" w:rsidP="0023570A">
            <w:pPr>
              <w:spacing w:after="0"/>
              <w:jc w:val="center"/>
              <w:rPr>
                <w:rFonts w:ascii="Century Gothic" w:eastAsia="Times New Roman" w:hAnsi="Century Gothic" w:cstheme="minorHAnsi"/>
                <w:b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b/>
                <w:color w:val="000000" w:themeColor="text1"/>
                <w:sz w:val="18"/>
                <w:szCs w:val="18"/>
                <w:lang w:eastAsia="es-ES"/>
              </w:rPr>
              <w:t xml:space="preserve">Dirección 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B6FB3" w:rsidP="0023570A">
            <w:pPr>
              <w:spacing w:after="0"/>
              <w:jc w:val="center"/>
              <w:rPr>
                <w:rFonts w:ascii="Century Gothic" w:eastAsia="Times New Roman" w:hAnsi="Century Gothic" w:cstheme="minorHAnsi"/>
                <w:b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b/>
                <w:color w:val="000000" w:themeColor="text1"/>
                <w:sz w:val="18"/>
                <w:szCs w:val="18"/>
                <w:lang w:eastAsia="es-ES"/>
              </w:rPr>
              <w:t xml:space="preserve">Firmas </w:t>
            </w: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FB3" w:rsidRPr="00031671" w:rsidRDefault="001B6FB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37E95" w:rsidP="0023570A">
            <w:pPr>
              <w:spacing w:before="240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 xml:space="preserve">Diana Barco </w:t>
            </w:r>
          </w:p>
          <w:p w:rsidR="00942B77" w:rsidRPr="00031671" w:rsidRDefault="00942B77" w:rsidP="0023570A">
            <w:pPr>
              <w:spacing w:before="240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37E95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 xml:space="preserve">DECON 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B6FB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FB3" w:rsidRPr="00031671" w:rsidRDefault="001B6FB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B77" w:rsidRPr="00031671" w:rsidRDefault="00942B77" w:rsidP="00942B77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Dayra Saraguro</w:t>
            </w:r>
          </w:p>
          <w:p w:rsidR="00942B77" w:rsidRPr="00031671" w:rsidRDefault="00942B77" w:rsidP="00942B77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37E95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DECON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B6FB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FB3" w:rsidRPr="00031671" w:rsidRDefault="001B6FB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37E95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Christian Garcés</w:t>
            </w:r>
          </w:p>
          <w:p w:rsidR="00942B77" w:rsidRPr="00031671" w:rsidRDefault="00942B77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37E95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DINEM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B6FB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FB3" w:rsidRPr="00031671" w:rsidRDefault="001B6FB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37E95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 xml:space="preserve">Angel </w:t>
            </w:r>
            <w:proofErr w:type="spellStart"/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C</w:t>
            </w:r>
            <w:r w:rsidR="000169D3"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hiluisa</w:t>
            </w:r>
            <w:proofErr w:type="spellEnd"/>
          </w:p>
          <w:p w:rsidR="00942B77" w:rsidRPr="00031671" w:rsidRDefault="00942B77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DIRAD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B6FB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FB3" w:rsidRPr="00031671" w:rsidRDefault="001B6FB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0169D3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 xml:space="preserve">Sonia Herrera </w:t>
            </w:r>
          </w:p>
          <w:p w:rsidR="00942B77" w:rsidRPr="00031671" w:rsidRDefault="00942B77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DIRAD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B6FB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FB3" w:rsidRPr="00031671" w:rsidRDefault="001B6FB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lastRenderedPageBreak/>
              <w:t>6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0169D3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 xml:space="preserve">Viviana Garzón </w:t>
            </w:r>
          </w:p>
          <w:p w:rsidR="00942B77" w:rsidRPr="00031671" w:rsidRDefault="00942B77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DIRAD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B6FB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FB3" w:rsidRPr="00031671" w:rsidRDefault="001B6FB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0169D3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Rodolfo Molina</w:t>
            </w:r>
          </w:p>
          <w:p w:rsidR="00942B77" w:rsidRPr="00031671" w:rsidRDefault="00942B77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DIRAD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B6FB3" w:rsidP="0023570A">
            <w:pPr>
              <w:spacing w:before="240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6FB3" w:rsidRPr="00031671" w:rsidRDefault="001B6FB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0169D3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 xml:space="preserve">Libertad Trujillo </w:t>
            </w:r>
          </w:p>
          <w:p w:rsidR="00942B77" w:rsidRPr="00031671" w:rsidRDefault="00942B77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 xml:space="preserve">DECON 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FB3" w:rsidRPr="00031671" w:rsidRDefault="001B6FB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9D3" w:rsidRPr="00031671" w:rsidRDefault="000169D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D3" w:rsidRPr="00031671" w:rsidRDefault="000169D3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 xml:space="preserve">Omar Llambo </w:t>
            </w:r>
          </w:p>
          <w:p w:rsidR="00942B77" w:rsidRPr="00031671" w:rsidRDefault="00942B77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D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DINEM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D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9D3" w:rsidRPr="00031671" w:rsidRDefault="000169D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B77" w:rsidRPr="00031671" w:rsidRDefault="00942B77" w:rsidP="00942B77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Jhordan Uyaguari</w:t>
            </w:r>
          </w:p>
          <w:p w:rsidR="00942B77" w:rsidRPr="00031671" w:rsidRDefault="00942B77" w:rsidP="00942B77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D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 xml:space="preserve">DECON 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D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9D3" w:rsidRPr="00031671" w:rsidRDefault="000169D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D3" w:rsidRPr="00031671" w:rsidRDefault="000169D3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Vanesa Cueva</w:t>
            </w:r>
          </w:p>
          <w:p w:rsidR="00942B77" w:rsidRPr="00031671" w:rsidRDefault="00942B77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D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DECON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D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</w:tr>
      <w:tr w:rsidR="00031671" w:rsidRPr="00031671" w:rsidTr="002357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9D3" w:rsidRPr="00031671" w:rsidRDefault="000169D3" w:rsidP="0023570A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/>
                <w:color w:val="000000" w:themeColor="text1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D3" w:rsidRPr="00031671" w:rsidRDefault="000169D3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>Milton Maya</w:t>
            </w:r>
          </w:p>
          <w:p w:rsidR="00942B77" w:rsidRPr="00031671" w:rsidRDefault="00942B77" w:rsidP="0023570A">
            <w:pPr>
              <w:spacing w:before="240" w:line="240" w:lineRule="auto"/>
              <w:jc w:val="both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D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  <w:r w:rsidRPr="00031671"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  <w:t xml:space="preserve">DECON 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D3" w:rsidRPr="00031671" w:rsidRDefault="000169D3" w:rsidP="0023570A">
            <w:pPr>
              <w:spacing w:before="240"/>
              <w:jc w:val="center"/>
              <w:rPr>
                <w:rFonts w:ascii="Century Gothic" w:eastAsia="Times New Roman" w:hAnsi="Century Gothic" w:cstheme="minorHAnsi"/>
                <w:color w:val="000000" w:themeColor="text1"/>
                <w:sz w:val="18"/>
                <w:szCs w:val="18"/>
                <w:lang w:eastAsia="es-ES"/>
              </w:rPr>
            </w:pPr>
          </w:p>
        </w:tc>
      </w:tr>
    </w:tbl>
    <w:p w:rsidR="001B6FB3" w:rsidRPr="00031671" w:rsidRDefault="001B6FB3" w:rsidP="001B6FB3">
      <w:pPr>
        <w:rPr>
          <w:color w:val="000000" w:themeColor="text1"/>
        </w:rPr>
      </w:pPr>
    </w:p>
    <w:p w:rsidR="001B6FB3" w:rsidRPr="00031671" w:rsidRDefault="001B6FB3" w:rsidP="001B6FB3">
      <w:pPr>
        <w:rPr>
          <w:color w:val="000000" w:themeColor="text1"/>
        </w:rPr>
      </w:pPr>
    </w:p>
    <w:p w:rsidR="001B6FB3" w:rsidRPr="00031671" w:rsidRDefault="001B6FB3" w:rsidP="001B6FB3">
      <w:pPr>
        <w:rPr>
          <w:color w:val="000000" w:themeColor="text1"/>
        </w:rPr>
      </w:pPr>
    </w:p>
    <w:p w:rsidR="00090FBC" w:rsidRPr="00031671" w:rsidRDefault="00090FBC">
      <w:pPr>
        <w:rPr>
          <w:color w:val="000000" w:themeColor="text1"/>
        </w:rPr>
      </w:pPr>
    </w:p>
    <w:sectPr w:rsidR="00090FBC" w:rsidRPr="00031671" w:rsidSect="00FB3B7F">
      <w:headerReference w:type="default" r:id="rId7"/>
      <w:foot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F97" w:rsidRDefault="00451F97">
      <w:pPr>
        <w:spacing w:after="0" w:line="240" w:lineRule="auto"/>
      </w:pPr>
      <w:r>
        <w:separator/>
      </w:r>
    </w:p>
  </w:endnote>
  <w:endnote w:type="continuationSeparator" w:id="0">
    <w:p w:rsidR="00451F97" w:rsidRDefault="0045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838472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:rsidR="007E658B" w:rsidRPr="00360DD7" w:rsidRDefault="00A67C53">
        <w:pPr>
          <w:pStyle w:val="Piedepgina"/>
          <w:jc w:val="right"/>
          <w:rPr>
            <w:rFonts w:ascii="Century Gothic" w:hAnsi="Century Gothic"/>
          </w:rPr>
        </w:pPr>
        <w:r w:rsidRPr="00360DD7">
          <w:rPr>
            <w:rFonts w:ascii="Century Gothic" w:hAnsi="Century Gothic"/>
          </w:rPr>
          <w:fldChar w:fldCharType="begin"/>
        </w:r>
        <w:r w:rsidRPr="00360DD7">
          <w:rPr>
            <w:rFonts w:ascii="Century Gothic" w:hAnsi="Century Gothic"/>
          </w:rPr>
          <w:instrText>PAGE   \* MERGEFORMAT</w:instrText>
        </w:r>
        <w:r w:rsidRPr="00360DD7">
          <w:rPr>
            <w:rFonts w:ascii="Century Gothic" w:hAnsi="Century Gothic"/>
          </w:rPr>
          <w:fldChar w:fldCharType="separate"/>
        </w:r>
        <w:r w:rsidR="006D09D1" w:rsidRPr="006D09D1">
          <w:rPr>
            <w:rFonts w:ascii="Century Gothic" w:hAnsi="Century Gothic"/>
            <w:noProof/>
            <w:lang w:val="es-ES"/>
          </w:rPr>
          <w:t>4</w:t>
        </w:r>
        <w:r w:rsidRPr="00360DD7">
          <w:rPr>
            <w:rFonts w:ascii="Century Gothic" w:hAnsi="Century Gothic"/>
          </w:rPr>
          <w:fldChar w:fldCharType="end"/>
        </w:r>
      </w:p>
    </w:sdtContent>
  </w:sdt>
  <w:p w:rsidR="007E658B" w:rsidRDefault="00451F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F97" w:rsidRDefault="00451F97">
      <w:pPr>
        <w:spacing w:after="0" w:line="240" w:lineRule="auto"/>
      </w:pPr>
      <w:r>
        <w:separator/>
      </w:r>
    </w:p>
  </w:footnote>
  <w:footnote w:type="continuationSeparator" w:id="0">
    <w:p w:rsidR="00451F97" w:rsidRDefault="00451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1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33"/>
      <w:gridCol w:w="5868"/>
    </w:tblGrid>
    <w:tr w:rsidR="007E658B" w:rsidRPr="00FB1941" w:rsidTr="00C461F7">
      <w:trPr>
        <w:trHeight w:val="454"/>
        <w:jc w:val="center"/>
      </w:trPr>
      <w:tc>
        <w:tcPr>
          <w:tcW w:w="473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7E658B" w:rsidRPr="00FB1941" w:rsidRDefault="00A67C53" w:rsidP="00C461F7">
          <w:pPr>
            <w:spacing w:after="0"/>
            <w:jc w:val="center"/>
            <w:rPr>
              <w:rFonts w:eastAsia="Times New Roman" w:cs="Arial"/>
              <w:b/>
              <w:sz w:val="18"/>
              <w:szCs w:val="18"/>
              <w:lang w:eastAsia="es-ES"/>
            </w:rPr>
          </w:pPr>
          <w:r w:rsidRPr="00FB1941">
            <w:rPr>
              <w:noProof/>
              <w:sz w:val="18"/>
              <w:szCs w:val="18"/>
              <w:lang w:eastAsia="es-EC"/>
            </w:rPr>
            <w:drawing>
              <wp:inline distT="0" distB="0" distL="0" distR="0" wp14:anchorId="3DEF4851" wp14:editId="1FB620C5">
                <wp:extent cx="1727200" cy="490855"/>
                <wp:effectExtent l="0" t="0" r="6350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7200" cy="490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8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D9D9D9"/>
          <w:vAlign w:val="center"/>
        </w:tcPr>
        <w:p w:rsidR="007E658B" w:rsidRPr="00FB1941" w:rsidRDefault="00A67C53" w:rsidP="00830970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18"/>
              <w:szCs w:val="18"/>
              <w:lang w:eastAsia="es-ES"/>
            </w:rPr>
          </w:pPr>
          <w:r w:rsidRPr="003A0E52">
            <w:rPr>
              <w:rFonts w:eastAsia="Times New Roman" w:cs="Arial"/>
              <w:b/>
              <w:bCs/>
              <w:sz w:val="18"/>
              <w:szCs w:val="18"/>
              <w:lang w:eastAsia="es-ES"/>
            </w:rPr>
            <w:t>ACTA DE REUNIÓN</w:t>
          </w:r>
        </w:p>
      </w:tc>
    </w:tr>
    <w:tr w:rsidR="007E658B" w:rsidRPr="00FB1941" w:rsidTr="00C461F7">
      <w:trPr>
        <w:trHeight w:val="227"/>
        <w:jc w:val="center"/>
      </w:trPr>
      <w:tc>
        <w:tcPr>
          <w:tcW w:w="473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E658B" w:rsidRPr="00FB1941" w:rsidRDefault="00451F97" w:rsidP="00830970">
          <w:pPr>
            <w:spacing w:after="0"/>
            <w:ind w:left="142"/>
            <w:rPr>
              <w:rFonts w:eastAsia="Times New Roman" w:cs="Arial"/>
              <w:b/>
              <w:color w:val="FF0000"/>
              <w:sz w:val="18"/>
              <w:szCs w:val="18"/>
              <w:lang w:eastAsia="es-ES"/>
            </w:rPr>
          </w:pPr>
        </w:p>
      </w:tc>
      <w:tc>
        <w:tcPr>
          <w:tcW w:w="5868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</w:tcPr>
        <w:p w:rsidR="007E658B" w:rsidRPr="00C461F7" w:rsidRDefault="00A67C53" w:rsidP="00817D7A">
          <w:pPr>
            <w:spacing w:after="0"/>
            <w:jc w:val="center"/>
            <w:rPr>
              <w:rFonts w:eastAsia="Times New Roman" w:cs="Arial"/>
              <w:b/>
              <w:bCs/>
              <w:sz w:val="24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CGTPE-DECON-GIE-CAB</w:t>
          </w:r>
          <w:r w:rsidRPr="00AB3A90"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SIPP</w:t>
          </w:r>
          <w:r w:rsidR="004D5C04"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-90</w:t>
          </w:r>
          <w:r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-2023</w:t>
          </w:r>
        </w:p>
      </w:tc>
    </w:tr>
  </w:tbl>
  <w:p w:rsidR="007E658B" w:rsidRDefault="00451F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A7173"/>
    <w:multiLevelType w:val="hybridMultilevel"/>
    <w:tmpl w:val="0DE0C5D2"/>
    <w:lvl w:ilvl="0" w:tplc="C816AE5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3CCE"/>
    <w:multiLevelType w:val="hybridMultilevel"/>
    <w:tmpl w:val="64B6031C"/>
    <w:lvl w:ilvl="0" w:tplc="EA58F7C8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65BB2"/>
    <w:multiLevelType w:val="hybridMultilevel"/>
    <w:tmpl w:val="E5FC74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41082"/>
    <w:multiLevelType w:val="hybridMultilevel"/>
    <w:tmpl w:val="6F7EC3B6"/>
    <w:lvl w:ilvl="0" w:tplc="300A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30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0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0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0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0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0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C40075C"/>
    <w:multiLevelType w:val="hybridMultilevel"/>
    <w:tmpl w:val="1DC0CAB0"/>
    <w:lvl w:ilvl="0" w:tplc="F93E8AA0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B3"/>
    <w:rsid w:val="00001C0D"/>
    <w:rsid w:val="000169D3"/>
    <w:rsid w:val="00030C8C"/>
    <w:rsid w:val="00031671"/>
    <w:rsid w:val="00090FBC"/>
    <w:rsid w:val="00097485"/>
    <w:rsid w:val="001049E8"/>
    <w:rsid w:val="0011063A"/>
    <w:rsid w:val="00115681"/>
    <w:rsid w:val="00132904"/>
    <w:rsid w:val="00137E95"/>
    <w:rsid w:val="0015592F"/>
    <w:rsid w:val="001731AA"/>
    <w:rsid w:val="00185484"/>
    <w:rsid w:val="001A754F"/>
    <w:rsid w:val="001A7EBF"/>
    <w:rsid w:val="001B6FB3"/>
    <w:rsid w:val="001D6EC4"/>
    <w:rsid w:val="0022481E"/>
    <w:rsid w:val="002664EC"/>
    <w:rsid w:val="0029497B"/>
    <w:rsid w:val="002D7363"/>
    <w:rsid w:val="00305329"/>
    <w:rsid w:val="00340FAC"/>
    <w:rsid w:val="00373221"/>
    <w:rsid w:val="00451F97"/>
    <w:rsid w:val="0045508B"/>
    <w:rsid w:val="004767B4"/>
    <w:rsid w:val="004859F3"/>
    <w:rsid w:val="00493D77"/>
    <w:rsid w:val="004C58C6"/>
    <w:rsid w:val="004D5C04"/>
    <w:rsid w:val="004E002A"/>
    <w:rsid w:val="00520A3B"/>
    <w:rsid w:val="00532595"/>
    <w:rsid w:val="0058100E"/>
    <w:rsid w:val="005E6826"/>
    <w:rsid w:val="00600BC5"/>
    <w:rsid w:val="006A1FBE"/>
    <w:rsid w:val="006C138E"/>
    <w:rsid w:val="006D09D1"/>
    <w:rsid w:val="006D6959"/>
    <w:rsid w:val="00700F73"/>
    <w:rsid w:val="00705C05"/>
    <w:rsid w:val="00714142"/>
    <w:rsid w:val="00725583"/>
    <w:rsid w:val="00756A40"/>
    <w:rsid w:val="007A668A"/>
    <w:rsid w:val="007B06E4"/>
    <w:rsid w:val="007B53BB"/>
    <w:rsid w:val="007E5269"/>
    <w:rsid w:val="00807EFF"/>
    <w:rsid w:val="00816EEB"/>
    <w:rsid w:val="0089045A"/>
    <w:rsid w:val="008B70F1"/>
    <w:rsid w:val="008D4305"/>
    <w:rsid w:val="009310B7"/>
    <w:rsid w:val="00942B77"/>
    <w:rsid w:val="0094613B"/>
    <w:rsid w:val="009842D2"/>
    <w:rsid w:val="009C6211"/>
    <w:rsid w:val="009F7083"/>
    <w:rsid w:val="00A2661F"/>
    <w:rsid w:val="00A5625A"/>
    <w:rsid w:val="00A67C53"/>
    <w:rsid w:val="00A70BF6"/>
    <w:rsid w:val="00A74074"/>
    <w:rsid w:val="00A93E43"/>
    <w:rsid w:val="00AB2653"/>
    <w:rsid w:val="00AD6302"/>
    <w:rsid w:val="00AE1A34"/>
    <w:rsid w:val="00B4176B"/>
    <w:rsid w:val="00B94097"/>
    <w:rsid w:val="00BB2BD0"/>
    <w:rsid w:val="00BB2D6D"/>
    <w:rsid w:val="00BD5ABF"/>
    <w:rsid w:val="00C057B2"/>
    <w:rsid w:val="00C455D5"/>
    <w:rsid w:val="00C50B99"/>
    <w:rsid w:val="00C706F4"/>
    <w:rsid w:val="00CA157A"/>
    <w:rsid w:val="00D07682"/>
    <w:rsid w:val="00D770E0"/>
    <w:rsid w:val="00D9345D"/>
    <w:rsid w:val="00DD5093"/>
    <w:rsid w:val="00E31DEF"/>
    <w:rsid w:val="00E86745"/>
    <w:rsid w:val="00EA1A6C"/>
    <w:rsid w:val="00EC294E"/>
    <w:rsid w:val="00EE1A45"/>
    <w:rsid w:val="00F21260"/>
    <w:rsid w:val="00F24435"/>
    <w:rsid w:val="00F45523"/>
    <w:rsid w:val="00F538D0"/>
    <w:rsid w:val="00F616B1"/>
    <w:rsid w:val="00F94D39"/>
    <w:rsid w:val="00FA635C"/>
    <w:rsid w:val="00FD12FC"/>
    <w:rsid w:val="00FD1AF8"/>
    <w:rsid w:val="00FD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C96AA-4A76-464C-A195-DAF034A7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F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umeracion"/>
    <w:basedOn w:val="Normal"/>
    <w:link w:val="PrrafodelistaCar"/>
    <w:uiPriority w:val="34"/>
    <w:qFormat/>
    <w:rsid w:val="001B6F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6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6FB3"/>
  </w:style>
  <w:style w:type="paragraph" w:styleId="Piedepgina">
    <w:name w:val="footer"/>
    <w:basedOn w:val="Normal"/>
    <w:link w:val="PiedepginaCar"/>
    <w:uiPriority w:val="99"/>
    <w:unhideWhenUsed/>
    <w:rsid w:val="001B6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6FB3"/>
  </w:style>
  <w:style w:type="character" w:customStyle="1" w:styleId="PrrafodelistaCar">
    <w:name w:val="Párrafo de lista Car"/>
    <w:aliases w:val="numeracion Car"/>
    <w:link w:val="Prrafodelista"/>
    <w:uiPriority w:val="34"/>
    <w:rsid w:val="001B6FB3"/>
  </w:style>
  <w:style w:type="paragraph" w:styleId="Textodeglobo">
    <w:name w:val="Balloon Text"/>
    <w:basedOn w:val="Normal"/>
    <w:link w:val="TextodegloboCar"/>
    <w:uiPriority w:val="99"/>
    <w:semiHidden/>
    <w:unhideWhenUsed/>
    <w:rsid w:val="004859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9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1240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Eduardo Maya</dc:creator>
  <cp:keywords/>
  <dc:description/>
  <cp:lastModifiedBy>INEC Omar Llambo</cp:lastModifiedBy>
  <cp:revision>11</cp:revision>
  <dcterms:created xsi:type="dcterms:W3CDTF">2023-09-01T16:01:00Z</dcterms:created>
  <dcterms:modified xsi:type="dcterms:W3CDTF">2023-09-01T16:38:00Z</dcterms:modified>
</cp:coreProperties>
</file>