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766E"/>
          <w:sz w:val="48"/>
        </w:rPr>
        <w:t>Migrant Saathi AI 🛡️</w:t>
        <w:br/>
        <w:t>Implementation Plan &amp; System Specification</w:t>
      </w:r>
    </w:p>
    <w:p>
      <w:pPr>
        <w:jc w:val="center"/>
      </w:pPr>
      <w:r>
        <w:rPr>
          <w:rFonts w:ascii="Calibri" w:hAnsi="Calibri"/>
          <w:i/>
          <w:color w:val="475569"/>
          <w:sz w:val="24"/>
        </w:rPr>
        <w:t>Smart Migrant Labour Welfare &amp; Skill Mapping Platform | Gujarat Social Governance</w:t>
      </w:r>
    </w:p>
    <w:p>
      <w:pPr>
        <w:spacing w:after="240"/>
      </w:pPr>
    </w:p>
    <w:p>
      <w:pPr>
        <w:pStyle w:val="Heading1"/>
      </w:pPr>
      <w:r>
        <w:rPr>
          <w:color w:val="0F766E"/>
        </w:rPr>
        <w:t>1. Executive Summary</w:t>
      </w:r>
    </w:p>
    <w:p>
      <w:r>
        <w:t>Migrant Saathi AI is an AI-powered social governance platform designed to protect and empower over 6 million+ interstate migrant workers in Gujarat. The platform bridges the critical gap between unorganized labor, government welfare schemes, reference minimum wage compliance, workplace safety reporting, and state-level policy decision-making.</w:t>
      </w:r>
    </w:p>
    <w:p>
      <w:pPr>
        <w:pStyle w:val="Heading1"/>
      </w:pPr>
      <w:r>
        <w:rPr>
          <w:color w:val="0F766E"/>
        </w:rPr>
        <w:t>2. System Architecture &amp;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766E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20"/>
            <w:shd w:val="clear" w:color="auto" w:fill="0F766E"/>
          </w:tcPr>
          <w:p>
            <w:r>
              <w:rPr>
                <w:b/>
                <w:color w:val="FFFFFF"/>
              </w:rPr>
              <w:t>Technologies</w:t>
            </w:r>
          </w:p>
        </w:tc>
        <w:tc>
          <w:tcPr>
            <w:tcW w:type="dxa" w:w="3120"/>
            <w:shd w:val="clear" w:color="auto" w:fill="0F766E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Frontend UI</w:t>
            </w:r>
          </w:p>
        </w:tc>
        <w:tc>
          <w:tcPr>
            <w:tcW w:type="dxa" w:w="3120"/>
          </w:tcPr>
          <w:p>
            <w:r>
              <w:t>React 18, Vite, TypeScript, Tailwind CSS, Zustand</w:t>
            </w:r>
          </w:p>
        </w:tc>
        <w:tc>
          <w:tcPr>
            <w:tcW w:type="dxa" w:w="3120"/>
          </w:tcPr>
          <w:p>
            <w:r>
              <w:t>Modern SPA with multi-lingual worker &amp; official portals</w:t>
            </w:r>
          </w:p>
        </w:tc>
      </w:tr>
      <w:tr>
        <w:tc>
          <w:tcPr>
            <w:tcW w:type="dxa" w:w="3120"/>
          </w:tcPr>
          <w:p>
            <w:r>
              <w:t>Backend REST API</w:t>
            </w:r>
          </w:p>
        </w:tc>
        <w:tc>
          <w:tcPr>
            <w:tcW w:type="dxa" w:w="3120"/>
          </w:tcPr>
          <w:p>
            <w:r>
              <w:t>Python FastAPI, Uvicorn, SQLAlchemy</w:t>
            </w:r>
          </w:p>
        </w:tc>
        <w:tc>
          <w:tcPr>
            <w:tcW w:type="dxa" w:w="3120"/>
          </w:tcPr>
          <w:p>
            <w:r>
              <w:t>Asynchronous REST backend service with CORS security</w:t>
            </w:r>
          </w:p>
        </w:tc>
      </w:tr>
      <w:tr>
        <w:tc>
          <w:tcPr>
            <w:tcW w:type="dxa" w:w="3120"/>
          </w:tcPr>
          <w:p>
            <w:r>
              <w:t>Serverless Layer</w:t>
            </w:r>
          </w:p>
        </w:tc>
        <w:tc>
          <w:tcPr>
            <w:tcW w:type="dxa" w:w="3120"/>
          </w:tcPr>
          <w:p>
            <w:r>
              <w:t>Vercel Serverless Function (api/index.py)</w:t>
            </w:r>
          </w:p>
        </w:tc>
        <w:tc>
          <w:tcPr>
            <w:tcW w:type="dxa" w:w="3120"/>
          </w:tcPr>
          <w:p>
            <w:r>
              <w:t>Synchronous Python handler for Vercel cloud hosting</w:t>
            </w:r>
          </w:p>
        </w:tc>
      </w:tr>
      <w:tr>
        <w:tc>
          <w:tcPr>
            <w:tcW w:type="dxa" w:w="3120"/>
          </w:tcPr>
          <w:p>
            <w:r>
              <w:t>AI Agent Engine</w:t>
            </w:r>
          </w:p>
        </w:tc>
        <w:tc>
          <w:tcPr>
            <w:tcW w:type="dxa" w:w="3120"/>
          </w:tcPr>
          <w:p>
            <w:r>
              <w:t>IBM watsonx.ai + IBM Granite</w:t>
            </w:r>
          </w:p>
        </w:tc>
        <w:tc>
          <w:tcPr>
            <w:tcW w:type="dxa" w:w="3120"/>
          </w:tcPr>
          <w:p>
            <w:r>
              <w:t>Multi-lingual query processing and skill extraction</w:t>
            </w:r>
          </w:p>
        </w:tc>
      </w:tr>
      <w:tr>
        <w:tc>
          <w:tcPr>
            <w:tcW w:type="dxa" w:w="3120"/>
          </w:tcPr>
          <w:p>
            <w:r>
              <w:t>Email Dispatch</w:t>
            </w:r>
          </w:p>
        </w:tc>
        <w:tc>
          <w:tcPr>
            <w:tcW w:type="dxa" w:w="3120"/>
          </w:tcPr>
          <w:p>
            <w:r>
              <w:t>Gmail SMTP (smtp.gmail.com:587)</w:t>
            </w:r>
          </w:p>
        </w:tc>
        <w:tc>
          <w:tcPr>
            <w:tcW w:type="dxa" w:w="3120"/>
          </w:tcPr>
          <w:p>
            <w:r>
              <w:t>Direct 6-digit Email OTP delivery to worker inbox</w:t>
            </w:r>
          </w:p>
        </w:tc>
      </w:tr>
      <w:tr>
        <w:tc>
          <w:tcPr>
            <w:tcW w:type="dxa" w:w="3120"/>
          </w:tcPr>
          <w:p>
            <w:r>
              <w:t>Database</w:t>
            </w:r>
          </w:p>
        </w:tc>
        <w:tc>
          <w:tcPr>
            <w:tcW w:type="dxa" w:w="3120"/>
          </w:tcPr>
          <w:p>
            <w:r>
              <w:t>SQLite / PostgreSQL Engine</w:t>
            </w:r>
          </w:p>
        </w:tc>
        <w:tc>
          <w:tcPr>
            <w:tcW w:type="dxa" w:w="3120"/>
          </w:tcPr>
          <w:p>
            <w:r>
              <w:t>Relational persistence for workers, schemes &amp; grievances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F766E"/>
        </w:rPr>
        <w:t>3. Component Specifications &amp; Requirements</w:t>
      </w:r>
    </w:p>
    <w:p>
      <w:r>
        <w:rPr>
          <w:b/>
        </w:rPr>
        <w:t>Authentication &amp; Security Engine:</w:t>
        <w:br/>
      </w:r>
      <w:r>
        <w:t>• Direct Gmail SMTP Email OTP verification without mock code displays.</w:t>
        <w:br/>
      </w:r>
      <w:r>
        <w:t>• HMAC SHA-256 token generation with 10-minute validity.</w:t>
        <w:br/>
      </w:r>
      <w:r>
        <w:t>• Automatic redirect to Sign In tab after registration with pre-filled email.</w:t>
        <w:br/>
        <w:br/>
      </w:r>
      <w:r>
        <w:rPr>
          <w:b/>
        </w:rPr>
        <w:t>Worker Portal Specifications:</w:t>
        <w:br/>
      </w:r>
      <w:r>
        <w:t>• Profile Verification status renders 100% Complete upon registration.</w:t>
        <w:br/>
      </w:r>
      <w:r>
        <w:t>• Mobile Phone Number inputs &amp; profile fields removed across all views.</w:t>
        <w:br/>
      </w:r>
      <w:r>
        <w:t>• Years of Experience input strictly capped (0–50 years max, 2 digits max) to eliminate UI overflow.</w:t>
        <w:br/>
      </w:r>
      <w:r>
        <w:t>• Wage Fairness Analyzer cross-referencing worker earnings with Gujarat reference rates.</w:t>
        <w:br/>
        <w:br/>
      </w:r>
      <w:r>
        <w:rPr>
          <w:b/>
        </w:rPr>
        <w:t>Government &amp; Admin Console:</w:t>
        <w:br/>
      </w:r>
      <w:r>
        <w:t>• Gujarat District Worker Heatmap &amp; Inspections Management (Insp. Sharma, Insp. Patel).</w:t>
        <w:br/>
      </w:r>
      <w:r>
        <w:t>• Interactive Entry Modal to update reference minimum wages.</w:t>
        <w:br/>
      </w:r>
    </w:p>
    <w:p>
      <w:pPr>
        <w:pStyle w:val="Heading1"/>
      </w:pPr>
      <w:r>
        <w:rPr>
          <w:color w:val="0F766E"/>
        </w:rPr>
        <w:t>4. Deployment &amp; Live URLs</w:t>
      </w:r>
    </w:p>
    <w:p>
      <w:r>
        <w:rPr>
          <w:b/>
        </w:rPr>
        <w:t xml:space="preserve">• Live Web Application: </w:t>
      </w:r>
      <w:r>
        <w:t>https://migrant-saathi-ai.vercel.app</w:t>
        <w:br/>
      </w:r>
      <w:r>
        <w:rPr>
          <w:b/>
        </w:rPr>
        <w:t xml:space="preserve">• GitHub Repository: </w:t>
      </w:r>
      <w:r>
        <w:t>https://github.com/ohmsharma1401-rgb/migrant-saathi-ai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