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FYP 进度、提交与写作指南</w:t>
      </w:r>
    </w:p>
    <w:p>
      <w:pPr>
        <w:jc w:val="center"/>
      </w:pPr>
      <w:r>
        <w:rPr>
          <w:rFonts w:ascii="Arial" w:hAnsi="Arial" w:eastAsia="Arial"/>
          <w:b/>
          <w:color w:val="2F5475"/>
          <w:sz w:val="24"/>
        </w:rPr>
        <w:t>Evidence-Grounded Construction of a Knowledge Graph for Spinal Muscular Atrophy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05050"/>
          <w:sz w:val="19"/>
        </w:rPr>
        <w:t>编制日期：2026-10-01｜计划起点：2026-10-01｜学年：2026/27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4E79"/>
                <w:sz w:val="20"/>
              </w:rPr>
              <w:t>真实性原则：本计划从现在开始安排未来工作；不把现有成果伪造成过去逐周完成的 logbook 记录。</w:t>
            </w:r>
          </w:p>
        </w:tc>
      </w:tr>
    </w:tbl>
    <w:p>
      <w:pPr>
        <w:pStyle w:val="Heading1"/>
      </w:pPr>
      <w:r>
        <w:t>1. 已确认的提交节点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提交/考核</w:t>
            </w:r>
          </w:p>
        </w:tc>
        <w:tc>
          <w:tcPr>
            <w:tcW w:type="dxa" w:w="850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2381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截止时间（CST）</w:t>
            </w:r>
          </w:p>
        </w:tc>
        <w:tc>
          <w:tcPr>
            <w:tcW w:type="dxa" w:w="3969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交付内容与渠道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Specification &amp; Preliminary Report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10%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2026-10-30 23:59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Preliminary Report + 第1本 Logbook + Risk Assessment；GC-UESTC FYP System</w:t>
            </w:r>
          </w:p>
        </w:tc>
      </w:tr>
      <w:tr>
        <w:tc>
          <w:tcPr>
            <w:tcW w:type="dxa" w:w="249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Interim Report + Oral + 第2本 Logbook</w:t>
            </w:r>
          </w:p>
        </w:tc>
        <w:tc>
          <w:tcPr>
            <w:tcW w:type="dxa" w:w="850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15%</w:t>
            </w:r>
          </w:p>
        </w:tc>
        <w:tc>
          <w:tcPr>
            <w:tcW w:type="dxa" w:w="238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报告：2027-01-08 23:59</w:t>
              <w:br/>
              <w:t>口试：2027-01-11—22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FYP System；报告、演示与问答综合考核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Poster submission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—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2027-04-16 12:00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FYP System</w:t>
            </w:r>
          </w:p>
        </w:tc>
      </w:tr>
      <w:tr>
        <w:tc>
          <w:tcPr>
            <w:tcW w:type="dxa" w:w="249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Poster oral presentation</w:t>
            </w:r>
          </w:p>
        </w:tc>
        <w:tc>
          <w:tcPr>
            <w:tcW w:type="dxa" w:w="850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25%</w:t>
            </w:r>
          </w:p>
        </w:tc>
        <w:tc>
          <w:tcPr>
            <w:tcW w:type="dxa" w:w="238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2027-04-19—21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海报讲解与现场问答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Final Report + 第3本 Logbook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40%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时间存在冲突，见下方警告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纸质提交 + Moodle + FYP System</w:t>
            </w:r>
          </w:p>
        </w:tc>
      </w:tr>
      <w:tr>
        <w:tc>
          <w:tcPr>
            <w:tcW w:type="dxa" w:w="249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Student Performance Evaluation</w:t>
            </w:r>
          </w:p>
        </w:tc>
        <w:tc>
          <w:tcPr>
            <w:tcW w:type="dxa" w:w="850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10%</w:t>
            </w:r>
          </w:p>
        </w:tc>
        <w:tc>
          <w:tcPr>
            <w:tcW w:type="dxa" w:w="238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2027-04-28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导师通过 FYP System 评价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Software/code/prototype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—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时间存在冲突，见下方警告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软件代码与相关材料归档提交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CE4D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9C3F1C"/>
                <w:sz w:val="20"/>
              </w:rPr>
              <w:t>截止时间冲突：FYP_timeline.png 写明 Final Report、第三本 Logbook 和代码为 2027-04-28 23:59；Student Handbook 2026–27 表 1 写明 Final Report/Logbook 与代码为 2027-04-30 23:59。请在 2027 年 4 月前以 Moodle、FYP System 和最新 assessment brief 为准，并按较早的 4 月 28 日做内部截止。</w:t>
            </w:r>
          </w:p>
        </w:tc>
      </w:tr>
    </w:tbl>
    <w:p>
      <w:pPr>
        <w:pStyle w:val="Heading1"/>
      </w:pPr>
      <w:r>
        <w:t>2. 从零开始的未来执行计划</w:t>
      </w:r>
    </w:p>
    <w:p>
      <w:pPr>
        <w:spacing w:after="80"/>
      </w:pPr>
      <w:r>
        <w:rPr>
          <w:rFonts w:ascii="Arial" w:hAnsi="Arial" w:eastAsia="Arial"/>
          <w:b w:val="0"/>
          <w:sz w:val="20"/>
        </w:rPr>
        <w:t>安排原则：每阶段都有可检查的输入、任务、输出和验证证据；只有真正完成后才在 logbook 中写成完成项。现有代码与数据可作为技术蓝图和验证基线，但日志必须记录你从 2026-10-01 起亲自执行、理解、修改和评估的工作。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17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814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工作包</w:t>
            </w:r>
          </w:p>
        </w:tc>
        <w:tc>
          <w:tcPr>
            <w:tcW w:type="dxa" w:w="4082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主要任务</w:t>
            </w:r>
          </w:p>
        </w:tc>
        <w:tc>
          <w:tcPr>
            <w:tcW w:type="dxa" w:w="2778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完成证据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10/01–10/04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立项与合规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阅读指南；确认研究问题、范围、风险、伦理、资源和评价指标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签字版 risk/ethical；项目问题清单；第1周真实日志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10/05–10/11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文献与需求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SMA、PubMed/Open Targets、BioNLP、KG、RAG 文献检索；定义实体/关系 schema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文献矩阵；schema v1；可测量目标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10/12–10/18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数据采集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配置环境；实现/复现 PubMed 与 Open Targets 采集；数据质量检查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原始数据、manifest、计数、哈希、失败记录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10/19–10/25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主题分析与抽取小样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BERTopic/PubMedBERT 主题分析；LLM 关系抽取提示词与小规模 pilot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主题报告；pilot triples；错误分类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10/26–10/30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首轮提交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完善 preliminary report、风险、伦理、第1本 logbook；导师签字与提交检查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10/30 提交包；后续修订清单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11/01–11/15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全量关系抽取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分块、并发、重试、schema 校验、去重；保存 run artifacts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可复现的全量 triples 与 validation summary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11/16–11/30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标准化与语义对齐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词典映射、同义词归一、PubMedBERT 类型内对齐；阈值敏感性分析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mapped/aligned triples；阈值实验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12/01–12/15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融合与冲突处理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聚合证据、置信度融合、正负关系冲突检测、人工复核规则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fused triples；conflict list；错误案例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12/16–12/31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图谱与中期材料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Neo4j 导入、拓扑指标、可视化；撰写 interim report 和演示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图数据库、viewer、指标；中期报告草稿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01/01–01/08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中期提交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复现核心结果、修订 Gantt、完成报告与第2本 logbook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1/8 提交包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01/11–01/22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中期口试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准备 5–10 分钟技术叙述、风险/局限、问答；记录反馈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演示稿；问答库；反馈行动项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01/23–02/14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400条人工标注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300 条随机主集 + 100 条困难集；80 条独立双评；计算一致性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人工 gold set；Cohen’s κ；precision 与错误分析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02/15–03/07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创新1：证据校验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把 evidence span 对齐回 PubMed title/abstract；设置阈值与人工复核路由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代码、测试、覆盖率/准确率、失败案例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03/08–03/21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创新2：GraphRAG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Neo4j 邻域检索、PMID 证据组装、回答生成与拒答策略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端到端 runner；QA 测试集；基线对比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03/22–04/04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创新3–4：引用与主张校验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验证 PMID 引用存在且被检索；拆分 claims 并判断证据支持度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citation/claim metrics；消融；错误分析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04/05–04/15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收尾与海报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冻结实验、重跑主结果、制作海报、导师审阅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最终表图；4/16 海报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04/19–04/21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海报口试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展示贡献、证据链、局限与未来工作；记录面板反馈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口试记录；最终报告修订项</w:t>
            </w:r>
          </w:p>
        </w:tc>
      </w:tr>
      <w:tr>
        <w:tc>
          <w:tcPr>
            <w:tcW w:type="dxa" w:w="1417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04/22–04/28</w:t>
            </w:r>
          </w:p>
        </w:tc>
        <w:tc>
          <w:tcPr>
            <w:tcW w:type="dxa" w:w="1814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最终内部截止</w:t>
            </w:r>
          </w:p>
        </w:tc>
        <w:tc>
          <w:tcPr>
            <w:tcW w:type="dxa" w:w="408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完成论文、第三本 logbook、代码与复现包；查重和引用核对</w:t>
            </w:r>
          </w:p>
        </w:tc>
        <w:tc>
          <w:tcPr>
            <w:tcW w:type="dxa" w:w="277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按 4/28 内部截止完成全部材料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04/29–04/30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仅作缓冲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仅在官方系统确认 4/30 截止时用于上传/技术问题，不安排新实验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6"/>
              </w:rPr>
              <w:t>最终系统回执</w:t>
            </w:r>
          </w:p>
        </w:tc>
      </w:tr>
    </w:tbl>
    <w:p>
      <w:r>
        <w:br w:type="page"/>
      </w:r>
    </w:p>
    <w:p>
      <w:pPr>
        <w:pStyle w:val="Heading1"/>
      </w:pPr>
      <w:r>
        <w:t>3. 每一阶段怎样写进 logbook</w:t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Logbook 是当时发生的工程活动记录，不是事后整理的漂亮报告。建议每周 5–6 页有思考过程的记录；每项工作写日期、开始/结束时间、目标、方法、命令或草图、观察、问题、决策依据、结果、下一步，并给每页编号和索引。错误和失败要保留，错误内容用单线划掉后写更正，不能撕页、涂改或回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361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活动</w:t>
            </w:r>
          </w:p>
        </w:tc>
        <w:tc>
          <w:tcPr>
            <w:tcW w:type="dxa" w:w="3969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应记录内容</w:t>
            </w:r>
          </w:p>
        </w:tc>
        <w:tc>
          <w:tcPr>
            <w:tcW w:type="dxa" w:w="4762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本项目示例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文献检索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检索式、数据库、筛选标准、保留/排除理由、获得的结论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为何选择 PubMed/Open Targets；哪些工作定义了 relation schema</w:t>
            </w:r>
          </w:p>
        </w:tc>
      </w:tr>
      <w:tr>
        <w:tc>
          <w:tcPr>
            <w:tcW w:type="dxa" w:w="13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编码/实验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环境、版本、输入、命令、参数、开始/结束时间、原始输出、异常</w:t>
            </w:r>
          </w:p>
        </w:tc>
        <w:tc>
          <w:tcPr>
            <w:tcW w:type="dxa" w:w="476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LLM 批次、worker 数、失败重试、数据哈希、Neo4j 导入计数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分析/决策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候选方案、评价标准、证据、最终选择和替代方案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为何只在同一实体类型内做 embedding alignment；阈值如何选</w:t>
            </w:r>
          </w:p>
        </w:tc>
      </w:tr>
      <w:tr>
        <w:tc>
          <w:tcPr>
            <w:tcW w:type="dxa" w:w="13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会议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会前议题、讨论结论、待办、负责人、期限、下次会议</w:t>
            </w:r>
          </w:p>
        </w:tc>
        <w:tc>
          <w:tcPr>
            <w:tcW w:type="dxa" w:w="476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不要填不存在的会议；邮件和线上会议数量按实际记录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结果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表图、单位、统计量、解释、局限、与预期不一致之处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精度只用 300 条随机集；100 条困难集单独报告；不能由 precision 推断 recall</w:t>
            </w:r>
          </w:p>
        </w:tc>
      </w:tr>
      <w:tr>
        <w:tc>
          <w:tcPr>
            <w:tcW w:type="dxa" w:w="13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创新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动机、基线、设计、实现、测试、量化比较、失败案例</w:t>
            </w:r>
          </w:p>
        </w:tc>
        <w:tc>
          <w:tcPr>
            <w:tcW w:type="dxa" w:w="476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证据校验、GraphRAG、引用校验、claim–evidence 校验</w:t>
            </w:r>
          </w:p>
        </w:tc>
      </w:tr>
    </w:tbl>
    <w:p>
      <w:pPr>
        <w:pStyle w:val="Heading2"/>
      </w:pPr>
      <w:r>
        <w:t>首本 logbook 的当前状态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本交付包中的第一本 logbook 只记录 2026-10-01 已实际完成的指南阅读、材料审查、范围确认和表格草拟。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10 月后续日期提供的是“计划提示”，必须在每天实际工作后用真实记录替换；不能直接作为已完成记录提交。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封面中的会议次数、会议方式和邮件数量保持 [TO CONFIRM]，因为材料没有提供事实依据。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每月封面是摘要；提交时还需扫描/合并对应时间段的手写或原始电子 logbook 页面。</w:t>
      </w:r>
    </w:p>
    <w:p>
      <w:pPr>
        <w:pStyle w:val="Heading1"/>
      </w:pPr>
      <w:r>
        <w:t>4. 报告体系与写法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28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报告</w:t>
            </w:r>
          </w:p>
        </w:tc>
        <w:tc>
          <w:tcPr>
            <w:tcW w:type="dxa" w:w="3061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核心目的</w:t>
            </w:r>
          </w:p>
        </w:tc>
        <w:tc>
          <w:tcPr>
            <w:tcW w:type="dxa" w:w="5102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建议结构与证据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Preliminary Report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证明问题值得做、目标可测、路线可行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Project Description；Measurable Outcomes；≥4页 Technical Background；References；≤1页 Work Plan；总计≤8页</w:t>
            </w:r>
          </w:p>
        </w:tc>
      </w:tr>
      <w:tr>
        <w:tc>
          <w:tcPr>
            <w:tcW w:type="dxa" w:w="192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Interim Report</w:t>
            </w:r>
          </w:p>
        </w:tc>
        <w:tc>
          <w:tcPr>
            <w:tcW w:type="dxa" w:w="30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证明已有进展、能批判性解释结果，并给出修订计划</w:t>
            </w:r>
          </w:p>
        </w:tc>
        <w:tc>
          <w:tcPr>
            <w:tcW w:type="dxa" w:w="510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Project Outline；Work Done So Far；初步结论；Challenges/Solutions；剩余工作；Revised Gantt；References；≤12页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Final Dissertation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完整呈现背景、可复现方法、结果、解释、贡献和局限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Title/Declaration；Abstract；Acknowledgements；Contents；Introduction；Literature Review；Methods；Results；Discussion；Conclusions/Future Work；References；必要附录</w:t>
            </w:r>
          </w:p>
        </w:tc>
      </w:tr>
      <w:tr>
        <w:tc>
          <w:tcPr>
            <w:tcW w:type="dxa" w:w="1928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Poster + oral</w:t>
            </w:r>
          </w:p>
        </w:tc>
        <w:tc>
          <w:tcPr>
            <w:tcW w:type="dxa" w:w="306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用最少信息说明问题、方法、最重要的 1–2 个结果和原创贡献</w:t>
            </w:r>
          </w:p>
        </w:tc>
        <w:tc>
          <w:tcPr>
            <w:tcW w:type="dxa" w:w="510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一张主流程图、2–4 个关键结果图、明确创新、局限和可追溯证据；准备经典问题</w:t>
            </w:r>
          </w:p>
        </w:tc>
      </w:tr>
    </w:tbl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Introduction 解释为什么做、研究问题是什么；Literature Review 从广到窄并批判已有工作，最后落到 research gap。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Methods 要让他人能够复现：数据来源、检索日期、schema、模型/版本、提示词、参数、质量门、统计方法都要写清。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Results 只陈述观察结果，表图编号一致、坐标/单位/误差清楚；Discussion 解释原因、对照文献、说明局限。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Abstract 最后写，概括问题、方法、最主要结果和结论；不设置小标题也不塞入新信息。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图题置于图下，表题置于表上；复制或重绘他人材料都要标注来源。引用格式必须前后一致。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严禁购买报告、拼接他人文字、近似改写却不引用，或把生成式 AI 输出当作事实。使用 AI 时遵守 assessment brief，核对事实与参考文献并按要求声明。</w:t>
      </w:r>
    </w:p>
    <w:p>
      <w:pPr>
        <w:pStyle w:val="Heading1"/>
      </w:pPr>
      <w:r>
        <w:t>5. Risk、Ethics、元器件与报销结论</w:t>
      </w:r>
    </w:p>
    <w:p>
      <w:pPr>
        <w:spacing w:after="80"/>
      </w:pPr>
      <w:r>
        <w:rPr>
          <w:rFonts w:ascii="Arial" w:hAnsi="Arial" w:eastAsia="Arial"/>
          <w:b/>
          <w:sz w:val="21"/>
        </w:rPr>
        <w:t>Risk Assessment：</w:t>
      </w:r>
      <w:r>
        <w:rPr>
          <w:rFonts w:ascii="Arial" w:hAnsi="Arial" w:eastAsia="Arial"/>
          <w:b w:val="0"/>
          <w:sz w:val="21"/>
        </w:rPr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需要提交并由学生与第一导师签字。主要风险不是化学/机械危害，而是长期屏幕工作、数据和代码丢失、密钥泄露、第三方 API 成本与限流、LLM 幻觉、引用/知识产权和错误医学解释。对应控制包括休息与人体工学、版本控制与备份、.env 密钥管理、预算/重试/检查点、schema 与证据校验、人工标注和明确“非临床建议”。</w:t>
      </w:r>
    </w:p>
    <w:p>
      <w:pPr>
        <w:spacing w:after="80"/>
      </w:pPr>
      <w:r>
        <w:rPr>
          <w:rFonts w:ascii="Arial" w:hAnsi="Arial" w:eastAsia="Arial"/>
          <w:b/>
          <w:sz w:val="21"/>
        </w:rPr>
        <w:t>Ethical Declaration：</w:t>
      </w:r>
      <w:r>
        <w:rPr>
          <w:rFonts w:ascii="Arial" w:hAnsi="Arial" w:eastAsia="Arial"/>
          <w:b w:val="0"/>
          <w:sz w:val="21"/>
        </w:rPr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需要提交。当前设计仅处理公开 PubMed 摘要与 Open Targets 公共数据，不招募受试者、不访问病历、不处理可识别患者信息、不进行生物样本或动物实验，因此 12 个 gateway questions 均为 No。若以后加入患者数据、访谈或私有临床文本，必须重新申请伦理审查。</w:t>
      </w:r>
    </w:p>
    <w:p>
      <w:pPr>
        <w:spacing w:after="80"/>
      </w:pPr>
      <w:r>
        <w:rPr>
          <w:rFonts w:ascii="Arial" w:hAnsi="Arial" w:eastAsia="Arial"/>
          <w:b/>
          <w:sz w:val="21"/>
        </w:rPr>
        <w:t>Component / Reimbursement：</w:t>
      </w:r>
      <w:r>
        <w:rPr>
          <w:rFonts w:ascii="Arial" w:hAnsi="Arial" w:eastAsia="Arial"/>
          <w:b w:val="0"/>
          <w:sz w:val="21"/>
        </w:rPr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当前不需要填写。两份样表用于元器件采购或发票报销，而本项目可用现有计算机、开源软件、公开数据和既有 API 配额完成。只有在导师事先批准购买硬件、服务器/GPU、数据库服务或可报销 API 费用时，才应填写，并使用真实供应商、单价、发票和银行信息；不得为了“完整”而虚构采购。</w:t>
      </w:r>
    </w:p>
    <w:p>
      <w:pPr>
        <w:pStyle w:val="Heading1"/>
      </w:pPr>
      <w:r>
        <w:t>6. 400 条人工标注是否必要</w:t>
      </w:r>
    </w:p>
    <w:p>
      <w:pPr>
        <w:spacing w:after="80"/>
      </w:pPr>
      <w:r>
        <w:rPr>
          <w:rFonts w:ascii="Arial" w:hAnsi="Arial" w:eastAsia="Arial"/>
          <w:b w:val="0"/>
          <w:sz w:val="21"/>
        </w:rPr>
        <w:t>结论：作为毕业设计，固定“400 条”并非学校硬性规定，但独立人工标注对这个项目是必要的。没有 gold set，只能报告条数和图拓扑，不能有说服力地报告关系抽取的事实正确性。400 条规模在时间与可信度之间较合理。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1020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969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抽样与用途</w:t>
            </w:r>
          </w:p>
        </w:tc>
        <w:tc>
          <w:tcPr>
            <w:tcW w:type="dxa" w:w="3402"/>
            <w:shd w:fill="2F5E85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报告规则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Primary random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300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从预测三元组中可复现随机抽样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只用这 300 条计算主 precision/支持率与置信区间</w:t>
            </w:r>
          </w:p>
        </w:tc>
      </w:tr>
      <w:tr>
        <w:tc>
          <w:tcPr>
            <w:tcW w:type="dxa" w:w="1701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Challenge</w:t>
            </w:r>
          </w:p>
        </w:tc>
        <w:tc>
          <w:tcPr>
            <w:tcW w:type="dxa" w:w="1020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100</w:t>
            </w:r>
          </w:p>
        </w:tc>
        <w:tc>
          <w:tcPr>
            <w:tcW w:type="dxa" w:w="3969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过采样低置信、非精确证据、稀有关系</w:t>
            </w:r>
          </w:p>
        </w:tc>
        <w:tc>
          <w:tcPr>
            <w:tcW w:type="dxa" w:w="3402"/>
            <w:vAlign w:val="center"/>
            <w:shd w:fill="F3F6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仅作压力测试与错误分析，不能与随机集混算主指标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Second review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80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从两组中预先标记，第二评审独立复核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sz w:val="18"/>
              </w:rPr>
              <w:t>报告 Cohen’s κ/一致率；分歧经讨论裁决</w:t>
            </w:r>
          </w:p>
        </w:tc>
      </w:tr>
    </w:tbl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每条先读 title + abstract，再核对 subject、subject type、relation、object、object type、方向和 evidence span。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Support label：2=直接支持；1=部分/隐含支持；0=不支持或矛盾；U=摘要不足以判断。另填错误类型与修正三元组。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AI 可给建议，但最终 gold label 必须由人确认；不能把 AI 建议伪装成人工标注。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20"/>
        </w:rPr>
        <w:t>• 由于抽样起点是预测三元组，这套标注估计 precision/事实支持度，不估计 recall。Recall 需要对一批完整摘要穷尽标注所有关系。</w:t>
      </w:r>
    </w:p>
    <w:p>
      <w:pPr>
        <w:pStyle w:val="Heading1"/>
      </w:pPr>
      <w:r>
        <w:t>7. 提交前检查清单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1. 用官方英文姓名、UoG/UESTC 学号、课程代码、Degree Programme 和 Supervisor 替换全部 [TO CONFIRM]。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2. 学生与导师完成 Risk Assessment 签字；Ethical Declaration 按学院要求签字。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3. 把 logbook 封面会议次数换成真实数字，并附对应日期的原始页面；删除所有尚未发生的 planned prompts。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4. 核对 Preliminary Report 总页数≤8、Technical Background≥4页、References 完整且所有引用可追溯。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5. 用 Turnitin/学校系统检查相似度；逐条核验生成式 AI 辅助文字和参考文献；保存 AI 使用声明（如 assessment brief 要求）。</w:t>
      </w:r>
    </w:p>
    <w:p>
      <w:pPr>
        <w:spacing w:after="40"/>
        <w:ind w:left="340" w:hanging="255"/>
      </w:pPr>
      <w:r>
        <w:rPr>
          <w:rFonts w:ascii="Arial" w:hAnsi="Arial" w:eastAsia="Arial"/>
          <w:b w:val="0"/>
          <w:sz w:val="20"/>
        </w:rPr>
        <w:t>6. 在 Moodle/FYP System 再确认最终截止日期；上传后保存回执和文件哈希。</w:t>
      </w:r>
    </w:p>
    <w:p>
      <w:pPr>
        <w:pStyle w:val="Heading2"/>
      </w:pPr>
      <w:r>
        <w:t>材料依据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A Guide to FYP Logbook.pdf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Student Handbook FYP 2026-27.pdf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Project writing and plagiarism printing 2017.pdf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FYP_timeline.png</w:t>
      </w:r>
    </w:p>
    <w:p>
      <w:pPr>
        <w:spacing w:after="40"/>
        <w:ind w:left="312" w:hanging="198"/>
      </w:pPr>
      <w:r>
        <w:rPr>
          <w:rFonts w:ascii="Arial" w:hAnsi="Arial" w:eastAsia="Arial"/>
          <w:b w:val="0"/>
          <w:sz w:val="19"/>
        </w:rPr>
        <w:t>• 毕设总体结构-贾欧妮.pdf 与 D:\kg_sma_0704 的代码、run artifacts 和复现文档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