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094C94" w14:textId="77777777" w:rsidR="006E35EF" w:rsidRPr="00FC36BD" w:rsidRDefault="00806C4F" w:rsidP="00806C4F">
      <w:pPr>
        <w:jc w:val="center"/>
        <w:rPr>
          <w:rFonts w:ascii="Arial Narrow" w:hAnsi="Arial Narrow" w:cs="Helvetica Neue"/>
          <w:color w:val="262626"/>
          <w:sz w:val="28"/>
          <w:szCs w:val="28"/>
          <w:lang w:val="en-US"/>
        </w:rPr>
      </w:pPr>
      <w:r>
        <w:rPr>
          <w:rFonts w:ascii="Arial" w:hAnsi="Arial" w:eastAsia="Arial"/>
          <w:b/>
          <w:color w:val="1F4E79"/>
          <w:sz w:val="22"/>
        </w:rPr>
        <w:t>GC-UESTCHN4008P Project Specifications and Preliminary Report</w:t>
      </w:r>
    </w:p>
    <w:p w14:paraId="12CBA747" w14:textId="77777777" w:rsidR="00FC36BD" w:rsidRPr="00FC36BD" w:rsidRDefault="00FC36BD" w:rsidP="00FC36BD">
      <w:pPr>
        <w:jc w:val="center"/>
        <w:rPr>
          <w:rFonts w:ascii="Arial Narrow" w:hAnsi="Arial Narrow" w:cs="Helvetica Neue"/>
          <w:b/>
          <w:i/>
          <w:color w:val="262626"/>
          <w:lang w:val="en-US"/>
        </w:rPr>
      </w:pPr>
      <w:r>
        <w:rPr>
          <w:rFonts w:ascii="Arial" w:hAnsi="Arial" w:eastAsia="Arial"/>
          <w:b/>
          <w:sz w:val="18"/>
        </w:rPr>
        <w:t>Course code: [TO CONFIRM]    Academic year: 2026–27</w:t>
      </w:r>
    </w:p>
    <w:p w14:paraId="29DD1CA5" w14:textId="77777777" w:rsidR="00806C4F" w:rsidRDefault="00806C4F" w:rsidP="00FC36BD">
      <w:pPr>
        <w:ind w:left="720"/>
        <w:rPr>
          <w:rFonts w:ascii="Arial" w:hAnsi="Arial" w:cs="Arial"/>
          <w:b/>
          <w:sz w:val="16"/>
          <w:szCs w:val="16"/>
        </w:rPr>
      </w:pPr>
    </w:p>
    <w:p w14:paraId="22A0B538" w14:textId="77777777" w:rsidR="008F2F59" w:rsidRPr="00FC36BD" w:rsidRDefault="008F2F59" w:rsidP="000A6F83">
      <w:pPr>
        <w:jc w:val="center"/>
        <w:rPr>
          <w:rFonts w:ascii="Arial Narrow" w:hAnsi="Arial Narrow" w:cs="Arial"/>
          <w:b/>
          <w:sz w:val="16"/>
          <w:szCs w:val="16"/>
        </w:rPr>
      </w:pPr>
    </w:p>
    <w:tbl>
      <w:tblPr>
        <w:tblW w:w="104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8"/>
        <w:gridCol w:w="1980"/>
        <w:gridCol w:w="2070"/>
        <w:gridCol w:w="4320"/>
      </w:tblGrid>
      <w:tr w:rsidR="007D2954" w:rsidRPr="001132C1" w14:paraId="5018D6E3" w14:textId="77777777" w:rsidTr="00233F7A">
        <w:trPr>
          <w:trHeight w:val="567"/>
        </w:trPr>
        <w:tc>
          <w:tcPr>
            <w:tcW w:w="2088" w:type="dxa"/>
            <w:vAlign w:val="center"/>
          </w:tcPr>
          <w:p w14:paraId="0A54DF91" w14:textId="77777777" w:rsidR="007D2954" w:rsidRPr="001132C1" w:rsidRDefault="007D2954" w:rsidP="007D2954">
            <w:pPr>
              <w:jc w:val="left"/>
              <w:rPr>
                <w:rFonts w:ascii="Arial Narrow" w:hAnsi="Arial Narrow" w:cs="Arial"/>
                <w:sz w:val="24"/>
                <w:szCs w:val="24"/>
              </w:rPr>
            </w:pPr>
            <w:r w:rsidRPr="001132C1">
              <w:rPr>
                <w:rFonts w:ascii="Arial Narrow" w:hAnsi="Arial Narrow" w:cs="Arial"/>
                <w:sz w:val="24"/>
                <w:szCs w:val="24"/>
              </w:rPr>
              <w:t>Student Name</w:t>
            </w:r>
          </w:p>
        </w:tc>
        <w:tc>
          <w:tcPr>
            <w:tcW w:w="1980" w:type="dxa"/>
            <w:vAlign w:val="center"/>
            <w:tcMar>
              <w:top w:w="80" w:type="dxa"/>
              <w:start w:w="90" w:type="dxa"/>
              <w:bottom w:w="80" w:type="dxa"/>
              <w:end w:w="90" w:type="dxa"/>
            </w:tcMar>
          </w:tcPr>
          <w:p>
            <w:r/>
            <w:r>
              <w:rPr>
                <w:rFonts w:ascii="Arial" w:hAnsi="Arial" w:eastAsia="Arial"/>
                <w:b w:val="0"/>
                <w:sz w:val="17"/>
              </w:rPr>
              <w:t>贾欧妮 [insert official English name]</w:t>
            </w:r>
          </w:p>
        </w:tc>
        <w:tc>
          <w:tcPr>
            <w:tcW w:w="2070" w:type="dxa"/>
            <w:vAlign w:val="center"/>
          </w:tcPr>
          <w:p w14:paraId="39F50DEB" w14:textId="77777777" w:rsidR="007D2954" w:rsidRDefault="007D2954" w:rsidP="007D2954">
            <w:pPr>
              <w:jc w:val="left"/>
              <w:rPr>
                <w:rFonts w:ascii="Arial Narrow" w:hAnsi="Arial Narrow" w:cs="Arial"/>
                <w:sz w:val="24"/>
                <w:szCs w:val="24"/>
              </w:rPr>
            </w:pPr>
            <w:r w:rsidRPr="001132C1">
              <w:rPr>
                <w:rFonts w:ascii="Arial Narrow" w:hAnsi="Arial Narrow" w:cs="Arial"/>
                <w:sz w:val="24"/>
                <w:szCs w:val="24"/>
              </w:rPr>
              <w:t>Placement Company</w:t>
            </w:r>
          </w:p>
          <w:p w14:paraId="0923BA07" w14:textId="77777777" w:rsidR="007D2954" w:rsidRPr="001132C1" w:rsidRDefault="007D2954" w:rsidP="007D2954">
            <w:pPr>
              <w:jc w:val="left"/>
              <w:rPr>
                <w:rFonts w:ascii="Arial Narrow" w:hAnsi="Arial Narrow" w:cs="Arial"/>
                <w:sz w:val="28"/>
                <w:szCs w:val="28"/>
              </w:rPr>
            </w:pPr>
            <w:r>
              <w:rPr>
                <w:rFonts w:ascii="Arial Narrow" w:hAnsi="Arial Narrow" w:cs="Arial"/>
                <w:sz w:val="24"/>
                <w:szCs w:val="24"/>
              </w:rPr>
              <w:t xml:space="preserve"> </w:t>
            </w:r>
            <w:r w:rsidRPr="00FC36BD">
              <w:rPr>
                <w:rFonts w:ascii="Arial Narrow" w:hAnsi="Arial Narrow" w:cs="Arial"/>
              </w:rPr>
              <w:t>(if appropriate)</w:t>
            </w:r>
          </w:p>
        </w:tc>
        <w:tc>
          <w:tcPr>
            <w:tcW w:w="4320" w:type="dxa"/>
            <w:vAlign w:val="center"/>
            <w:tcMar>
              <w:top w:w="80" w:type="dxa"/>
              <w:start w:w="90" w:type="dxa"/>
              <w:bottom w:w="80" w:type="dxa"/>
              <w:end w:w="90" w:type="dxa"/>
            </w:tcMar>
          </w:tcPr>
          <w:p>
            <w:r/>
            <w:r>
              <w:rPr>
                <w:rFonts w:ascii="Arial" w:hAnsi="Arial" w:eastAsia="Arial"/>
                <w:b w:val="0"/>
                <w:sz w:val="17"/>
              </w:rPr>
              <w:t>Not applicable</w:t>
            </w:r>
          </w:p>
        </w:tc>
      </w:tr>
      <w:tr w:rsidR="007D2954" w:rsidRPr="001132C1" w14:paraId="110C8673" w14:textId="77777777" w:rsidTr="00233F7A">
        <w:trPr>
          <w:trHeight w:val="567"/>
        </w:trPr>
        <w:tc>
          <w:tcPr>
            <w:tcW w:w="2088" w:type="dxa"/>
            <w:vAlign w:val="center"/>
          </w:tcPr>
          <w:p w14:paraId="63F8B2DB" w14:textId="77777777" w:rsidR="007D2954" w:rsidRPr="001132C1" w:rsidRDefault="007D2954" w:rsidP="007D2954">
            <w:pPr>
              <w:jc w:val="left"/>
              <w:rPr>
                <w:rFonts w:ascii="Arial Narrow" w:hAnsi="Arial Narrow" w:cs="Arial"/>
                <w:sz w:val="24"/>
                <w:szCs w:val="24"/>
              </w:rPr>
            </w:pPr>
            <w:r w:rsidRPr="001132C1">
              <w:rPr>
                <w:rFonts w:ascii="Arial Narrow" w:hAnsi="Arial Narrow" w:cs="Arial"/>
                <w:sz w:val="24"/>
                <w:szCs w:val="24"/>
              </w:rPr>
              <w:t>Student Matriculation Number</w:t>
            </w:r>
          </w:p>
        </w:tc>
        <w:tc>
          <w:tcPr>
            <w:tcW w:w="1980" w:type="dxa"/>
            <w:vAlign w:val="center"/>
            <w:tcMar>
              <w:top w:w="80" w:type="dxa"/>
              <w:start w:w="90" w:type="dxa"/>
              <w:bottom w:w="80" w:type="dxa"/>
              <w:end w:w="90" w:type="dxa"/>
            </w:tcMar>
          </w:tcPr>
          <w:p>
            <w:r/>
            <w:r>
              <w:rPr>
                <w:rFonts w:ascii="Arial" w:hAnsi="Arial" w:eastAsia="Arial"/>
                <w:b w:val="0"/>
                <w:sz w:val="17"/>
              </w:rPr>
              <w:t>[UoG ID TO CONFIRM]</w:t>
            </w:r>
          </w:p>
        </w:tc>
        <w:tc>
          <w:tcPr>
            <w:tcW w:w="2070" w:type="dxa"/>
            <w:vAlign w:val="center"/>
          </w:tcPr>
          <w:p w14:paraId="2C695D35" w14:textId="77777777" w:rsidR="007D2954" w:rsidRPr="001132C1" w:rsidRDefault="007D2954" w:rsidP="007D2954">
            <w:pPr>
              <w:jc w:val="left"/>
              <w:rPr>
                <w:rFonts w:ascii="Arial Narrow" w:hAnsi="Arial Narrow" w:cs="Arial"/>
                <w:sz w:val="28"/>
                <w:szCs w:val="28"/>
              </w:rPr>
            </w:pPr>
            <w:r w:rsidRPr="001132C1">
              <w:rPr>
                <w:rFonts w:ascii="Arial Narrow" w:hAnsi="Arial Narrow" w:cs="Arial"/>
                <w:sz w:val="24"/>
                <w:szCs w:val="24"/>
              </w:rPr>
              <w:t>Working Title of Project</w:t>
            </w:r>
          </w:p>
        </w:tc>
        <w:tc>
          <w:tcPr>
            <w:tcW w:w="4320" w:type="dxa"/>
            <w:vAlign w:val="center"/>
            <w:tcMar>
              <w:top w:w="80" w:type="dxa"/>
              <w:start w:w="90" w:type="dxa"/>
              <w:bottom w:w="80" w:type="dxa"/>
              <w:end w:w="90" w:type="dxa"/>
            </w:tcMar>
          </w:tcPr>
          <w:p>
            <w:r/>
            <w:r>
              <w:rPr>
                <w:rFonts w:ascii="Arial" w:hAnsi="Arial" w:eastAsia="Arial"/>
                <w:b w:val="0"/>
                <w:sz w:val="16"/>
              </w:rPr>
              <w:t>Evidence-Grounded Construction of a Knowledge Graph for Spinal Muscular Atrophy</w:t>
            </w:r>
          </w:p>
        </w:tc>
      </w:tr>
      <w:tr w:rsidR="007D2954" w:rsidRPr="001132C1" w14:paraId="149A78DE" w14:textId="77777777" w:rsidTr="00233F7A">
        <w:trPr>
          <w:trHeight w:val="567"/>
        </w:trPr>
        <w:tc>
          <w:tcPr>
            <w:tcW w:w="2088" w:type="dxa"/>
            <w:vAlign w:val="center"/>
          </w:tcPr>
          <w:p w14:paraId="288E9C0E" w14:textId="77777777" w:rsidR="007D2954" w:rsidRPr="001132C1" w:rsidRDefault="007D2954" w:rsidP="007D2954">
            <w:pPr>
              <w:jc w:val="left"/>
              <w:rPr>
                <w:rFonts w:ascii="Arial Narrow" w:hAnsi="Arial Narrow" w:cs="Arial"/>
                <w:sz w:val="24"/>
                <w:szCs w:val="24"/>
              </w:rPr>
            </w:pPr>
            <w:r>
              <w:rPr>
                <w:rFonts w:ascii="Arial Narrow" w:hAnsi="Arial Narrow" w:cs="Arial"/>
                <w:sz w:val="24"/>
                <w:szCs w:val="24"/>
              </w:rPr>
              <w:t>UESTC Student Number</w:t>
            </w:r>
          </w:p>
        </w:tc>
        <w:tc>
          <w:tcPr>
            <w:tcW w:w="1980" w:type="dxa"/>
            <w:vAlign w:val="center"/>
            <w:tcMar>
              <w:top w:w="80" w:type="dxa"/>
              <w:start w:w="90" w:type="dxa"/>
              <w:bottom w:w="80" w:type="dxa"/>
              <w:end w:w="90" w:type="dxa"/>
            </w:tcMar>
          </w:tcPr>
          <w:p>
            <w:r/>
            <w:r>
              <w:rPr>
                <w:rFonts w:ascii="Arial" w:hAnsi="Arial" w:eastAsia="Arial"/>
                <w:b w:val="0"/>
                <w:sz w:val="17"/>
              </w:rPr>
              <w:t>[UESTC ID TO CONFIRM]</w:t>
            </w:r>
          </w:p>
        </w:tc>
        <w:tc>
          <w:tcPr>
            <w:tcW w:w="2070" w:type="dxa"/>
            <w:vAlign w:val="center"/>
          </w:tcPr>
          <w:p w14:paraId="2BFF63A9" w14:textId="77777777" w:rsidR="007D2954" w:rsidRPr="001132C1" w:rsidRDefault="007D2954" w:rsidP="007D2954">
            <w:pPr>
              <w:jc w:val="left"/>
              <w:rPr>
                <w:rFonts w:ascii="Arial Narrow" w:hAnsi="Arial Narrow" w:cs="Arial"/>
                <w:sz w:val="28"/>
                <w:szCs w:val="28"/>
              </w:rPr>
            </w:pPr>
            <w:r w:rsidRPr="001132C1">
              <w:rPr>
                <w:rFonts w:ascii="Arial Narrow" w:hAnsi="Arial Narrow" w:cs="Arial"/>
                <w:sz w:val="24"/>
                <w:szCs w:val="24"/>
              </w:rPr>
              <w:t xml:space="preserve">Name of First </w:t>
            </w:r>
            <w:r>
              <w:rPr>
                <w:rFonts w:ascii="Arial Narrow" w:hAnsi="Arial Narrow" w:cs="Arial"/>
                <w:sz w:val="24"/>
                <w:szCs w:val="24"/>
              </w:rPr>
              <w:t>S</w:t>
            </w:r>
            <w:r w:rsidRPr="001132C1">
              <w:rPr>
                <w:rFonts w:ascii="Arial Narrow" w:hAnsi="Arial Narrow" w:cs="Arial"/>
                <w:sz w:val="24"/>
                <w:szCs w:val="24"/>
              </w:rPr>
              <w:t xml:space="preserve">upervisor </w:t>
            </w:r>
          </w:p>
        </w:tc>
        <w:tc>
          <w:tcPr>
            <w:tcW w:w="4320" w:type="dxa"/>
            <w:vAlign w:val="center"/>
            <w:tcMar>
              <w:top w:w="80" w:type="dxa"/>
              <w:start w:w="90" w:type="dxa"/>
              <w:bottom w:w="80" w:type="dxa"/>
              <w:end w:w="90" w:type="dxa"/>
            </w:tcMar>
          </w:tcPr>
          <w:p>
            <w:r/>
            <w:r>
              <w:rPr>
                <w:rFonts w:ascii="Arial" w:hAnsi="Arial" w:eastAsia="Arial"/>
                <w:b w:val="0"/>
                <w:sz w:val="17"/>
              </w:rPr>
              <w:t>[TO CONFIRM]</w:t>
            </w:r>
          </w:p>
        </w:tc>
      </w:tr>
      <w:tr w:rsidR="007D2954" w:rsidRPr="001132C1" w14:paraId="6B77E2A1" w14:textId="77777777" w:rsidTr="00233F7A">
        <w:trPr>
          <w:trHeight w:val="567"/>
        </w:trPr>
        <w:tc>
          <w:tcPr>
            <w:tcW w:w="2088" w:type="dxa"/>
            <w:tcBorders>
              <w:bottom w:val="single" w:sz="4" w:space="0" w:color="auto"/>
            </w:tcBorders>
            <w:vAlign w:val="center"/>
          </w:tcPr>
          <w:p w14:paraId="051B9021" w14:textId="77777777" w:rsidR="007D2954" w:rsidRPr="001132C1" w:rsidRDefault="007D2954" w:rsidP="007D2954">
            <w:pPr>
              <w:jc w:val="left"/>
              <w:rPr>
                <w:rFonts w:ascii="Arial Narrow" w:hAnsi="Arial Narrow" w:cs="Arial"/>
                <w:sz w:val="24"/>
                <w:szCs w:val="24"/>
              </w:rPr>
            </w:pPr>
            <w:r w:rsidRPr="001132C1">
              <w:rPr>
                <w:rFonts w:ascii="Arial Narrow" w:hAnsi="Arial Narrow" w:cs="Arial"/>
                <w:sz w:val="24"/>
                <w:szCs w:val="24"/>
              </w:rPr>
              <w:t>Degree programme</w:t>
            </w:r>
          </w:p>
        </w:tc>
        <w:tc>
          <w:tcPr>
            <w:tcW w:w="1980" w:type="dxa"/>
            <w:tcBorders>
              <w:bottom w:val="single" w:sz="4" w:space="0" w:color="auto"/>
            </w:tcBorders>
            <w:vAlign w:val="center"/>
            <w:tcMar>
              <w:top w:w="80" w:type="dxa"/>
              <w:start w:w="90" w:type="dxa"/>
              <w:bottom w:w="80" w:type="dxa"/>
              <w:end w:w="90" w:type="dxa"/>
            </w:tcMar>
          </w:tcPr>
          <w:p>
            <w:r/>
            <w:r>
              <w:rPr>
                <w:rFonts w:ascii="Arial" w:hAnsi="Arial" w:eastAsia="Arial"/>
                <w:b w:val="0"/>
                <w:sz w:val="16"/>
              </w:rPr>
              <w:t>[DEGREE PROGRAMME TO CONFIRM]</w:t>
            </w:r>
          </w:p>
        </w:tc>
        <w:tc>
          <w:tcPr>
            <w:tcW w:w="2070" w:type="dxa"/>
            <w:vMerge w:val="restart"/>
            <w:vAlign w:val="center"/>
          </w:tcPr>
          <w:p w14:paraId="59C055FF" w14:textId="77777777" w:rsidR="007D2954" w:rsidRPr="001132C1" w:rsidRDefault="007D2954" w:rsidP="007D2954">
            <w:pPr>
              <w:jc w:val="left"/>
              <w:rPr>
                <w:rFonts w:ascii="Arial Narrow" w:hAnsi="Arial Narrow" w:cs="Arial"/>
                <w:sz w:val="28"/>
                <w:szCs w:val="28"/>
              </w:rPr>
            </w:pPr>
            <w:r w:rsidRPr="00E924E9">
              <w:rPr>
                <w:rFonts w:ascii="Arial" w:eastAsia="Arial" w:hAnsi="Arial" w:cs="Arial"/>
                <w:b/>
                <w:sz w:val="24"/>
                <w:szCs w:val="24"/>
              </w:rPr>
              <w:t>Declaration of Originality and Submission Information</w:t>
            </w:r>
          </w:p>
        </w:tc>
        <w:tc>
          <w:tcPr>
            <w:tcW w:w="4320" w:type="dxa"/>
            <w:vMerge w:val="restart"/>
            <w:vAlign w:val="center"/>
          </w:tcPr>
          <w:p w14:paraId="42B00C3A" w14:textId="77777777" w:rsidR="007D2954" w:rsidRDefault="007D2954" w:rsidP="007D2954">
            <w:pPr>
              <w:spacing w:line="261" w:lineRule="auto"/>
              <w:ind w:right="27"/>
            </w:pPr>
            <w:r>
              <w:rPr>
                <w:rFonts w:ascii="Arial" w:eastAsia="Arial" w:hAnsi="Arial" w:cs="Arial"/>
                <w:i/>
              </w:rPr>
              <w:t>I affirm that this submission is all my own work in accordance with the University of Glasgow</w:t>
            </w:r>
            <w:r w:rsidR="00BC36C0">
              <w:rPr>
                <w:rFonts w:ascii="Arial" w:eastAsia="Arial" w:hAnsi="Arial" w:cs="Arial"/>
                <w:i/>
              </w:rPr>
              <w:t xml:space="preserve"> and </w:t>
            </w:r>
            <w:r w:rsidR="002B4C5C">
              <w:rPr>
                <w:rFonts w:ascii="Arial" w:eastAsia="Arial" w:hAnsi="Arial" w:cs="Arial"/>
                <w:i/>
              </w:rPr>
              <w:t>UESTC</w:t>
            </w:r>
            <w:r>
              <w:rPr>
                <w:rFonts w:ascii="Arial" w:eastAsia="Arial" w:hAnsi="Arial" w:cs="Arial"/>
                <w:i/>
              </w:rPr>
              <w:t xml:space="preserve"> Regulations</w:t>
            </w:r>
            <w:r w:rsidR="00BC36C0">
              <w:rPr>
                <w:rFonts w:ascii="Arial" w:eastAsia="Arial" w:hAnsi="Arial" w:cs="Arial"/>
                <w:i/>
              </w:rPr>
              <w:t>,</w:t>
            </w:r>
            <w:r>
              <w:rPr>
                <w:rFonts w:ascii="Arial" w:eastAsia="Arial" w:hAnsi="Arial" w:cs="Arial"/>
                <w:i/>
              </w:rPr>
              <w:t xml:space="preserve"> and the</w:t>
            </w:r>
            <w:r w:rsidR="00BC36C0">
              <w:rPr>
                <w:rFonts w:ascii="Arial" w:eastAsia="Arial" w:hAnsi="Arial" w:cs="Arial"/>
                <w:i/>
              </w:rPr>
              <w:t xml:space="preserve"> James Watt</w:t>
            </w:r>
            <w:r>
              <w:rPr>
                <w:rFonts w:ascii="Arial" w:eastAsia="Arial" w:hAnsi="Arial" w:cs="Arial"/>
                <w:i/>
              </w:rPr>
              <w:t xml:space="preserve"> School of Engineering requirements</w:t>
            </w:r>
            <w:r w:rsidR="00BC36C0">
              <w:rPr>
                <w:rFonts w:ascii="Arial" w:eastAsia="Arial" w:hAnsi="Arial" w:cs="Arial"/>
                <w:i/>
              </w:rPr>
              <w:t>.</w:t>
            </w:r>
          </w:p>
          <w:p w14:paraId="76D1D8D2" w14:textId="77777777" w:rsidR="007D2954" w:rsidRPr="001132C1" w:rsidRDefault="007D2954" w:rsidP="007D2954">
            <w:pPr>
              <w:jc w:val="left"/>
              <w:rPr>
                <w:rFonts w:ascii="Arial Narrow" w:hAnsi="Arial Narrow" w:cs="Arial"/>
                <w:sz w:val="28"/>
                <w:szCs w:val="28"/>
              </w:rPr>
            </w:pPr>
            <w:r>
              <w:rPr>
                <w:rFonts w:ascii="Arial" w:eastAsia="Arial" w:hAnsi="Arial" w:cs="Arial"/>
              </w:rPr>
              <w:t>Signed (Student):</w:t>
            </w:r>
            <w:r>
              <w:br/>
              <w:t>Signed (Student): [SIGNATURE REQUIRED]</w:t>
            </w:r>
          </w:p>
        </w:tc>
      </w:tr>
      <w:tr w:rsidR="007D2954" w:rsidRPr="001132C1" w14:paraId="109710AB" w14:textId="77777777" w:rsidTr="00233F7A">
        <w:trPr>
          <w:trHeight w:val="567"/>
        </w:trPr>
        <w:tc>
          <w:tcPr>
            <w:tcW w:w="2088" w:type="dxa"/>
            <w:tcBorders>
              <w:bottom w:val="single" w:sz="4" w:space="0" w:color="auto"/>
            </w:tcBorders>
            <w:vAlign w:val="center"/>
          </w:tcPr>
          <w:p w14:paraId="713E1B85" w14:textId="77777777" w:rsidR="007D2954" w:rsidRPr="001132C1" w:rsidRDefault="007D2954" w:rsidP="007D2954">
            <w:pPr>
              <w:jc w:val="left"/>
              <w:rPr>
                <w:rFonts w:ascii="Arial Narrow" w:hAnsi="Arial Narrow" w:cs="Arial"/>
                <w:sz w:val="24"/>
                <w:szCs w:val="24"/>
              </w:rPr>
            </w:pPr>
            <w:r w:rsidRPr="001132C1">
              <w:rPr>
                <w:rFonts w:ascii="Arial Narrow" w:hAnsi="Arial Narrow" w:cs="Arial"/>
                <w:sz w:val="24"/>
                <w:szCs w:val="24"/>
              </w:rPr>
              <w:t>Academic year</w:t>
            </w:r>
          </w:p>
        </w:tc>
        <w:tc>
          <w:tcPr>
            <w:tcW w:w="1980" w:type="dxa"/>
            <w:tcBorders>
              <w:bottom w:val="single" w:sz="4" w:space="0" w:color="auto"/>
            </w:tcBorders>
            <w:vAlign w:val="center"/>
            <w:tcMar>
              <w:top w:w="80" w:type="dxa"/>
              <w:start w:w="90" w:type="dxa"/>
              <w:bottom w:w="80" w:type="dxa"/>
              <w:end w:w="90" w:type="dxa"/>
            </w:tcMar>
          </w:tcPr>
          <w:p>
            <w:r/>
            <w:r>
              <w:rPr>
                <w:rFonts w:ascii="Arial" w:hAnsi="Arial" w:eastAsia="Arial"/>
                <w:b w:val="0"/>
                <w:sz w:val="17"/>
              </w:rPr>
              <w:t>2026–27</w:t>
            </w:r>
          </w:p>
        </w:tc>
        <w:tc>
          <w:tcPr>
            <w:tcW w:w="2070" w:type="dxa"/>
            <w:vMerge/>
            <w:tcBorders>
              <w:bottom w:val="single" w:sz="4" w:space="0" w:color="auto"/>
            </w:tcBorders>
          </w:tcPr>
          <w:p w14:paraId="3DAB1C47" w14:textId="77777777" w:rsidR="007D2954" w:rsidRPr="001132C1" w:rsidRDefault="007D2954" w:rsidP="007D2954">
            <w:pPr>
              <w:jc w:val="left"/>
              <w:rPr>
                <w:rFonts w:ascii="Arial Narrow" w:hAnsi="Arial Narrow" w:cs="Arial"/>
                <w:sz w:val="28"/>
                <w:szCs w:val="28"/>
              </w:rPr>
            </w:pPr>
          </w:p>
        </w:tc>
        <w:tc>
          <w:tcPr>
            <w:tcW w:w="4320" w:type="dxa"/>
            <w:vMerge/>
            <w:tcBorders>
              <w:bottom w:val="single" w:sz="4" w:space="0" w:color="auto"/>
            </w:tcBorders>
            <w:vAlign w:val="center"/>
          </w:tcPr>
          <w:p w14:paraId="68689E8A" w14:textId="77777777" w:rsidR="007D2954" w:rsidRPr="001132C1" w:rsidRDefault="007D2954" w:rsidP="007D2954">
            <w:pPr>
              <w:jc w:val="left"/>
              <w:rPr>
                <w:rFonts w:ascii="Arial Narrow" w:hAnsi="Arial Narrow" w:cs="Arial"/>
                <w:sz w:val="28"/>
                <w:szCs w:val="28"/>
              </w:rPr>
            </w:pPr>
          </w:p>
        </w:tc>
      </w:tr>
    </w:tbl>
    <w:p w14:paraId="0E671F41" w14:textId="77777777" w:rsidR="0079480A" w:rsidRPr="00FC36BD" w:rsidRDefault="0079480A" w:rsidP="00C071E3">
      <w:pPr>
        <w:jc w:val="left"/>
        <w:rPr>
          <w:rFonts w:ascii="Arial Narrow" w:hAnsi="Arial Narrow" w:cs="Arial"/>
          <w:sz w:val="16"/>
          <w:szCs w:val="16"/>
        </w:rPr>
      </w:pPr>
    </w:p>
    <w:p>
      <w:pPr>
        <w:spacing w:before="240"/>
        <w:jc w:val="center"/>
      </w:pPr>
      <w:r>
        <w:rPr>
          <w:rFonts w:ascii="Arial" w:hAnsi="Arial" w:eastAsia="Arial"/>
          <w:b/>
          <w:color w:val="1F4E79"/>
          <w:sz w:val="36"/>
        </w:rPr>
        <w:t>Evidence-Grounded Construction of a Knowledge Graph for Spinal Muscular Atrophy</w:t>
      </w:r>
    </w:p>
    <w:p>
      <w:pPr>
        <w:jc w:val="center"/>
      </w:pPr>
      <w:r>
        <w:rPr>
          <w:rFonts w:ascii="Arial" w:hAnsi="Arial" w:eastAsia="Arial"/>
          <w:b/>
          <w:color w:val="2F5475"/>
          <w:sz w:val="24"/>
        </w:rPr>
        <w:t>Project Specifications and Preliminary Report</w:t>
      </w:r>
    </w:p>
    <w:tbl>
      <w:tblPr>
        <w:tblW w:type="auto" w:w="0"/>
        <w:jc w:val="center"/>
        <w:tblLook w:firstColumn="1" w:firstRow="1" w:lastColumn="0" w:lastRow="0" w:noHBand="0" w:noVBand="1" w:val="04A0"/>
      </w:tblPr>
      <w:tblGrid>
        <w:gridCol w:w="10148"/>
      </w:tblGrid>
      <w:tr>
        <w:tc>
          <w:tcPr>
            <w:tcW w:type="dxa" w:w="10148"/>
            <w:shd w:fill="E2F0D9"/>
            <w:tcMar>
              <w:top w:w="90" w:type="dxa"/>
              <w:start w:w="90" w:type="dxa"/>
              <w:bottom w:w="90" w:type="dxa"/>
              <w:end w:w="90" w:type="dxa"/>
            </w:tcMar>
          </w:tcPr>
          <w:p>
            <w:pPr>
              <w:jc w:val="center"/>
            </w:pPr>
            <w:r>
              <w:rPr>
                <w:rFonts w:ascii="Arial" w:hAnsi="Arial" w:eastAsia="Arial"/>
                <w:b/>
                <w:color w:val="375623"/>
                <w:sz w:val="20"/>
              </w:rPr>
              <w:t>Submission target: Friday 30 October 2026, 23:59 CST — confirm against the current Moodle/FYP System brief before upload.</w:t>
            </w:r>
          </w:p>
        </w:tc>
      </w:tr>
    </w:tbl>
    <w:p>
      <w:r>
        <w:br w:type="page"/>
      </w:r>
    </w:p>
    <w:p>
      <w:pPr>
        <w:pStyle w:val="1"/>
      </w:pPr>
      <w:r>
        <w:t>1. Project Description</w:t>
      </w:r>
    </w:p>
    <w:p>
      <w:pPr>
        <w:spacing w:after="80"/>
      </w:pPr>
      <w:r>
        <w:rPr>
          <w:rFonts w:ascii="Arial" w:hAnsi="Arial" w:eastAsia="Arial"/>
          <w:b w:val="0"/>
          <w:sz w:val="18"/>
        </w:rPr>
        <w:t>Spinal muscular atrophy (SMA) is an inherited neuromuscular disorder in which reduced survival motor neuron protein leads to progressive motor-neuron loss. The biomedical evidence surrounding SMA spans molecular mechanisms, genotypes, phenotypes, therapies and outcomes, but much of it remains distributed across literature and heterogeneous databases. This project will design and evaluate a reproducible software pipeline that converts public PubMed abstracts and Open Targets associations into an evidence-grounded SMA knowledge graph.</w:t>
      </w:r>
    </w:p>
    <w:p>
      <w:pPr>
        <w:spacing w:after="80"/>
      </w:pPr>
      <w:r>
        <w:rPr>
          <w:rFonts w:ascii="Arial" w:hAnsi="Arial" w:eastAsia="Arial"/>
          <w:b w:val="0"/>
          <w:sz w:val="18"/>
        </w:rPr>
        <w:t>The proposed pipeline will acquire and version source data, identify literature topics, extract typed biomedical triples with a large language model (LLM), validate them against a restricted schema, normalise and align synonymous entities, aggregate repeated evidence, detect relation conflicts, and import the result into Neo4j for analysis and visualisation. The graph will then support evidence-grounded retrieval. The intended research contribution is not a clinical decision system: it is a transparent engineering study of how provenance, human evaluation and graph-based retrieval can reduce unsupported biomedical statements.</w:t>
      </w:r>
    </w:p>
    <w:p>
      <w:pPr>
        <w:pStyle w:val="1"/>
      </w:pPr>
      <w:r>
        <w:t>2. Measurable Outcomes</w:t>
      </w:r>
    </w:p>
    <w:tbl>
      <w:tblPr>
        <w:tblStyle w:val="af7"/>
        <w:tblW w:type="auto" w:w="0"/>
        <w:jc w:val="center"/>
        <w:tblLook w:firstColumn="1" w:firstRow="1" w:lastColumn="0" w:lastRow="0" w:noHBand="0" w:noVBand="1" w:val="04A0"/>
      </w:tblPr>
      <w:tblGrid>
        <w:gridCol w:w="3383"/>
        <w:gridCol w:w="3383"/>
        <w:gridCol w:w="3383"/>
      </w:tblGrid>
      <w:tr>
        <w:trPr>
          <w:tblHeader w:val="true"/>
        </w:trPr>
        <w:tc>
          <w:tcPr>
            <w:tcW w:type="dxa" w:w="2098"/>
            <w:shd w:fill="2F5E85"/>
            <w:vAlign w:val="center"/>
          </w:tcPr>
          <w:p>
            <w:pPr>
              <w:jc w:val="center"/>
            </w:pPr>
            <w:r>
              <w:rPr>
                <w:rFonts w:ascii="Arial" w:hAnsi="Arial" w:eastAsia="Arial"/>
                <w:b/>
                <w:color w:val="FFFFFF"/>
                <w:sz w:val="16"/>
              </w:rPr>
              <w:t>Task / target</w:t>
            </w:r>
          </w:p>
        </w:tc>
        <w:tc>
          <w:tcPr>
            <w:tcW w:type="dxa" w:w="4592"/>
            <w:shd w:fill="2F5E85"/>
            <w:vAlign w:val="center"/>
          </w:tcPr>
          <w:p>
            <w:pPr>
              <w:jc w:val="center"/>
            </w:pPr>
            <w:r>
              <w:rPr>
                <w:rFonts w:ascii="Arial" w:hAnsi="Arial" w:eastAsia="Arial"/>
                <w:b/>
                <w:color w:val="FFFFFF"/>
                <w:sz w:val="16"/>
              </w:rPr>
              <w:t>Measurable acceptance criterion</w:t>
            </w:r>
          </w:p>
        </w:tc>
        <w:tc>
          <w:tcPr>
            <w:tcW w:type="dxa" w:w="3118"/>
            <w:shd w:fill="2F5E85"/>
            <w:vAlign w:val="center"/>
          </w:tcPr>
          <w:p>
            <w:pPr>
              <w:jc w:val="center"/>
            </w:pPr>
            <w:r>
              <w:rPr>
                <w:rFonts w:ascii="Arial" w:hAnsi="Arial" w:eastAsia="Arial"/>
                <w:b/>
                <w:color w:val="FFFFFF"/>
                <w:sz w:val="16"/>
              </w:rPr>
              <w:t>Tangible output</w:t>
            </w:r>
          </w:p>
        </w:tc>
      </w:tr>
      <w:tr>
        <w:tc>
          <w:tcPr>
            <w:tcW w:type="dxa" w:w="2098"/>
            <w:vAlign w:val="center"/>
            <w:tcMar>
              <w:top w:w="80" w:type="dxa"/>
              <w:start w:w="90" w:type="dxa"/>
              <w:bottom w:w="80" w:type="dxa"/>
              <w:end w:w="90" w:type="dxa"/>
            </w:tcMar>
          </w:tcPr>
          <w:p>
            <w:r>
              <w:rPr>
                <w:rFonts w:ascii="Arial" w:hAnsi="Arial" w:eastAsia="Arial"/>
                <w:b w:val="0"/>
                <w:sz w:val="16"/>
              </w:rPr>
              <w:t>Data acquisition</w:t>
            </w:r>
          </w:p>
        </w:tc>
        <w:tc>
          <w:tcPr>
            <w:tcW w:type="dxa" w:w="4592"/>
            <w:vAlign w:val="center"/>
            <w:tcMar>
              <w:top w:w="80" w:type="dxa"/>
              <w:start w:w="90" w:type="dxa"/>
              <w:bottom w:w="80" w:type="dxa"/>
              <w:end w:w="90" w:type="dxa"/>
            </w:tcMar>
          </w:tcPr>
          <w:p>
            <w:r>
              <w:rPr>
                <w:rFonts w:ascii="Arial" w:hAnsi="Arial" w:eastAsia="Arial"/>
                <w:b w:val="0"/>
                <w:sz w:val="16"/>
              </w:rPr>
              <w:t>Versioned PubMed and Open Targets inputs; no malformed JSON; counts and SHA-256 recorded</w:t>
            </w:r>
          </w:p>
        </w:tc>
        <w:tc>
          <w:tcPr>
            <w:tcW w:type="dxa" w:w="3118"/>
            <w:vAlign w:val="center"/>
            <w:tcMar>
              <w:top w:w="80" w:type="dxa"/>
              <w:start w:w="90" w:type="dxa"/>
              <w:bottom w:w="80" w:type="dxa"/>
              <w:end w:w="90" w:type="dxa"/>
            </w:tcMar>
          </w:tcPr>
          <w:p>
            <w:r>
              <w:rPr>
                <w:rFonts w:ascii="Arial" w:hAnsi="Arial" w:eastAsia="Arial"/>
                <w:b w:val="0"/>
                <w:sz w:val="16"/>
              </w:rPr>
              <w:t>Raw JSONL, manifest and validation report</w:t>
            </w:r>
          </w:p>
        </w:tc>
      </w:tr>
      <w:tr>
        <w:tc>
          <w:tcPr>
            <w:tcW w:type="dxa" w:w="2098"/>
            <w:vAlign w:val="center"/>
            <w:shd w:fill="F3F6F8"/>
            <w:tcMar>
              <w:top w:w="80" w:type="dxa"/>
              <w:start w:w="90" w:type="dxa"/>
              <w:bottom w:w="80" w:type="dxa"/>
              <w:end w:w="90" w:type="dxa"/>
            </w:tcMar>
          </w:tcPr>
          <w:p>
            <w:r>
              <w:rPr>
                <w:rFonts w:ascii="Arial" w:hAnsi="Arial" w:eastAsia="Arial"/>
                <w:b w:val="0"/>
                <w:sz w:val="16"/>
              </w:rPr>
              <w:t>Topic analysis</w:t>
            </w:r>
          </w:p>
        </w:tc>
        <w:tc>
          <w:tcPr>
            <w:tcW w:type="dxa" w:w="4592"/>
            <w:vAlign w:val="center"/>
            <w:shd w:fill="F3F6F8"/>
            <w:tcMar>
              <w:top w:w="80" w:type="dxa"/>
              <w:start w:w="90" w:type="dxa"/>
              <w:bottom w:w="80" w:type="dxa"/>
              <w:end w:w="90" w:type="dxa"/>
            </w:tcMar>
          </w:tcPr>
          <w:p>
            <w:r>
              <w:rPr>
                <w:rFonts w:ascii="Arial" w:hAnsi="Arial" w:eastAsia="Arial"/>
                <w:b w:val="0"/>
                <w:sz w:val="16"/>
              </w:rPr>
              <w:t>Reproducible document embeddings/clusters with interpretable topic terms and parameter record</w:t>
            </w:r>
          </w:p>
        </w:tc>
        <w:tc>
          <w:tcPr>
            <w:tcW w:type="dxa" w:w="3118"/>
            <w:vAlign w:val="center"/>
            <w:shd w:fill="F3F6F8"/>
            <w:tcMar>
              <w:top w:w="80" w:type="dxa"/>
              <w:start w:w="90" w:type="dxa"/>
              <w:bottom w:w="80" w:type="dxa"/>
              <w:end w:w="90" w:type="dxa"/>
            </w:tcMar>
          </w:tcPr>
          <w:p>
            <w:r>
              <w:rPr>
                <w:rFonts w:ascii="Arial" w:hAnsi="Arial" w:eastAsia="Arial"/>
                <w:b w:val="0"/>
                <w:sz w:val="16"/>
              </w:rPr>
              <w:t>Clustered abstracts and topic summary</w:t>
            </w:r>
          </w:p>
        </w:tc>
      </w:tr>
      <w:tr>
        <w:tc>
          <w:tcPr>
            <w:tcW w:type="dxa" w:w="2098"/>
            <w:vAlign w:val="center"/>
            <w:tcMar>
              <w:top w:w="80" w:type="dxa"/>
              <w:start w:w="90" w:type="dxa"/>
              <w:bottom w:w="80" w:type="dxa"/>
              <w:end w:w="90" w:type="dxa"/>
            </w:tcMar>
          </w:tcPr>
          <w:p>
            <w:r>
              <w:rPr>
                <w:rFonts w:ascii="Arial" w:hAnsi="Arial" w:eastAsia="Arial"/>
                <w:b w:val="0"/>
                <w:sz w:val="16"/>
              </w:rPr>
              <w:t>Triple extraction</w:t>
            </w:r>
          </w:p>
        </w:tc>
        <w:tc>
          <w:tcPr>
            <w:tcW w:type="dxa" w:w="4592"/>
            <w:vAlign w:val="center"/>
            <w:tcMar>
              <w:top w:w="80" w:type="dxa"/>
              <w:start w:w="90" w:type="dxa"/>
              <w:bottom w:w="80" w:type="dxa"/>
              <w:end w:w="90" w:type="dxa"/>
            </w:tcMar>
          </w:tcPr>
          <w:p>
            <w:r>
              <w:rPr>
                <w:rFonts w:ascii="Arial" w:hAnsi="Arial" w:eastAsia="Arial"/>
                <w:b w:val="0"/>
                <w:sz w:val="16"/>
              </w:rPr>
              <w:t>Typed subject–relation–object records with PMID, evidence span and validation status</w:t>
            </w:r>
          </w:p>
        </w:tc>
        <w:tc>
          <w:tcPr>
            <w:tcW w:type="dxa" w:w="3118"/>
            <w:vAlign w:val="center"/>
            <w:tcMar>
              <w:top w:w="80" w:type="dxa"/>
              <w:start w:w="90" w:type="dxa"/>
              <w:bottom w:w="80" w:type="dxa"/>
              <w:end w:w="90" w:type="dxa"/>
            </w:tcMar>
          </w:tcPr>
          <w:p>
            <w:r>
              <w:rPr>
                <w:rFonts w:ascii="Arial" w:hAnsi="Arial" w:eastAsia="Arial"/>
                <w:b w:val="0"/>
                <w:sz w:val="16"/>
              </w:rPr>
              <w:t>Canonical JSONL and rejected-record log</w:t>
            </w:r>
          </w:p>
        </w:tc>
      </w:tr>
      <w:tr>
        <w:tc>
          <w:tcPr>
            <w:tcW w:type="dxa" w:w="2098"/>
            <w:vAlign w:val="center"/>
            <w:shd w:fill="F3F6F8"/>
            <w:tcMar>
              <w:top w:w="80" w:type="dxa"/>
              <w:start w:w="90" w:type="dxa"/>
              <w:bottom w:w="80" w:type="dxa"/>
              <w:end w:w="90" w:type="dxa"/>
            </w:tcMar>
          </w:tcPr>
          <w:p>
            <w:r>
              <w:rPr>
                <w:rFonts w:ascii="Arial" w:hAnsi="Arial" w:eastAsia="Arial"/>
                <w:b w:val="0"/>
                <w:sz w:val="16"/>
              </w:rPr>
              <w:t>Fusion and graph</w:t>
            </w:r>
          </w:p>
        </w:tc>
        <w:tc>
          <w:tcPr>
            <w:tcW w:type="dxa" w:w="4592"/>
            <w:vAlign w:val="center"/>
            <w:shd w:fill="F3F6F8"/>
            <w:tcMar>
              <w:top w:w="80" w:type="dxa"/>
              <w:start w:w="90" w:type="dxa"/>
              <w:bottom w:w="80" w:type="dxa"/>
              <w:end w:w="90" w:type="dxa"/>
            </w:tcMar>
          </w:tcPr>
          <w:p>
            <w:r>
              <w:rPr>
                <w:rFonts w:ascii="Arial" w:hAnsi="Arial" w:eastAsia="Arial"/>
                <w:b w:val="0"/>
                <w:sz w:val="16"/>
              </w:rPr>
              <w:t>Normalised entities, aggregated evidence, conflict flags; successful Neo4j import with topology checks</w:t>
            </w:r>
          </w:p>
        </w:tc>
        <w:tc>
          <w:tcPr>
            <w:tcW w:type="dxa" w:w="3118"/>
            <w:vAlign w:val="center"/>
            <w:shd w:fill="F3F6F8"/>
            <w:tcMar>
              <w:top w:w="80" w:type="dxa"/>
              <w:start w:w="90" w:type="dxa"/>
              <w:bottom w:w="80" w:type="dxa"/>
              <w:end w:w="90" w:type="dxa"/>
            </w:tcMar>
          </w:tcPr>
          <w:p>
            <w:r>
              <w:rPr>
                <w:rFonts w:ascii="Arial" w:hAnsi="Arial" w:eastAsia="Arial"/>
                <w:b w:val="0"/>
                <w:sz w:val="16"/>
              </w:rPr>
              <w:t>Neo4j graph, metrics and HTML viewer</w:t>
            </w:r>
          </w:p>
        </w:tc>
      </w:tr>
      <w:tr>
        <w:tc>
          <w:tcPr>
            <w:tcW w:type="dxa" w:w="2098"/>
            <w:vAlign w:val="center"/>
            <w:tcMar>
              <w:top w:w="80" w:type="dxa"/>
              <w:start w:w="90" w:type="dxa"/>
              <w:bottom w:w="80" w:type="dxa"/>
              <w:end w:w="90" w:type="dxa"/>
            </w:tcMar>
          </w:tcPr>
          <w:p>
            <w:r>
              <w:rPr>
                <w:rFonts w:ascii="Arial" w:hAnsi="Arial" w:eastAsia="Arial"/>
                <w:b w:val="0"/>
                <w:sz w:val="16"/>
              </w:rPr>
              <w:t>Human evaluation</w:t>
            </w:r>
          </w:p>
        </w:tc>
        <w:tc>
          <w:tcPr>
            <w:tcW w:type="dxa" w:w="4592"/>
            <w:vAlign w:val="center"/>
            <w:tcMar>
              <w:top w:w="80" w:type="dxa"/>
              <w:start w:w="90" w:type="dxa"/>
              <w:bottom w:w="80" w:type="dxa"/>
              <w:end w:w="90" w:type="dxa"/>
            </w:tcMar>
          </w:tcPr>
          <w:p>
            <w:r>
              <w:rPr>
                <w:rFonts w:ascii="Arial" w:hAnsi="Arial" w:eastAsia="Arial"/>
                <w:b w:val="0"/>
                <w:sz w:val="16"/>
              </w:rPr>
              <w:t>400 reviewed predictions: 300 random main set, 100 challenge set; 80 independent second reviews</w:t>
            </w:r>
          </w:p>
        </w:tc>
        <w:tc>
          <w:tcPr>
            <w:tcW w:type="dxa" w:w="3118"/>
            <w:vAlign w:val="center"/>
            <w:tcMar>
              <w:top w:w="80" w:type="dxa"/>
              <w:start w:w="90" w:type="dxa"/>
              <w:bottom w:w="80" w:type="dxa"/>
              <w:end w:w="90" w:type="dxa"/>
            </w:tcMar>
          </w:tcPr>
          <w:p>
            <w:r>
              <w:rPr>
                <w:rFonts w:ascii="Arial" w:hAnsi="Arial" w:eastAsia="Arial"/>
                <w:b w:val="0"/>
                <w:sz w:val="16"/>
              </w:rPr>
              <w:t>Gold workbook, precision/support metrics, agreement and error analysis</w:t>
            </w:r>
          </w:p>
        </w:tc>
      </w:tr>
      <w:tr>
        <w:tc>
          <w:tcPr>
            <w:tcW w:type="dxa" w:w="2098"/>
            <w:vAlign w:val="center"/>
            <w:shd w:fill="F3F6F8"/>
            <w:tcMar>
              <w:top w:w="80" w:type="dxa"/>
              <w:start w:w="90" w:type="dxa"/>
              <w:bottom w:w="80" w:type="dxa"/>
              <w:end w:w="90" w:type="dxa"/>
            </w:tcMar>
          </w:tcPr>
          <w:p>
            <w:r>
              <w:rPr>
                <w:rFonts w:ascii="Arial" w:hAnsi="Arial" w:eastAsia="Arial"/>
                <w:b w:val="0"/>
                <w:sz w:val="16"/>
              </w:rPr>
              <w:t>Innovation modules</w:t>
            </w:r>
          </w:p>
        </w:tc>
        <w:tc>
          <w:tcPr>
            <w:tcW w:type="dxa" w:w="4592"/>
            <w:vAlign w:val="center"/>
            <w:shd w:fill="F3F6F8"/>
            <w:tcMar>
              <w:top w:w="80" w:type="dxa"/>
              <w:start w:w="90" w:type="dxa"/>
              <w:bottom w:w="80" w:type="dxa"/>
              <w:end w:w="90" w:type="dxa"/>
            </w:tcMar>
          </w:tcPr>
          <w:p>
            <w:r>
              <w:rPr>
                <w:rFonts w:ascii="Arial" w:hAnsi="Arial" w:eastAsia="Arial"/>
                <w:b w:val="0"/>
                <w:sz w:val="16"/>
              </w:rPr>
              <w:t>Evidence alignment, GraphRAG, citation validation and claim–evidence validation tested against explicit baselines</w:t>
            </w:r>
          </w:p>
        </w:tc>
        <w:tc>
          <w:tcPr>
            <w:tcW w:type="dxa" w:w="3118"/>
            <w:vAlign w:val="center"/>
            <w:shd w:fill="F3F6F8"/>
            <w:tcMar>
              <w:top w:w="80" w:type="dxa"/>
              <w:start w:w="90" w:type="dxa"/>
              <w:bottom w:w="80" w:type="dxa"/>
              <w:end w:w="90" w:type="dxa"/>
            </w:tcMar>
          </w:tcPr>
          <w:p>
            <w:r>
              <w:rPr>
                <w:rFonts w:ascii="Arial" w:hAnsi="Arial" w:eastAsia="Arial"/>
                <w:b w:val="0"/>
                <w:sz w:val="16"/>
              </w:rPr>
              <w:t>Software, tests, QA set and ablation tables</w:t>
            </w:r>
          </w:p>
        </w:tc>
      </w:tr>
    </w:tbl>
    <w:p>
      <w:pPr>
        <w:spacing w:after="80"/>
      </w:pPr>
      <w:r>
        <w:rPr>
          <w:rFonts w:ascii="Arial" w:hAnsi="Arial" w:eastAsia="Arial"/>
          <w:b w:val="0"/>
          <w:sz w:val="18"/>
        </w:rPr>
        <w:t>The project is primarily a software and theoretical/experimental research output. No bespoke hardware is required. Success will be judged by reproducibility, extraction factuality, traceable provenance, graph integrity and the measured grounding of generated answers—not by graph size alone.</w:t>
      </w:r>
    </w:p>
    <w:p>
      <w:r>
        <w:br w:type="page"/>
      </w:r>
    </w:p>
    <w:p>
      <w:pPr>
        <w:pStyle w:val="1"/>
      </w:pPr>
      <w:r>
        <w:t>3. Technical Background</w:t>
      </w:r>
    </w:p>
    <w:p>
      <w:pPr>
        <w:pStyle w:val="2"/>
      </w:pPr>
      <w:r>
        <w:t>3.1 Topic Basis and Significance</w:t>
      </w:r>
    </w:p>
    <w:p>
      <w:pPr>
        <w:spacing w:after="80"/>
      </w:pPr>
      <w:r>
        <w:rPr>
          <w:rFonts w:ascii="Arial" w:hAnsi="Arial" w:eastAsia="Arial"/>
          <w:b w:val="0"/>
          <w:sz w:val="19"/>
        </w:rPr>
        <w:t>SMA was linked to the survival motor neuron (SMN) gene region by Lefebvre et al. [1]. Subsequent therapeutic development has produced mechanistically distinct interventions: nusinersen modifies SMN2 splicing [2], onasemnogene abeparvovec supplies a functional SMN1 transgene [3], and risdiplam is an oral SMN2 splicing modifier [4]. The field therefore contains relations among genes, variants, molecular functions, drugs, phenotypes, patient subgroups and measured outcomes. These relations are precisely the kind of heterogeneous evidence that benefits from an explicit graph representation.</w:t>
      </w:r>
    </w:p>
    <w:p>
      <w:pPr>
        <w:spacing w:after="80"/>
      </w:pPr>
      <w:r>
        <w:rPr>
          <w:rFonts w:ascii="Arial" w:hAnsi="Arial" w:eastAsia="Arial"/>
          <w:b w:val="0"/>
          <w:sz w:val="19"/>
        </w:rPr>
        <w:t>The research problem is not lack of publications but the difficulty of integrating and auditing them. A researcher may need to ask which genes, pathways or therapies are connected to a phenotype, which papers support the connection, whether different studies contradict one another, and whether a generated summary cites evidence that actually entails its claims. A conventional keyword search returns documents; an evidence-grounded knowledge graph aims to expose typed relationships while retaining source provenance.</w:t>
      </w:r>
    </w:p>
    <w:p>
      <w:pPr>
        <w:spacing w:after="80"/>
      </w:pPr>
      <w:r>
        <w:rPr>
          <w:rFonts w:ascii="Arial" w:hAnsi="Arial" w:eastAsia="Arial"/>
          <w:b w:val="0"/>
          <w:sz w:val="19"/>
        </w:rPr>
        <w:t>Open Targets provides public, systematically integrated target–disease evidence and programmatic access, making it a suitable structured complement to PubMed text [5]. PubMed supplies breadth and explicit bibliographic identifiers, whereas Open Targets provides curated/scored association records. Combining them allows the project to compare literature-derived relations with an external structured source without using private patient data.</w:t>
      </w:r>
    </w:p>
    <w:p>
      <w:pPr>
        <w:pStyle w:val="2"/>
      </w:pPr>
      <w:r>
        <w:t>3.2 Why a knowledge graph</w:t>
      </w:r>
    </w:p>
    <w:p>
      <w:pPr>
        <w:spacing w:after="80"/>
      </w:pPr>
      <w:r>
        <w:rPr>
          <w:rFonts w:ascii="Arial" w:hAnsi="Arial" w:eastAsia="Arial"/>
          <w:b w:val="0"/>
          <w:sz w:val="19"/>
        </w:rPr>
        <w:t>A knowledge graph represents entities as nodes and typed relations as edges. In biomedicine, this model supports integration across terminology and data sources, neighbourhood exploration, provenance-aware aggregation and downstream prediction or retrieval [6]. For SMA, a graph can connect Disease, Gene, Protein, Drug, Phenotype, Pathway and Variant entities while attaching PMID evidence and confidence to each relation. Neo4j is proposed because its property-graph model can store these attributes and Cypher can express multi-hop questions clearly.</w:t>
      </w:r>
    </w:p>
    <w:p>
      <w:pPr>
        <w:spacing w:after="80"/>
      </w:pPr>
      <w:r>
        <w:rPr>
          <w:rFonts w:ascii="Arial" w:hAnsi="Arial" w:eastAsia="Arial"/>
          <w:b w:val="0"/>
          <w:sz w:val="19"/>
        </w:rPr>
        <w:t>Graph construction nevertheless creates risks. Entity names are ambiguous; the same concept may appear under multiple forms; relation polarity may conflict; and high-confidence model output can still be unsupported. The design must therefore treat schema validation, normalisation, provenance and human review as first-class components rather than post-processing conveniences.</w:t>
      </w:r>
    </w:p>
    <w:p>
      <w:r>
        <w:br w:type="page"/>
      </w:r>
    </w:p>
    <w:p>
      <w:pPr>
        <w:pStyle w:val="2"/>
      </w:pPr>
      <w:r>
        <w:t>3.3 Literature Review: From text to structured evidence</w:t>
      </w:r>
    </w:p>
    <w:p>
      <w:pPr>
        <w:spacing w:after="80"/>
      </w:pPr>
      <w:r>
        <w:rPr>
          <w:rFonts w:ascii="Arial" w:hAnsi="Arial" w:eastAsia="Arial"/>
          <w:b w:val="0"/>
          <w:sz w:val="18"/>
        </w:rPr>
        <w:t>Biomedical relation extraction converts unstructured sentences into semantic links between entities. Earlier systems relied on patterns and syntactic rules; neural and transformer-based approaches improved contextual representation but still face overlapping relations, long-range context, domain terminology and limited labelled data. Literature-scale systems such as SemRep demonstrate the value of interpretable semantic relations, while also illustrating a precision–recall trade-off [7]. More recent graph and attention models address cross-sentence dependencies, but measured performance remains task- and corpus-dependent.</w:t>
      </w:r>
    </w:p>
    <w:p>
      <w:pPr>
        <w:spacing w:after="80"/>
      </w:pPr>
      <w:r>
        <w:rPr>
          <w:rFonts w:ascii="Arial" w:hAnsi="Arial" w:eastAsia="Arial"/>
          <w:b w:val="0"/>
          <w:sz w:val="18"/>
        </w:rPr>
        <w:t>Domain-specific pre-training is relevant because biomedical vocabulary and sense distributions differ from general web text. PubMedBERT was trained from scratch on biomedical text and achieved strong results across biomedical NLP tasks [8]. In this project it will be used as an embedding model for topic analysis and type-constrained entity alignment, not as proof that two names are identical. Candidate pairs must share an entity type and pass a documented similarity threshold; dictionary mappings take priority where explicit aliases are available.</w:t>
      </w:r>
    </w:p>
    <w:p>
      <w:pPr>
        <w:spacing w:after="80"/>
      </w:pPr>
      <w:r>
        <w:rPr>
          <w:rFonts w:ascii="Arial" w:hAnsi="Arial" w:eastAsia="Arial"/>
          <w:b w:val="0"/>
          <w:sz w:val="18"/>
        </w:rPr>
        <w:t>BERTopic embeds documents, clusters them and derives interpretable topic descriptors using class-based TF–IDF [9]. It can reveal dominant themes in a large SMA corpus and support topic-aware inspection, but its clusters are sensitive to the embedding model, dimensionality reduction and density parameters. The project will therefore preserve parameters and seeds, inspect representative abstracts and treat topics as exploratory structure rather than ground truth.</w:t>
      </w:r>
    </w:p>
    <w:p>
      <w:pPr>
        <w:spacing w:after="80"/>
      </w:pPr>
      <w:r>
        <w:rPr>
          <w:rFonts w:ascii="Arial" w:hAnsi="Arial" w:eastAsia="Arial"/>
          <w:b w:val="0"/>
          <w:sz w:val="18"/>
        </w:rPr>
        <w:t>LLMs can extract flexible typed relations with less task-specific training data, but they may generate nonexistent entities, reverse relation direction, overgeneralise evidence or output invalid structures. A restricted biomedical schema, JSON validation, confidence decomposition, exact source retention and rejected-record logs are necessary controls. Crucially, automated confidence scores cannot replace a human-reviewed evaluation set.</w:t>
      </w:r>
    </w:p>
    <w:p>
      <w:pPr>
        <w:pStyle w:val="2"/>
      </w:pPr>
      <w:r>
        <w:t>3.4 Evaluation requirement</w:t>
      </w:r>
    </w:p>
    <w:p>
      <w:pPr>
        <w:spacing w:after="80"/>
      </w:pPr>
      <w:r>
        <w:rPr>
          <w:rFonts w:ascii="Arial" w:hAnsi="Arial" w:eastAsia="Arial"/>
          <w:b w:val="0"/>
          <w:sz w:val="18"/>
        </w:rPr>
        <w:t>The proposed 400-item annotation set will contain 300 reproducibly sampled predictions for the main factuality/precision estimate and 100 deliberately difficult cases for qualitative error analysis. Eighty items will receive independent second review to measure agreement. Labels will separately assess entity boundaries/types, relation, direction and evidence support. Because the sample begins from predicted triples, it can estimate precision but not recall; a recall study would require exhaustive annotation of all relations in a separate sample of complete abstracts.</w:t>
      </w:r>
    </w:p>
    <w:p>
      <w:r>
        <w:br w:type="page"/>
      </w:r>
    </w:p>
    <w:p>
      <w:pPr>
        <w:pStyle w:val="2"/>
      </w:pPr>
      <w:r>
        <w:t>3.5 Proposed System Architecture</w:t>
      </w:r>
    </w:p>
    <w:p>
      <w:pPr>
        <w:spacing w:after="40"/>
        <w:ind w:left="340" w:hanging="255"/>
      </w:pPr>
      <w:r>
        <w:rPr>
          <w:rFonts w:ascii="Arial" w:hAnsi="Arial" w:eastAsia="Arial"/>
          <w:b w:val="0"/>
          <w:sz w:val="18"/>
        </w:rPr>
        <w:t>1. Acquisition and versioning. Query PubMed for SMA literature and retrieve Open Targets SMA associations. Store immutable raw files, retrieval dates, query strings, counts, hashes and validation summaries.</w:t>
      </w:r>
    </w:p>
    <w:p>
      <w:pPr>
        <w:spacing w:after="40"/>
        <w:ind w:left="340" w:hanging="255"/>
      </w:pPr>
      <w:r>
        <w:rPr>
          <w:rFonts w:ascii="Arial" w:hAnsi="Arial" w:eastAsia="Arial"/>
          <w:b w:val="0"/>
          <w:sz w:val="18"/>
        </w:rPr>
        <w:t>2. Topic modelling. Generate PubMedBERT-based document embeddings and BERTopic clusters. Review topic words and representative abstracts to identify coverage gaps and guide analysis.</w:t>
      </w:r>
    </w:p>
    <w:p>
      <w:pPr>
        <w:spacing w:after="40"/>
        <w:ind w:left="340" w:hanging="255"/>
      </w:pPr>
      <w:r>
        <w:rPr>
          <w:rFonts w:ascii="Arial" w:hAnsi="Arial" w:eastAsia="Arial"/>
          <w:b w:val="0"/>
          <w:sz w:val="18"/>
        </w:rPr>
        <w:t>3. LLM extraction. Prompt the model to return typed triples with PMID and evidence text. Process in checkpointed chunks with retry/backoff; preserve raw responses and model/version parameters.</w:t>
      </w:r>
    </w:p>
    <w:p>
      <w:pPr>
        <w:spacing w:after="40"/>
        <w:ind w:left="340" w:hanging="255"/>
      </w:pPr>
      <w:r>
        <w:rPr>
          <w:rFonts w:ascii="Arial" w:hAnsi="Arial" w:eastAsia="Arial"/>
          <w:b w:val="0"/>
          <w:sz w:val="18"/>
        </w:rPr>
        <w:t>4. Biomedical validation. Normalise relation names against a controlled schema; validate entity types and required fields; reject invalid records rather than silently repairing meaning.</w:t>
      </w:r>
    </w:p>
    <w:p>
      <w:pPr>
        <w:spacing w:after="40"/>
        <w:ind w:left="340" w:hanging="255"/>
      </w:pPr>
      <w:r>
        <w:rPr>
          <w:rFonts w:ascii="Arial" w:hAnsi="Arial" w:eastAsia="Arial"/>
          <w:b w:val="0"/>
          <w:sz w:val="18"/>
        </w:rPr>
        <w:t>5. Entity and relation fusion. Apply curated alias dictionaries, then type-constrained semantic alignment. Aggregate duplicate evidence, combine confidence transparently and mark positive/negative relation conflicts for review.</w:t>
      </w:r>
    </w:p>
    <w:p>
      <w:pPr>
        <w:spacing w:after="40"/>
        <w:ind w:left="340" w:hanging="255"/>
      </w:pPr>
      <w:r>
        <w:rPr>
          <w:rFonts w:ascii="Arial" w:hAnsi="Arial" w:eastAsia="Arial"/>
          <w:b w:val="0"/>
          <w:sz w:val="18"/>
        </w:rPr>
        <w:t>6. Graph construction and analysis. Import entities and relations into Neo4j, preserving provenance. Verify node/edge counts, isolated nodes, duplicate relationships and query behaviour; build a local viewer and analytics tables.</w:t>
      </w:r>
    </w:p>
    <w:p>
      <w:pPr>
        <w:spacing w:after="40"/>
        <w:ind w:left="340" w:hanging="255"/>
      </w:pPr>
      <w:r>
        <w:rPr>
          <w:rFonts w:ascii="Arial" w:hAnsi="Arial" w:eastAsia="Arial"/>
          <w:b w:val="0"/>
          <w:sz w:val="18"/>
        </w:rPr>
        <w:t>7. Evaluation and evidence-grounded retrieval. Complete human review, quantify extraction quality, then evaluate graph retrieval and generated answers against citation and claim-support checks.</w:t>
      </w:r>
    </w:p>
    <w:p>
      <w:pPr>
        <w:pStyle w:val="2"/>
      </w:pPr>
      <w:r>
        <w:t>3.6 Engineering controls and reproducibility</w:t>
      </w:r>
    </w:p>
    <w:p>
      <w:pPr>
        <w:spacing w:after="80"/>
      </w:pPr>
      <w:r>
        <w:rPr>
          <w:rFonts w:ascii="Arial" w:hAnsi="Arial" w:eastAsia="Arial"/>
          <w:b w:val="0"/>
          <w:sz w:val="18"/>
        </w:rPr>
        <w:t>Each pipeline stage will write to a dated run directory before promotion to a canonical output. A manifest will record inputs, outputs, counts, hashes, configuration and validation status. API keys and database credentials will remain in ignored local environment files. Automated tests will cover schema normalisation, unsafe graph labels, deterministic aggregation and validation gates. A stage will be reported as complete only when source code, tests, a reproducible run artefact and measured output all exist.</w:t>
      </w:r>
    </w:p>
    <w:p>
      <w:pPr>
        <w:spacing w:after="80"/>
      </w:pPr>
      <w:r>
        <w:rPr>
          <w:rFonts w:ascii="Arial" w:hAnsi="Arial" w:eastAsia="Arial"/>
          <w:b w:val="0"/>
          <w:sz w:val="18"/>
        </w:rPr>
        <w:t>Potential failure modes include API outages, rate limits, malformed model output, model drift, embedding download failure, destructive graph re-imports and hidden data leakage. Mitigations are small pilot runs, retries with bounded budgets, checkpointing, pinned model names, local caches, backups, explicit database scope and validation before promotion. These controls make the methodology defensible even if individual model calls are nondeterministic.</w:t>
      </w:r>
    </w:p>
    <w:p>
      <w:pPr>
        <w:pStyle w:val="2"/>
      </w:pPr>
      <w:r>
        <w:t>3.7 Data protection, ethics and scope</w:t>
      </w:r>
    </w:p>
    <w:p>
      <w:pPr>
        <w:spacing w:after="80"/>
      </w:pPr>
      <w:r>
        <w:rPr>
          <w:rFonts w:ascii="Arial" w:hAnsi="Arial" w:eastAsia="Arial"/>
          <w:b w:val="0"/>
          <w:sz w:val="18"/>
        </w:rPr>
        <w:t>Only public titles, abstracts and public association records are planned. No participant recruitment, patient record, biological sample or intervention is involved. The graph is a research artefact and must not be presented as clinical advice. Source licences and attribution will be respected, full copyrighted papers will not be redistributed, and any permitted generative-AI assistance in writing or code will be disclosed and verified by the student.</w:t>
      </w:r>
    </w:p>
    <w:p>
      <w:r>
        <w:br w:type="page"/>
      </w:r>
    </w:p>
    <w:p>
      <w:pPr>
        <w:pStyle w:val="2"/>
      </w:pPr>
      <w:r>
        <w:t>3.8 Research Status, Development Trend and Gap</w:t>
      </w:r>
    </w:p>
    <w:p>
      <w:pPr>
        <w:spacing w:after="80"/>
      </w:pPr>
      <w:r>
        <w:rPr>
          <w:rFonts w:ascii="Arial" w:hAnsi="Arial" w:eastAsia="Arial"/>
          <w:b w:val="0"/>
          <w:sz w:val="18"/>
        </w:rPr>
        <w:t>The development trend is moving from isolated extraction models toward systems that integrate heterogeneous sources, retain provenance and connect retrieval to generation. Retrieval-augmented generation (RAG) combines a language model with explicit external memory and can improve factuality and provenance compared with a purely parametric model [10]. GraphRAG extends retrieval by organising entities and evidence as a graph, enabling local neighbourhood questions and global corpus-level synthesis [11].</w:t>
      </w:r>
    </w:p>
    <w:p>
      <w:pPr>
        <w:spacing w:after="80"/>
      </w:pPr>
      <w:r>
        <w:rPr>
          <w:rFonts w:ascii="Arial" w:hAnsi="Arial" w:eastAsia="Arial"/>
          <w:b w:val="0"/>
          <w:sz w:val="18"/>
        </w:rPr>
        <w:t>However, retrieval alone does not guarantee a correct answer. A system can retrieve the right paper but cite the wrong identifier, or cite a real paper whose abstract does not support the generated claim. Biomedical use raises the standard further because plausible but unsupported statements can mislead. The gap addressed here is therefore end-to-end traceability: an extracted relation should be linked to an exact source span; a retrieved context should expose PMIDs; a generated citation should correspond to an actually retrieved record; and each answer claim should be checked against evidence.</w:t>
      </w:r>
    </w:p>
    <w:p>
      <w:pPr>
        <w:pStyle w:val="2"/>
      </w:pPr>
      <w:r>
        <w:t>3.9 Planned Original Contribution / Innovation</w:t>
      </w:r>
    </w:p>
    <w:p>
      <w:pPr>
        <w:spacing w:after="60"/>
      </w:pPr>
      <w:r>
        <w:rPr>
          <w:rFonts w:ascii="Arial" w:hAnsi="Arial" w:eastAsia="Arial"/>
          <w:b/>
          <w:color w:val="C00000"/>
          <w:sz w:val="18"/>
        </w:rPr>
        <w:t xml:space="preserve">Innovation 1 — Evidence validation. </w:t>
      </w:r>
      <w:r>
        <w:rPr>
          <w:rFonts w:ascii="Arial" w:hAnsi="Arial" w:eastAsia="Arial"/>
          <w:b w:val="0"/>
          <w:sz w:val="18"/>
        </w:rPr>
        <w:t>Align every extracted evidence span back to its PubMed title/abstract using exact and fuzzy/semantic checks. Strong matches are accepted; weak or cross-sentence matches are routed for review. Evaluate coverage, false acceptance and false rejection on the human set.</w:t>
      </w:r>
    </w:p>
    <w:p>
      <w:pPr>
        <w:spacing w:after="60"/>
      </w:pPr>
      <w:r>
        <w:rPr>
          <w:rFonts w:ascii="Arial" w:hAnsi="Arial" w:eastAsia="Arial"/>
          <w:b/>
          <w:color w:val="C00000"/>
          <w:sz w:val="18"/>
        </w:rPr>
        <w:t xml:space="preserve">Innovation 2 — GraphRAG. </w:t>
      </w:r>
      <w:r>
        <w:rPr>
          <w:rFonts w:ascii="Arial" w:hAnsi="Arial" w:eastAsia="Arial"/>
          <w:b w:val="0"/>
          <w:sz w:val="18"/>
        </w:rPr>
        <w:t>Retrieve a bounded Neo4j neighbourhood plus PMID-backed evidence, construct structured context and generate answers with an explicit refusal when evidence is insufficient. Compare with text-only retrieval on a fixed QA set.</w:t>
      </w:r>
    </w:p>
    <w:p>
      <w:pPr>
        <w:spacing w:after="60"/>
      </w:pPr>
      <w:r>
        <w:rPr>
          <w:rFonts w:ascii="Arial" w:hAnsi="Arial" w:eastAsia="Arial"/>
          <w:b/>
          <w:color w:val="C00000"/>
          <w:sz w:val="18"/>
        </w:rPr>
        <w:t xml:space="preserve">Innovation 3 — Citation validation. </w:t>
      </w:r>
      <w:r>
        <w:rPr>
          <w:rFonts w:ascii="Arial" w:hAnsi="Arial" w:eastAsia="Arial"/>
          <w:b w:val="0"/>
          <w:sz w:val="18"/>
        </w:rPr>
        <w:t>Verify that citations are syntactically valid, exist in the source corpus and were present in the retrieved context. Measure missing, invalid and mismatched citation rates.</w:t>
      </w:r>
    </w:p>
    <w:p>
      <w:pPr>
        <w:spacing w:after="60"/>
      </w:pPr>
      <w:r>
        <w:rPr>
          <w:rFonts w:ascii="Arial" w:hAnsi="Arial" w:eastAsia="Arial"/>
          <w:b/>
          <w:color w:val="C00000"/>
          <w:sz w:val="18"/>
        </w:rPr>
        <w:t xml:space="preserve">Innovation 4 — Claim–evidence validation. </w:t>
      </w:r>
      <w:r>
        <w:rPr>
          <w:rFonts w:ascii="Arial" w:hAnsi="Arial" w:eastAsia="Arial"/>
          <w:b w:val="0"/>
          <w:sz w:val="18"/>
        </w:rPr>
        <w:t>Decompose each answer into atomic claims and classify whether retrieved evidence supports, partially supports, contradicts or cannot resolve each claim. Report supported-claim rate and typical failure modes.</w:t>
      </w:r>
    </w:p>
    <w:tbl>
      <w:tblPr>
        <w:tblW w:type="auto" w:w="0"/>
        <w:jc w:val="center"/>
        <w:tblLook w:firstColumn="1" w:firstRow="1" w:lastColumn="0" w:lastRow="0" w:noHBand="0" w:noVBand="1" w:val="04A0"/>
      </w:tblPr>
      <w:tblGrid>
        <w:gridCol w:w="10148"/>
      </w:tblGrid>
      <w:tr>
        <w:tc>
          <w:tcPr>
            <w:tcW w:type="dxa" w:w="10148"/>
            <w:shd w:fill="FCE4D6"/>
            <w:tcMar>
              <w:top w:w="90" w:type="dxa"/>
              <w:start w:w="90" w:type="dxa"/>
              <w:bottom w:w="90" w:type="dxa"/>
              <w:end w:w="90" w:type="dxa"/>
            </w:tcMar>
          </w:tcPr>
          <w:p>
            <w:pPr>
              <w:jc w:val="center"/>
            </w:pPr>
            <w:r>
              <w:rPr>
                <w:rFonts w:ascii="Arial" w:hAnsi="Arial" w:eastAsia="Arial"/>
                <w:b/>
                <w:color w:val="9C3F1C"/>
                <w:sz w:val="20"/>
              </w:rPr>
              <w:t>Status rule: these four modules are planned innovations. They must not be described as implemented contributions until code, focused tests, reproducible run artefacts and measured evaluation results exist.</w:t>
            </w:r>
          </w:p>
        </w:tc>
      </w:tr>
    </w:tbl>
    <w:p>
      <w:pPr>
        <w:pStyle w:val="2"/>
      </w:pPr>
      <w:r>
        <w:t>3.10 Research Questions</w:t>
      </w:r>
    </w:p>
    <w:p>
      <w:pPr>
        <w:spacing w:after="40"/>
        <w:ind w:left="312" w:hanging="198"/>
      </w:pPr>
      <w:r>
        <w:rPr>
          <w:rFonts w:ascii="Arial" w:hAnsi="Arial" w:eastAsia="Arial"/>
          <w:b w:val="0"/>
          <w:sz w:val="18"/>
        </w:rPr>
        <w:t>• RQ1: How accurately can a schema-constrained LLM pipeline extract PMID-supported SMA relations from public abstracts?</w:t>
      </w:r>
    </w:p>
    <w:p>
      <w:pPr>
        <w:spacing w:after="40"/>
        <w:ind w:left="312" w:hanging="198"/>
      </w:pPr>
      <w:r>
        <w:rPr>
          <w:rFonts w:ascii="Arial" w:hAnsi="Arial" w:eastAsia="Arial"/>
          <w:b w:val="0"/>
          <w:sz w:val="18"/>
        </w:rPr>
        <w:t>• RQ2: How do dictionary mapping and type-constrained semantic alignment affect duplicate reduction and erroneous merges?</w:t>
      </w:r>
    </w:p>
    <w:p>
      <w:pPr>
        <w:spacing w:after="40"/>
        <w:ind w:left="312" w:hanging="198"/>
      </w:pPr>
      <w:r>
        <w:rPr>
          <w:rFonts w:ascii="Arial" w:hAnsi="Arial" w:eastAsia="Arial"/>
          <w:b w:val="0"/>
          <w:sz w:val="18"/>
        </w:rPr>
        <w:t>• RQ3: Can explicit evidence, citation and claim validation improve the grounding of graph-based answers over an unvalidated retrieval baseline?</w:t>
      </w:r>
    </w:p>
    <w:p>
      <w:pPr>
        <w:spacing w:after="40"/>
        <w:ind w:left="312" w:hanging="198"/>
      </w:pPr>
      <w:r>
        <w:rPr>
          <w:rFonts w:ascii="Arial" w:hAnsi="Arial" w:eastAsia="Arial"/>
          <w:b w:val="0"/>
          <w:sz w:val="18"/>
        </w:rPr>
        <w:t>• RQ4: Which errors remain after validation, and what trade-offs arise between coverage, precision, cost and review workload?</w:t>
      </w:r>
    </w:p>
    <w:p>
      <w:r>
        <w:br w:type="page"/>
      </w:r>
    </w:p>
    <w:p>
      <w:pPr>
        <w:pStyle w:val="1"/>
      </w:pPr>
      <w:r>
        <w:t>4. References</w:t>
      </w:r>
    </w:p>
    <w:p>
      <w:pPr>
        <w:spacing w:after="40"/>
        <w:ind w:left="227" w:hanging="227"/>
      </w:pPr>
      <w:r>
        <w:rPr>
          <w:rFonts w:ascii="Arial" w:hAnsi="Arial" w:eastAsia="Arial"/>
          <w:b w:val="0"/>
          <w:sz w:val="16"/>
        </w:rPr>
        <w:t>[1] S. Lefebvre et al., “Identification and characterization of a spinal muscular atrophy-determining gene,” Cell, vol. 80, no. 1, pp. 155–165, 1995. doi:10.1016/0092-8674(95)90460-3.</w:t>
      </w:r>
    </w:p>
    <w:p>
      <w:pPr>
        <w:spacing w:after="40"/>
        <w:ind w:left="227" w:hanging="227"/>
      </w:pPr>
      <w:r>
        <w:rPr>
          <w:rFonts w:ascii="Arial" w:hAnsi="Arial" w:eastAsia="Arial"/>
          <w:b w:val="0"/>
          <w:sz w:val="16"/>
        </w:rPr>
        <w:t>[2] R. S. Finkel et al., “Nusinersen versus sham control in infantile-onset spinal muscular atrophy,” N. Engl. J. Med., vol. 377, no. 18, pp. 1723–1732, 2017. doi:10.1056/NEJMoa1702752.</w:t>
      </w:r>
    </w:p>
    <w:p>
      <w:pPr>
        <w:spacing w:after="40"/>
        <w:ind w:left="227" w:hanging="227"/>
      </w:pPr>
      <w:r>
        <w:rPr>
          <w:rFonts w:ascii="Arial" w:hAnsi="Arial" w:eastAsia="Arial"/>
          <w:b w:val="0"/>
          <w:sz w:val="16"/>
        </w:rPr>
        <w:t>[3] J. W. Day et al., “Onasemnogene abeparvovec gene therapy for symptomatic infantile-onset spinal muscular atrophy … (STR1VE),” Lancet Neurol., vol. 20, no. 4, pp. 284–293, 2021. doi:10.1016/S1474-4422(21)00001-6.</w:t>
      </w:r>
    </w:p>
    <w:p>
      <w:pPr>
        <w:spacing w:after="40"/>
        <w:ind w:left="227" w:hanging="227"/>
      </w:pPr>
      <w:r>
        <w:rPr>
          <w:rFonts w:ascii="Arial" w:hAnsi="Arial" w:eastAsia="Arial"/>
          <w:b w:val="0"/>
          <w:sz w:val="16"/>
        </w:rPr>
        <w:t>[4] E. Mercuri et al., “Safety and efficacy of once-daily risdiplam in type 2 and non-ambulant type 3 spinal muscular atrophy (SUNFISH part 2),” Lancet Neurol., vol. 21, no. 1, pp. 42–52, 2022. doi:10.1016/S1474-4422(21)00367-7.</w:t>
      </w:r>
    </w:p>
    <w:p>
      <w:pPr>
        <w:spacing w:after="40"/>
        <w:ind w:left="227" w:hanging="227"/>
      </w:pPr>
      <w:r>
        <w:rPr>
          <w:rFonts w:ascii="Arial" w:hAnsi="Arial" w:eastAsia="Arial"/>
          <w:b w:val="0"/>
          <w:sz w:val="16"/>
        </w:rPr>
        <w:t>[5] D. Ochoa et al., “Open Targets Platform: supporting systematic drug–target identification and prioritisation,” Nucleic Acids Res., vol. 49, no. D1, pp. D1302–D1310, 2021. doi:10.1093/nar/gkaa1027.</w:t>
      </w:r>
    </w:p>
    <w:p>
      <w:pPr>
        <w:spacing w:after="40"/>
        <w:ind w:left="227" w:hanging="227"/>
      </w:pPr>
      <w:r>
        <w:rPr>
          <w:rFonts w:ascii="Arial" w:hAnsi="Arial" w:eastAsia="Arial"/>
          <w:b w:val="0"/>
          <w:sz w:val="16"/>
        </w:rPr>
        <w:t>[6] C. Nicholson and C. S. Greene, “Constructing knowledge graphs and their biomedical applications,” Comput. Struct. Biotechnol. J., vol. 18, pp. 1414–1428, 2020. doi:10.1016/j.csbj.2020.05.017.</w:t>
      </w:r>
    </w:p>
    <w:p>
      <w:pPr>
        <w:spacing w:after="40"/>
        <w:ind w:left="227" w:hanging="227"/>
      </w:pPr>
      <w:r>
        <w:rPr>
          <w:rFonts w:ascii="Arial" w:hAnsi="Arial" w:eastAsia="Arial"/>
          <w:b w:val="0"/>
          <w:sz w:val="16"/>
        </w:rPr>
        <w:t>[7] H. Kilicoglu et al., “Broad-coverage biomedical relation extraction with SemRep,” BMC Bioinformatics, vol. 21, 2020. PMID:32410573.</w:t>
      </w:r>
    </w:p>
    <w:p>
      <w:pPr>
        <w:spacing w:after="40"/>
        <w:ind w:left="227" w:hanging="227"/>
      </w:pPr>
      <w:r>
        <w:rPr>
          <w:rFonts w:ascii="Arial" w:hAnsi="Arial" w:eastAsia="Arial"/>
          <w:b w:val="0"/>
          <w:sz w:val="16"/>
        </w:rPr>
        <w:t>[8] Y. Gu et al., “Domain-specific language model pretraining for biomedical natural language processing,” ACM Trans. Comput. Healthcare, vol. 3, no. 1, pp. 1–23, 2021. doi:10.1145/3458754.</w:t>
      </w:r>
    </w:p>
    <w:p>
      <w:pPr>
        <w:spacing w:after="40"/>
        <w:ind w:left="227" w:hanging="227"/>
      </w:pPr>
      <w:r>
        <w:rPr>
          <w:rFonts w:ascii="Arial" w:hAnsi="Arial" w:eastAsia="Arial"/>
          <w:b w:val="0"/>
          <w:sz w:val="16"/>
        </w:rPr>
        <w:t>[9] M. Grootendorst, “BERTopic: Neural topic modeling with a class-based TF-IDF procedure,” arXiv:2203.05794, 2022. doi:10.48550/arXiv.2203.05794.</w:t>
      </w:r>
    </w:p>
    <w:p>
      <w:pPr>
        <w:spacing w:after="40"/>
        <w:ind w:left="227" w:hanging="227"/>
      </w:pPr>
      <w:r>
        <w:rPr>
          <w:rFonts w:ascii="Arial" w:hAnsi="Arial" w:eastAsia="Arial"/>
          <w:b w:val="0"/>
          <w:sz w:val="16"/>
        </w:rPr>
        <w:t>[10] P. Lewis et al., “Retrieval-augmented generation for knowledge-intensive NLP tasks,” Adv. Neural Inf. Process. Syst., vol. 33, 2020.</w:t>
      </w:r>
    </w:p>
    <w:p>
      <w:pPr>
        <w:spacing w:after="40"/>
        <w:ind w:left="227" w:hanging="227"/>
      </w:pPr>
      <w:r>
        <w:rPr>
          <w:rFonts w:ascii="Arial" w:hAnsi="Arial" w:eastAsia="Arial"/>
          <w:b w:val="0"/>
          <w:sz w:val="16"/>
        </w:rPr>
        <w:t>[11] D. Edge et al., “From local to global: A graph RAG approach to query-focused summarization,” arXiv:2404.16130, 2024. doi:10.48550/arXiv.2404.16130.</w:t>
      </w:r>
    </w:p>
    <w:p>
      <w:pPr>
        <w:pStyle w:val="2"/>
      </w:pPr>
      <w:r>
        <w:t>Reference selection note</w:t>
      </w:r>
    </w:p>
    <w:p>
      <w:pPr>
        <w:spacing w:after="80"/>
      </w:pPr>
      <w:r>
        <w:rPr>
          <w:rFonts w:ascii="Arial" w:hAnsi="Arial" w:eastAsia="Arial"/>
          <w:b w:val="0"/>
          <w:sz w:val="17"/>
        </w:rPr>
        <w:t>The final literature review will expand this preliminary list through a documented database search and will verify all bibliographic metadata against PubMed, Crossref or the publisher record. Web pages will be used only where a stable primary technical source is unavailable.</w:t>
      </w:r>
    </w:p>
    <w:p>
      <w:r>
        <w:br w:type="page"/>
      </w:r>
    </w:p>
    <w:p>
      <w:pPr>
        <w:pStyle w:val="1"/>
      </w:pPr>
      <w:r>
        <w:t>5. Work Plan</w:t>
      </w:r>
    </w:p>
    <w:p>
      <w:pPr>
        <w:spacing w:after="80"/>
      </w:pPr>
      <w:r>
        <w:rPr>
          <w:rFonts w:ascii="Arial" w:hAnsi="Arial" w:eastAsia="Arial"/>
          <w:b w:val="0"/>
          <w:sz w:val="18"/>
        </w:rPr>
        <w:t>The plan begins on 1 October 2026. Dates below are future targets, not reconstructed historical activity. Each milestone will be marked complete only after a validated output and a contemporaneous logbook entry exist.</w:t>
      </w:r>
    </w:p>
    <w:tbl>
      <w:tblPr>
        <w:tblStyle w:val="af7"/>
        <w:tblW w:type="auto" w:w="0"/>
        <w:jc w:val="center"/>
        <w:tblLook w:firstColumn="1" w:firstRow="1" w:lastColumn="0" w:lastRow="0" w:noHBand="0" w:noVBand="1" w:val="04A0"/>
      </w:tblPr>
      <w:tblGrid>
        <w:gridCol w:w="3383"/>
        <w:gridCol w:w="3383"/>
        <w:gridCol w:w="3383"/>
      </w:tblGrid>
      <w:tr>
        <w:trPr>
          <w:tblHeader w:val="true"/>
        </w:trPr>
        <w:tc>
          <w:tcPr>
            <w:tcW w:type="dxa" w:w="1757"/>
            <w:shd w:fill="2F5E85"/>
            <w:vAlign w:val="center"/>
          </w:tcPr>
          <w:p>
            <w:pPr>
              <w:jc w:val="center"/>
            </w:pPr>
            <w:r>
              <w:rPr>
                <w:rFonts w:ascii="Arial" w:hAnsi="Arial" w:eastAsia="Arial"/>
                <w:b/>
                <w:color w:val="FFFFFF"/>
                <w:sz w:val="16"/>
              </w:rPr>
              <w:t>Period</w:t>
            </w:r>
          </w:p>
        </w:tc>
        <w:tc>
          <w:tcPr>
            <w:tcW w:type="dxa" w:w="4932"/>
            <w:shd w:fill="2F5E85"/>
            <w:vAlign w:val="center"/>
          </w:tcPr>
          <w:p>
            <w:pPr>
              <w:jc w:val="center"/>
            </w:pPr>
            <w:r>
              <w:rPr>
                <w:rFonts w:ascii="Arial" w:hAnsi="Arial" w:eastAsia="Arial"/>
                <w:b/>
                <w:color w:val="FFFFFF"/>
                <w:sz w:val="16"/>
              </w:rPr>
              <w:t>Planned work</w:t>
            </w:r>
          </w:p>
        </w:tc>
        <w:tc>
          <w:tcPr>
            <w:tcW w:type="dxa" w:w="3231"/>
            <w:shd w:fill="2F5E85"/>
            <w:vAlign w:val="center"/>
          </w:tcPr>
          <w:p>
            <w:pPr>
              <w:jc w:val="center"/>
            </w:pPr>
            <w:r>
              <w:rPr>
                <w:rFonts w:ascii="Arial" w:hAnsi="Arial" w:eastAsia="Arial"/>
                <w:b/>
                <w:color w:val="FFFFFF"/>
                <w:sz w:val="16"/>
              </w:rPr>
              <w:t>Milestone / evidence</w:t>
            </w:r>
          </w:p>
        </w:tc>
      </w:tr>
      <w:tr>
        <w:tc>
          <w:tcPr>
            <w:tcW w:type="dxa" w:w="1757"/>
            <w:vAlign w:val="center"/>
            <w:tcMar>
              <w:top w:w="80" w:type="dxa"/>
              <w:start w:w="90" w:type="dxa"/>
              <w:bottom w:w="80" w:type="dxa"/>
              <w:end w:w="90" w:type="dxa"/>
            </w:tcMar>
          </w:tcPr>
          <w:p>
            <w:r>
              <w:rPr>
                <w:rFonts w:ascii="Arial" w:hAnsi="Arial" w:eastAsia="Arial"/>
                <w:b w:val="0"/>
                <w:sz w:val="16"/>
              </w:rPr>
              <w:t>01–30 Oct 2026</w:t>
            </w:r>
          </w:p>
        </w:tc>
        <w:tc>
          <w:tcPr>
            <w:tcW w:type="dxa" w:w="4932"/>
            <w:vAlign w:val="center"/>
            <w:tcMar>
              <w:top w:w="80" w:type="dxa"/>
              <w:start w:w="90" w:type="dxa"/>
              <w:bottom w:w="80" w:type="dxa"/>
              <w:end w:w="90" w:type="dxa"/>
            </w:tcMar>
          </w:tcPr>
          <w:p>
            <w:r>
              <w:rPr>
                <w:rFonts w:ascii="Arial" w:hAnsi="Arial" w:eastAsia="Arial"/>
                <w:b w:val="0"/>
                <w:sz w:val="16"/>
              </w:rPr>
              <w:t>Scope, literature, schema, risk/ethics; acquisition and small extraction pilot; preliminary submission</w:t>
            </w:r>
          </w:p>
        </w:tc>
        <w:tc>
          <w:tcPr>
            <w:tcW w:type="dxa" w:w="3231"/>
            <w:vAlign w:val="center"/>
            <w:tcMar>
              <w:top w:w="80" w:type="dxa"/>
              <w:start w:w="90" w:type="dxa"/>
              <w:bottom w:w="80" w:type="dxa"/>
              <w:end w:w="90" w:type="dxa"/>
            </w:tcMar>
          </w:tcPr>
          <w:p>
            <w:r>
              <w:rPr>
                <w:rFonts w:ascii="Arial" w:hAnsi="Arial" w:eastAsia="Arial"/>
                <w:b w:val="0"/>
                <w:sz w:val="16"/>
              </w:rPr>
              <w:t>Signed forms; report; first logbook; versioned inputs and pilot error analysis</w:t>
            </w:r>
          </w:p>
        </w:tc>
      </w:tr>
      <w:tr>
        <w:tc>
          <w:tcPr>
            <w:tcW w:type="dxa" w:w="1757"/>
            <w:vAlign w:val="center"/>
            <w:shd w:fill="F3F6F8"/>
            <w:tcMar>
              <w:top w:w="80" w:type="dxa"/>
              <w:start w:w="90" w:type="dxa"/>
              <w:bottom w:w="80" w:type="dxa"/>
              <w:end w:w="90" w:type="dxa"/>
            </w:tcMar>
          </w:tcPr>
          <w:p>
            <w:r>
              <w:rPr>
                <w:rFonts w:ascii="Arial" w:hAnsi="Arial" w:eastAsia="Arial"/>
                <w:b w:val="0"/>
                <w:sz w:val="16"/>
              </w:rPr>
              <w:t>Nov 2026</w:t>
            </w:r>
          </w:p>
        </w:tc>
        <w:tc>
          <w:tcPr>
            <w:tcW w:type="dxa" w:w="4932"/>
            <w:vAlign w:val="center"/>
            <w:shd w:fill="F3F6F8"/>
            <w:tcMar>
              <w:top w:w="80" w:type="dxa"/>
              <w:start w:w="90" w:type="dxa"/>
              <w:bottom w:w="80" w:type="dxa"/>
              <w:end w:w="90" w:type="dxa"/>
            </w:tcMar>
          </w:tcPr>
          <w:p>
            <w:r>
              <w:rPr>
                <w:rFonts w:ascii="Arial" w:hAnsi="Arial" w:eastAsia="Arial"/>
                <w:b w:val="0"/>
                <w:sz w:val="16"/>
              </w:rPr>
              <w:t>Full LLM extraction; schema validation; dictionary mapping and semantic alignment</w:t>
            </w:r>
          </w:p>
        </w:tc>
        <w:tc>
          <w:tcPr>
            <w:tcW w:type="dxa" w:w="3231"/>
            <w:vAlign w:val="center"/>
            <w:shd w:fill="F3F6F8"/>
            <w:tcMar>
              <w:top w:w="80" w:type="dxa"/>
              <w:start w:w="90" w:type="dxa"/>
              <w:bottom w:w="80" w:type="dxa"/>
              <w:end w:w="90" w:type="dxa"/>
            </w:tcMar>
          </w:tcPr>
          <w:p>
            <w:r>
              <w:rPr>
                <w:rFonts w:ascii="Arial" w:hAnsi="Arial" w:eastAsia="Arial"/>
                <w:b w:val="0"/>
                <w:sz w:val="16"/>
              </w:rPr>
              <w:t>Canonical/rejected triples; tests; manifests; threshold study</w:t>
            </w:r>
          </w:p>
        </w:tc>
      </w:tr>
      <w:tr>
        <w:tc>
          <w:tcPr>
            <w:tcW w:type="dxa" w:w="1757"/>
            <w:vAlign w:val="center"/>
            <w:tcMar>
              <w:top w:w="80" w:type="dxa"/>
              <w:start w:w="90" w:type="dxa"/>
              <w:bottom w:w="80" w:type="dxa"/>
              <w:end w:w="90" w:type="dxa"/>
            </w:tcMar>
          </w:tcPr>
          <w:p>
            <w:r>
              <w:rPr>
                <w:rFonts w:ascii="Arial" w:hAnsi="Arial" w:eastAsia="Arial"/>
                <w:b w:val="0"/>
                <w:sz w:val="16"/>
              </w:rPr>
              <w:t>Dec 2026</w:t>
            </w:r>
          </w:p>
        </w:tc>
        <w:tc>
          <w:tcPr>
            <w:tcW w:type="dxa" w:w="4932"/>
            <w:vAlign w:val="center"/>
            <w:tcMar>
              <w:top w:w="80" w:type="dxa"/>
              <w:start w:w="90" w:type="dxa"/>
              <w:bottom w:w="80" w:type="dxa"/>
              <w:end w:w="90" w:type="dxa"/>
            </w:tcMar>
          </w:tcPr>
          <w:p>
            <w:r>
              <w:rPr>
                <w:rFonts w:ascii="Arial" w:hAnsi="Arial" w:eastAsia="Arial"/>
                <w:b w:val="0"/>
                <w:sz w:val="16"/>
              </w:rPr>
              <w:t>Aggregation, conflict detection, Neo4j import, analytics, visualisation; interim draft</w:t>
            </w:r>
          </w:p>
        </w:tc>
        <w:tc>
          <w:tcPr>
            <w:tcW w:type="dxa" w:w="3231"/>
            <w:vAlign w:val="center"/>
            <w:tcMar>
              <w:top w:w="80" w:type="dxa"/>
              <w:start w:w="90" w:type="dxa"/>
              <w:bottom w:w="80" w:type="dxa"/>
              <w:end w:w="90" w:type="dxa"/>
            </w:tcMar>
          </w:tcPr>
          <w:p>
            <w:r>
              <w:rPr>
                <w:rFonts w:ascii="Arial" w:hAnsi="Arial" w:eastAsia="Arial"/>
                <w:b w:val="0"/>
                <w:sz w:val="16"/>
              </w:rPr>
              <w:t>Fused graph; conflict set; topology metrics; viewer</w:t>
            </w:r>
          </w:p>
        </w:tc>
      </w:tr>
      <w:tr>
        <w:tc>
          <w:tcPr>
            <w:tcW w:type="dxa" w:w="1757"/>
            <w:vAlign w:val="center"/>
            <w:shd w:fill="F3F6F8"/>
            <w:tcMar>
              <w:top w:w="80" w:type="dxa"/>
              <w:start w:w="90" w:type="dxa"/>
              <w:bottom w:w="80" w:type="dxa"/>
              <w:end w:w="90" w:type="dxa"/>
            </w:tcMar>
          </w:tcPr>
          <w:p>
            <w:r>
              <w:rPr>
                <w:rFonts w:ascii="Arial" w:hAnsi="Arial" w:eastAsia="Arial"/>
                <w:b w:val="0"/>
                <w:sz w:val="16"/>
              </w:rPr>
              <w:t>01–08 Jan 2027</w:t>
            </w:r>
          </w:p>
        </w:tc>
        <w:tc>
          <w:tcPr>
            <w:tcW w:type="dxa" w:w="4932"/>
            <w:vAlign w:val="center"/>
            <w:shd w:fill="F3F6F8"/>
            <w:tcMar>
              <w:top w:w="80" w:type="dxa"/>
              <w:start w:w="90" w:type="dxa"/>
              <w:bottom w:w="80" w:type="dxa"/>
              <w:end w:w="90" w:type="dxa"/>
            </w:tcMar>
          </w:tcPr>
          <w:p>
            <w:r>
              <w:rPr>
                <w:rFonts w:ascii="Arial" w:hAnsi="Arial" w:eastAsia="Arial"/>
                <w:b w:val="0"/>
                <w:sz w:val="16"/>
              </w:rPr>
              <w:t>Reproduce initial results and submit interim report and second logbook</w:t>
            </w:r>
          </w:p>
        </w:tc>
        <w:tc>
          <w:tcPr>
            <w:tcW w:type="dxa" w:w="3231"/>
            <w:vAlign w:val="center"/>
            <w:shd w:fill="F3F6F8"/>
            <w:tcMar>
              <w:top w:w="80" w:type="dxa"/>
              <w:start w:w="90" w:type="dxa"/>
              <w:bottom w:w="80" w:type="dxa"/>
              <w:end w:w="90" w:type="dxa"/>
            </w:tcMar>
          </w:tcPr>
          <w:p>
            <w:r>
              <w:rPr>
                <w:rFonts w:ascii="Arial" w:hAnsi="Arial" w:eastAsia="Arial"/>
                <w:b w:val="0"/>
                <w:sz w:val="16"/>
              </w:rPr>
              <w:t>Interim package and revised Gantt</w:t>
            </w:r>
          </w:p>
        </w:tc>
      </w:tr>
      <w:tr>
        <w:tc>
          <w:tcPr>
            <w:tcW w:type="dxa" w:w="1757"/>
            <w:vAlign w:val="center"/>
            <w:tcMar>
              <w:top w:w="80" w:type="dxa"/>
              <w:start w:w="90" w:type="dxa"/>
              <w:bottom w:w="80" w:type="dxa"/>
              <w:end w:w="90" w:type="dxa"/>
            </w:tcMar>
          </w:tcPr>
          <w:p>
            <w:r>
              <w:rPr>
                <w:rFonts w:ascii="Arial" w:hAnsi="Arial" w:eastAsia="Arial"/>
                <w:b w:val="0"/>
                <w:sz w:val="16"/>
              </w:rPr>
              <w:t>11–22 Jan 2027</w:t>
            </w:r>
          </w:p>
        </w:tc>
        <w:tc>
          <w:tcPr>
            <w:tcW w:type="dxa" w:w="4932"/>
            <w:vAlign w:val="center"/>
            <w:tcMar>
              <w:top w:w="80" w:type="dxa"/>
              <w:start w:w="90" w:type="dxa"/>
              <w:bottom w:w="80" w:type="dxa"/>
              <w:end w:w="90" w:type="dxa"/>
            </w:tcMar>
          </w:tcPr>
          <w:p>
            <w:r>
              <w:rPr>
                <w:rFonts w:ascii="Arial" w:hAnsi="Arial" w:eastAsia="Arial"/>
                <w:b w:val="0"/>
                <w:sz w:val="16"/>
              </w:rPr>
              <w:t>Interim presentation and feedback response</w:t>
            </w:r>
          </w:p>
        </w:tc>
        <w:tc>
          <w:tcPr>
            <w:tcW w:type="dxa" w:w="3231"/>
            <w:vAlign w:val="center"/>
            <w:tcMar>
              <w:top w:w="80" w:type="dxa"/>
              <w:start w:w="90" w:type="dxa"/>
              <w:bottom w:w="80" w:type="dxa"/>
              <w:end w:w="90" w:type="dxa"/>
            </w:tcMar>
          </w:tcPr>
          <w:p>
            <w:r>
              <w:rPr>
                <w:rFonts w:ascii="Arial" w:hAnsi="Arial" w:eastAsia="Arial"/>
                <w:b w:val="0"/>
                <w:sz w:val="16"/>
              </w:rPr>
              <w:t>Presentation, Q&amp;A record and action list</w:t>
            </w:r>
          </w:p>
        </w:tc>
      </w:tr>
      <w:tr>
        <w:tc>
          <w:tcPr>
            <w:tcW w:type="dxa" w:w="1757"/>
            <w:vAlign w:val="center"/>
            <w:shd w:fill="F3F6F8"/>
            <w:tcMar>
              <w:top w:w="80" w:type="dxa"/>
              <w:start w:w="90" w:type="dxa"/>
              <w:bottom w:w="80" w:type="dxa"/>
              <w:end w:w="90" w:type="dxa"/>
            </w:tcMar>
          </w:tcPr>
          <w:p>
            <w:r>
              <w:rPr>
                <w:rFonts w:ascii="Arial" w:hAnsi="Arial" w:eastAsia="Arial"/>
                <w:b w:val="0"/>
                <w:sz w:val="16"/>
              </w:rPr>
              <w:t>23 Jan–14 Feb</w:t>
            </w:r>
          </w:p>
        </w:tc>
        <w:tc>
          <w:tcPr>
            <w:tcW w:type="dxa" w:w="4932"/>
            <w:vAlign w:val="center"/>
            <w:shd w:fill="F3F6F8"/>
            <w:tcMar>
              <w:top w:w="80" w:type="dxa"/>
              <w:start w:w="90" w:type="dxa"/>
              <w:bottom w:w="80" w:type="dxa"/>
              <w:end w:w="90" w:type="dxa"/>
            </w:tcMar>
          </w:tcPr>
          <w:p>
            <w:r>
              <w:rPr>
                <w:rFonts w:ascii="Arial" w:hAnsi="Arial" w:eastAsia="Arial"/>
                <w:b w:val="0"/>
                <w:sz w:val="16"/>
              </w:rPr>
              <w:t>Human review of 400 triples; 80 double reviews</w:t>
            </w:r>
          </w:p>
        </w:tc>
        <w:tc>
          <w:tcPr>
            <w:tcW w:type="dxa" w:w="3231"/>
            <w:vAlign w:val="center"/>
            <w:shd w:fill="F3F6F8"/>
            <w:tcMar>
              <w:top w:w="80" w:type="dxa"/>
              <w:start w:w="90" w:type="dxa"/>
              <w:bottom w:w="80" w:type="dxa"/>
              <w:end w:w="90" w:type="dxa"/>
            </w:tcMar>
          </w:tcPr>
          <w:p>
            <w:r>
              <w:rPr>
                <w:rFonts w:ascii="Arial" w:hAnsi="Arial" w:eastAsia="Arial"/>
                <w:b w:val="0"/>
                <w:sz w:val="16"/>
              </w:rPr>
              <w:t>Gold labels, agreement, precision/support and errors</w:t>
            </w:r>
          </w:p>
        </w:tc>
      </w:tr>
      <w:tr>
        <w:tc>
          <w:tcPr>
            <w:tcW w:type="dxa" w:w="1757"/>
            <w:vAlign w:val="center"/>
            <w:tcMar>
              <w:top w:w="80" w:type="dxa"/>
              <w:start w:w="90" w:type="dxa"/>
              <w:bottom w:w="80" w:type="dxa"/>
              <w:end w:w="90" w:type="dxa"/>
            </w:tcMar>
          </w:tcPr>
          <w:p>
            <w:r>
              <w:rPr>
                <w:rFonts w:ascii="Arial" w:hAnsi="Arial" w:eastAsia="Arial"/>
                <w:b w:val="0"/>
                <w:sz w:val="16"/>
              </w:rPr>
              <w:t>15 Feb–07 Mar</w:t>
            </w:r>
          </w:p>
        </w:tc>
        <w:tc>
          <w:tcPr>
            <w:tcW w:type="dxa" w:w="4932"/>
            <w:vAlign w:val="center"/>
            <w:tcMar>
              <w:top w:w="80" w:type="dxa"/>
              <w:start w:w="90" w:type="dxa"/>
              <w:bottom w:w="80" w:type="dxa"/>
              <w:end w:w="90" w:type="dxa"/>
            </w:tcMar>
          </w:tcPr>
          <w:p>
            <w:r>
              <w:rPr>
                <w:rFonts w:ascii="Arial" w:hAnsi="Arial" w:eastAsia="Arial"/>
                <w:b w:val="0"/>
                <w:sz w:val="16"/>
              </w:rPr>
              <w:t>Innovation 1: evidence-span validation</w:t>
            </w:r>
          </w:p>
        </w:tc>
        <w:tc>
          <w:tcPr>
            <w:tcW w:type="dxa" w:w="3231"/>
            <w:vAlign w:val="center"/>
            <w:tcMar>
              <w:top w:w="80" w:type="dxa"/>
              <w:start w:w="90" w:type="dxa"/>
              <w:bottom w:w="80" w:type="dxa"/>
              <w:end w:w="90" w:type="dxa"/>
            </w:tcMar>
          </w:tcPr>
          <w:p>
            <w:r>
              <w:rPr>
                <w:rFonts w:ascii="Arial" w:hAnsi="Arial" w:eastAsia="Arial"/>
                <w:b w:val="0"/>
                <w:sz w:val="16"/>
              </w:rPr>
              <w:t>Implementation, tests and validation metrics</w:t>
            </w:r>
          </w:p>
        </w:tc>
      </w:tr>
      <w:tr>
        <w:tc>
          <w:tcPr>
            <w:tcW w:type="dxa" w:w="1757"/>
            <w:vAlign w:val="center"/>
            <w:shd w:fill="F3F6F8"/>
            <w:tcMar>
              <w:top w:w="80" w:type="dxa"/>
              <w:start w:w="90" w:type="dxa"/>
              <w:bottom w:w="80" w:type="dxa"/>
              <w:end w:w="90" w:type="dxa"/>
            </w:tcMar>
          </w:tcPr>
          <w:p>
            <w:r>
              <w:rPr>
                <w:rFonts w:ascii="Arial" w:hAnsi="Arial" w:eastAsia="Arial"/>
                <w:b w:val="0"/>
                <w:sz w:val="16"/>
              </w:rPr>
              <w:t>08–21 Mar</w:t>
            </w:r>
          </w:p>
        </w:tc>
        <w:tc>
          <w:tcPr>
            <w:tcW w:type="dxa" w:w="4932"/>
            <w:vAlign w:val="center"/>
            <w:shd w:fill="F3F6F8"/>
            <w:tcMar>
              <w:top w:w="80" w:type="dxa"/>
              <w:start w:w="90" w:type="dxa"/>
              <w:bottom w:w="80" w:type="dxa"/>
              <w:end w:w="90" w:type="dxa"/>
            </w:tcMar>
          </w:tcPr>
          <w:p>
            <w:r>
              <w:rPr>
                <w:rFonts w:ascii="Arial" w:hAnsi="Arial" w:eastAsia="Arial"/>
                <w:b w:val="0"/>
                <w:sz w:val="16"/>
              </w:rPr>
              <w:t>Innovation 2: GraphRAG</w:t>
            </w:r>
          </w:p>
        </w:tc>
        <w:tc>
          <w:tcPr>
            <w:tcW w:type="dxa" w:w="3231"/>
            <w:vAlign w:val="center"/>
            <w:shd w:fill="F3F6F8"/>
            <w:tcMar>
              <w:top w:w="80" w:type="dxa"/>
              <w:start w:w="90" w:type="dxa"/>
              <w:bottom w:w="80" w:type="dxa"/>
              <w:end w:w="90" w:type="dxa"/>
            </w:tcMar>
          </w:tcPr>
          <w:p>
            <w:r>
              <w:rPr>
                <w:rFonts w:ascii="Arial" w:hAnsi="Arial" w:eastAsia="Arial"/>
                <w:b w:val="0"/>
                <w:sz w:val="16"/>
              </w:rPr>
              <w:t>Retriever/generator, QA set and baseline comparison</w:t>
            </w:r>
          </w:p>
        </w:tc>
      </w:tr>
      <w:tr>
        <w:tc>
          <w:tcPr>
            <w:tcW w:type="dxa" w:w="1757"/>
            <w:vAlign w:val="center"/>
            <w:tcMar>
              <w:top w:w="80" w:type="dxa"/>
              <w:start w:w="90" w:type="dxa"/>
              <w:bottom w:w="80" w:type="dxa"/>
              <w:end w:w="90" w:type="dxa"/>
            </w:tcMar>
          </w:tcPr>
          <w:p>
            <w:r>
              <w:rPr>
                <w:rFonts w:ascii="Arial" w:hAnsi="Arial" w:eastAsia="Arial"/>
                <w:b w:val="0"/>
                <w:sz w:val="16"/>
              </w:rPr>
              <w:t>22 Mar–04 Apr</w:t>
            </w:r>
          </w:p>
        </w:tc>
        <w:tc>
          <w:tcPr>
            <w:tcW w:type="dxa" w:w="4932"/>
            <w:vAlign w:val="center"/>
            <w:tcMar>
              <w:top w:w="80" w:type="dxa"/>
              <w:start w:w="90" w:type="dxa"/>
              <w:bottom w:w="80" w:type="dxa"/>
              <w:end w:w="90" w:type="dxa"/>
            </w:tcMar>
          </w:tcPr>
          <w:p>
            <w:r>
              <w:rPr>
                <w:rFonts w:ascii="Arial" w:hAnsi="Arial" w:eastAsia="Arial"/>
                <w:b w:val="0"/>
                <w:sz w:val="16"/>
              </w:rPr>
              <w:t>Innovations 3–4: citation and claim–evidence validation</w:t>
            </w:r>
          </w:p>
        </w:tc>
        <w:tc>
          <w:tcPr>
            <w:tcW w:type="dxa" w:w="3231"/>
            <w:vAlign w:val="center"/>
            <w:tcMar>
              <w:top w:w="80" w:type="dxa"/>
              <w:start w:w="90" w:type="dxa"/>
              <w:bottom w:w="80" w:type="dxa"/>
              <w:end w:w="90" w:type="dxa"/>
            </w:tcMar>
          </w:tcPr>
          <w:p>
            <w:r>
              <w:rPr>
                <w:rFonts w:ascii="Arial" w:hAnsi="Arial" w:eastAsia="Arial"/>
                <w:b w:val="0"/>
                <w:sz w:val="16"/>
              </w:rPr>
              <w:t>Grounding metrics and ablation results</w:t>
            </w:r>
          </w:p>
        </w:tc>
      </w:tr>
      <w:tr>
        <w:tc>
          <w:tcPr>
            <w:tcW w:type="dxa" w:w="1757"/>
            <w:vAlign w:val="center"/>
            <w:shd w:fill="F3F6F8"/>
            <w:tcMar>
              <w:top w:w="80" w:type="dxa"/>
              <w:start w:w="90" w:type="dxa"/>
              <w:bottom w:w="80" w:type="dxa"/>
              <w:end w:w="90" w:type="dxa"/>
            </w:tcMar>
          </w:tcPr>
          <w:p>
            <w:r>
              <w:rPr>
                <w:rFonts w:ascii="Arial" w:hAnsi="Arial" w:eastAsia="Arial"/>
                <w:b w:val="0"/>
                <w:sz w:val="16"/>
              </w:rPr>
              <w:t>05–16 Apr</w:t>
            </w:r>
          </w:p>
        </w:tc>
        <w:tc>
          <w:tcPr>
            <w:tcW w:type="dxa" w:w="4932"/>
            <w:vAlign w:val="center"/>
            <w:shd w:fill="F3F6F8"/>
            <w:tcMar>
              <w:top w:w="80" w:type="dxa"/>
              <w:start w:w="90" w:type="dxa"/>
              <w:bottom w:w="80" w:type="dxa"/>
              <w:end w:w="90" w:type="dxa"/>
            </w:tcMar>
          </w:tcPr>
          <w:p>
            <w:r>
              <w:rPr>
                <w:rFonts w:ascii="Arial" w:hAnsi="Arial" w:eastAsia="Arial"/>
                <w:b w:val="0"/>
                <w:sz w:val="16"/>
              </w:rPr>
              <w:t>Final reruns, figures, poster and oral rehearsal</w:t>
            </w:r>
          </w:p>
        </w:tc>
        <w:tc>
          <w:tcPr>
            <w:tcW w:type="dxa" w:w="3231"/>
            <w:vAlign w:val="center"/>
            <w:shd w:fill="F3F6F8"/>
            <w:tcMar>
              <w:top w:w="80" w:type="dxa"/>
              <w:start w:w="90" w:type="dxa"/>
              <w:bottom w:w="80" w:type="dxa"/>
              <w:end w:w="90" w:type="dxa"/>
            </w:tcMar>
          </w:tcPr>
          <w:p>
            <w:r>
              <w:rPr>
                <w:rFonts w:ascii="Arial" w:hAnsi="Arial" w:eastAsia="Arial"/>
                <w:b w:val="0"/>
                <w:sz w:val="16"/>
              </w:rPr>
              <w:t>Frozen results and poster submission</w:t>
            </w:r>
          </w:p>
        </w:tc>
      </w:tr>
      <w:tr>
        <w:tc>
          <w:tcPr>
            <w:tcW w:type="dxa" w:w="1757"/>
            <w:vAlign w:val="center"/>
            <w:tcMar>
              <w:top w:w="80" w:type="dxa"/>
              <w:start w:w="90" w:type="dxa"/>
              <w:bottom w:w="80" w:type="dxa"/>
              <w:end w:w="90" w:type="dxa"/>
            </w:tcMar>
          </w:tcPr>
          <w:p>
            <w:r>
              <w:rPr>
                <w:rFonts w:ascii="Arial" w:hAnsi="Arial" w:eastAsia="Arial"/>
                <w:b w:val="0"/>
                <w:sz w:val="16"/>
              </w:rPr>
              <w:t>19–21 Apr</w:t>
            </w:r>
          </w:p>
        </w:tc>
        <w:tc>
          <w:tcPr>
            <w:tcW w:type="dxa" w:w="4932"/>
            <w:vAlign w:val="center"/>
            <w:tcMar>
              <w:top w:w="80" w:type="dxa"/>
              <w:start w:w="90" w:type="dxa"/>
              <w:bottom w:w="80" w:type="dxa"/>
              <w:end w:w="90" w:type="dxa"/>
            </w:tcMar>
          </w:tcPr>
          <w:p>
            <w:r>
              <w:rPr>
                <w:rFonts w:ascii="Arial" w:hAnsi="Arial" w:eastAsia="Arial"/>
                <w:b w:val="0"/>
                <w:sz w:val="16"/>
              </w:rPr>
              <w:t>Poster-based oral assessment</w:t>
            </w:r>
          </w:p>
        </w:tc>
        <w:tc>
          <w:tcPr>
            <w:tcW w:type="dxa" w:w="3231"/>
            <w:vAlign w:val="center"/>
            <w:tcMar>
              <w:top w:w="80" w:type="dxa"/>
              <w:start w:w="90" w:type="dxa"/>
              <w:bottom w:w="80" w:type="dxa"/>
              <w:end w:w="90" w:type="dxa"/>
            </w:tcMar>
          </w:tcPr>
          <w:p>
            <w:r>
              <w:rPr>
                <w:rFonts w:ascii="Arial" w:hAnsi="Arial" w:eastAsia="Arial"/>
                <w:b w:val="0"/>
                <w:sz w:val="16"/>
              </w:rPr>
              <w:t>Panel feedback and report actions</w:t>
            </w:r>
          </w:p>
        </w:tc>
      </w:tr>
      <w:tr>
        <w:tc>
          <w:tcPr>
            <w:tcW w:type="dxa" w:w="1757"/>
            <w:vAlign w:val="center"/>
            <w:shd w:fill="F3F6F8"/>
            <w:tcMar>
              <w:top w:w="80" w:type="dxa"/>
              <w:start w:w="90" w:type="dxa"/>
              <w:bottom w:w="80" w:type="dxa"/>
              <w:end w:w="90" w:type="dxa"/>
            </w:tcMar>
          </w:tcPr>
          <w:p>
            <w:r>
              <w:rPr>
                <w:rFonts w:ascii="Arial" w:hAnsi="Arial" w:eastAsia="Arial"/>
                <w:b w:val="0"/>
                <w:sz w:val="16"/>
              </w:rPr>
              <w:t>22–28 Apr</w:t>
            </w:r>
          </w:p>
        </w:tc>
        <w:tc>
          <w:tcPr>
            <w:tcW w:type="dxa" w:w="4932"/>
            <w:vAlign w:val="center"/>
            <w:shd w:fill="F3F6F8"/>
            <w:tcMar>
              <w:top w:w="80" w:type="dxa"/>
              <w:start w:w="90" w:type="dxa"/>
              <w:bottom w:w="80" w:type="dxa"/>
              <w:end w:w="90" w:type="dxa"/>
            </w:tcMar>
          </w:tcPr>
          <w:p>
            <w:r>
              <w:rPr>
                <w:rFonts w:ascii="Arial" w:hAnsi="Arial" w:eastAsia="Arial"/>
                <w:b w:val="0"/>
                <w:sz w:val="16"/>
              </w:rPr>
              <w:t>Final dissertation, third logbook and code archive; internal deadline</w:t>
            </w:r>
          </w:p>
        </w:tc>
        <w:tc>
          <w:tcPr>
            <w:tcW w:type="dxa" w:w="3231"/>
            <w:vAlign w:val="center"/>
            <w:shd w:fill="F3F6F8"/>
            <w:tcMar>
              <w:top w:w="80" w:type="dxa"/>
              <w:start w:w="90" w:type="dxa"/>
              <w:bottom w:w="80" w:type="dxa"/>
              <w:end w:w="90" w:type="dxa"/>
            </w:tcMar>
          </w:tcPr>
          <w:p>
            <w:r>
              <w:rPr>
                <w:rFonts w:ascii="Arial" w:hAnsi="Arial" w:eastAsia="Arial"/>
                <w:b w:val="0"/>
                <w:sz w:val="16"/>
              </w:rPr>
              <w:t>Complete submission package by 28 April</w:t>
            </w:r>
          </w:p>
        </w:tc>
      </w:tr>
      <w:tr>
        <w:tc>
          <w:tcPr>
            <w:tcW w:type="dxa" w:w="1757"/>
            <w:vAlign w:val="center"/>
            <w:tcMar>
              <w:top w:w="80" w:type="dxa"/>
              <w:start w:w="90" w:type="dxa"/>
              <w:bottom w:w="80" w:type="dxa"/>
              <w:end w:w="90" w:type="dxa"/>
            </w:tcMar>
          </w:tcPr>
          <w:p>
            <w:r>
              <w:rPr>
                <w:rFonts w:ascii="Arial" w:hAnsi="Arial" w:eastAsia="Arial"/>
                <w:b w:val="0"/>
                <w:sz w:val="16"/>
              </w:rPr>
              <w:t>29–30 Apr</w:t>
            </w:r>
          </w:p>
        </w:tc>
        <w:tc>
          <w:tcPr>
            <w:tcW w:type="dxa" w:w="4932"/>
            <w:vAlign w:val="center"/>
            <w:tcMar>
              <w:top w:w="80" w:type="dxa"/>
              <w:start w:w="90" w:type="dxa"/>
              <w:bottom w:w="80" w:type="dxa"/>
              <w:end w:w="90" w:type="dxa"/>
            </w:tcMar>
          </w:tcPr>
          <w:p>
            <w:r>
              <w:rPr>
                <w:rFonts w:ascii="Arial" w:hAnsi="Arial" w:eastAsia="Arial"/>
                <w:b w:val="0"/>
                <w:sz w:val="16"/>
              </w:rPr>
              <w:t>Contingency only if official systems confirm 30 April</w:t>
            </w:r>
          </w:p>
        </w:tc>
        <w:tc>
          <w:tcPr>
            <w:tcW w:type="dxa" w:w="3231"/>
            <w:vAlign w:val="center"/>
            <w:tcMar>
              <w:top w:w="80" w:type="dxa"/>
              <w:start w:w="90" w:type="dxa"/>
              <w:bottom w:w="80" w:type="dxa"/>
              <w:end w:w="90" w:type="dxa"/>
            </w:tcMar>
          </w:tcPr>
          <w:p>
            <w:r>
              <w:rPr>
                <w:rFonts w:ascii="Arial" w:hAnsi="Arial" w:eastAsia="Arial"/>
                <w:b w:val="0"/>
                <w:sz w:val="16"/>
              </w:rPr>
              <w:t>Upload receipt and archive</w:t>
            </w:r>
          </w:p>
        </w:tc>
      </w:tr>
    </w:tbl>
    <w:p>
      <w:pPr>
        <w:pStyle w:val="2"/>
      </w:pPr>
      <w:r>
        <w:t>Project Outline</w:t>
      </w:r>
    </w:p>
    <w:p>
      <w:pPr>
        <w:spacing w:after="80"/>
      </w:pPr>
      <w:r>
        <w:rPr>
          <w:rFonts w:ascii="Arial" w:hAnsi="Arial" w:eastAsia="Arial"/>
          <w:b w:val="0"/>
          <w:sz w:val="18"/>
        </w:rPr>
        <w:t>The critical path is acquisition → extraction → validation/fusion → graph → human evaluation → evidence-grounded retrieval and answer validation. Human annotation is scheduled before the innovation evaluation so that thresholds and conclusions are anchored in independently reviewed evidence. The four innovation modules will be reported together as Original Contribution, but each will retain a separate completion status and metric. The internal final deadline is 28 April 2027 because the supplied timeline and handbook disagree; the live Moodle/FYP System notice will determine the formal deadline.</w:t>
      </w:r>
    </w:p>
    <w:p>
      <w:r>
        <w:rPr>
          <w:rFonts w:ascii="Arial" w:hAnsi="Arial" w:eastAsia="Arial"/>
          <w:b/>
          <w:sz w:val="18"/>
        </w:rPr>
        <w:t xml:space="preserve">Resources: </w:t>
      </w:r>
      <w:r>
        <w:rPr>
          <w:rFonts w:ascii="Arial" w:hAnsi="Arial" w:eastAsia="Arial"/>
          <w:b w:val="0"/>
          <w:sz w:val="18"/>
        </w:rPr>
        <w:t>Existing computer, Python/Conda environment, public data, Neo4j and approved API access. No component purchase or reimbursement request is currently required.</w:t>
      </w:r>
    </w:p>
    <w:p>
      <w:r>
        <w:rPr>
          <w:rFonts w:ascii="Arial" w:hAnsi="Arial" w:eastAsia="Arial"/>
          <w:b/>
          <w:sz w:val="18"/>
        </w:rPr>
        <w:t xml:space="preserve">Risk Assessment: </w:t>
      </w:r>
      <w:r>
        <w:rPr>
          <w:rFonts w:ascii="Arial" w:hAnsi="Arial" w:eastAsia="Arial"/>
          <w:b w:val="0"/>
          <w:sz w:val="18"/>
        </w:rPr>
        <w:t>A completed draft is supplied separately and must be checked and signed by the student and first supervisor before submission.</w:t>
      </w:r>
    </w:p>
    <w:sectPr w:rsidR="00041BE9" w:rsidSect="00A0441B">
      <w:headerReference w:type="default" r:id="rId7"/>
      <w:footerReference w:type="default" r:id="rId8"/>
      <w:pgSz w:w="11906" w:h="16838" w:code="9"/>
      <w:pgMar w:top="879" w:right="879" w:bottom="822" w:left="879" w:header="851" w:footer="45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C2A06A" w14:textId="77777777" w:rsidR="00551780" w:rsidRDefault="00551780">
      <w:r>
        <w:separator/>
      </w:r>
    </w:p>
  </w:endnote>
  <w:endnote w:type="continuationSeparator" w:id="0">
    <w:p w14:paraId="695B4F46" w14:textId="77777777" w:rsidR="00551780" w:rsidRDefault="005517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altName w:val="Malgun Gothic"/>
    <w:charset w:val="00"/>
    <w:family w:val="auto"/>
    <w:pitch w:val="variable"/>
    <w:sig w:usb0="00000003" w:usb1="500079DB" w:usb2="00000010" w:usb3="00000000" w:csb0="00000001"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B89B73" w14:textId="77777777" w:rsidR="008B4FDD" w:rsidRPr="00D91BF6" w:rsidRDefault="008B4FDD">
    <w:pPr>
      <w:pStyle w:val="a4"/>
      <w:jc w:val="center"/>
      <w:rPr>
        <w:rFonts w:ascii="Arial" w:hAnsi="Arial" w:cs="Arial"/>
      </w:rPr>
    </w:pPr>
    <w:r w:rsidRPr="00D91BF6">
      <w:rPr>
        <w:rFonts w:ascii="Arial" w:hAnsi="Arial" w:cs="Arial"/>
      </w:rPr>
      <w:t xml:space="preserve">Page </w:t>
    </w:r>
    <w:r w:rsidRPr="00D91BF6">
      <w:rPr>
        <w:rFonts w:ascii="Arial" w:hAnsi="Arial" w:cs="Arial"/>
      </w:rPr>
      <w:fldChar w:fldCharType="begin"/>
    </w:r>
    <w:r w:rsidRPr="00D91BF6">
      <w:rPr>
        <w:rFonts w:ascii="Arial" w:hAnsi="Arial" w:cs="Arial"/>
      </w:rPr>
      <w:instrText xml:space="preserve"> PAGE   \* MERGEFORMAT </w:instrText>
    </w:r>
    <w:r w:rsidRPr="00D91BF6">
      <w:rPr>
        <w:rFonts w:ascii="Arial" w:hAnsi="Arial" w:cs="Arial"/>
      </w:rPr>
      <w:fldChar w:fldCharType="separate"/>
    </w:r>
    <w:r w:rsidR="0041599F">
      <w:rPr>
        <w:rFonts w:ascii="Arial" w:hAnsi="Arial" w:cs="Arial"/>
        <w:noProof/>
      </w:rPr>
      <w:t>1</w:t>
    </w:r>
    <w:r w:rsidRPr="00D91BF6">
      <w:rPr>
        <w:rFonts w:ascii="Arial" w:hAnsi="Arial" w:cs="Arial"/>
      </w:rPr>
      <w:fldChar w:fldCharType="end"/>
    </w:r>
  </w:p>
  <w:p w14:paraId="25307D92" w14:textId="77777777" w:rsidR="008B4FDD" w:rsidRDefault="008B4FDD" w:rsidP="000D50BE">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ABECCC" w14:textId="77777777" w:rsidR="00551780" w:rsidRDefault="00551780">
      <w:r>
        <w:separator/>
      </w:r>
    </w:p>
  </w:footnote>
  <w:footnote w:type="continuationSeparator" w:id="0">
    <w:p w14:paraId="7CFFA531" w14:textId="77777777" w:rsidR="00551780" w:rsidRDefault="005517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5F271B" w14:textId="77777777" w:rsidR="008F2F59" w:rsidRPr="0097780B" w:rsidRDefault="00007B9F" w:rsidP="006A14C1">
    <w:pPr>
      <w:pStyle w:val="a3"/>
      <w:pBdr>
        <w:bottom w:val="single" w:sz="4" w:space="10" w:color="auto"/>
      </w:pBdr>
      <w:jc w:val="left"/>
      <w:rPr>
        <w:rFonts w:ascii="Arial Narrow" w:hAnsi="Arial Narrow"/>
        <w:sz w:val="44"/>
        <w:szCs w:val="44"/>
      </w:rPr>
    </w:pPr>
    <w:r w:rsidRPr="0097780B">
      <w:rPr>
        <w:rFonts w:ascii="Arial Narrow" w:hAnsi="Arial Narrow"/>
        <w:sz w:val="44"/>
        <w:szCs w:val="44"/>
      </w:rPr>
      <w:t>Glasgow College</w:t>
    </w:r>
    <w:r w:rsidR="00D6744E">
      <w:rPr>
        <w:rFonts w:ascii="Arial Narrow" w:hAnsi="Arial Narrow"/>
        <w:sz w:val="44"/>
        <w:szCs w:val="44"/>
      </w:rPr>
      <w:t xml:space="preserve"> H</w:t>
    </w:r>
    <w:r w:rsidR="00D6744E" w:rsidRPr="00D6744E">
      <w:rPr>
        <w:rFonts w:ascii="Arial Narrow" w:hAnsi="Arial Narrow" w:hint="eastAsia"/>
        <w:sz w:val="44"/>
        <w:szCs w:val="44"/>
      </w:rPr>
      <w:t>ainan</w:t>
    </w:r>
    <w:r w:rsidRPr="0097780B">
      <w:rPr>
        <w:rFonts w:ascii="Arial Narrow" w:hAnsi="Arial Narrow"/>
        <w:sz w:val="44"/>
        <w:szCs w:val="44"/>
      </w:rPr>
      <w:t>, UESTC</w:t>
    </w:r>
    <w:r w:rsidR="00F40A45" w:rsidRPr="0097780B">
      <w:rPr>
        <w:rFonts w:ascii="Arial Narrow" w:hAnsi="Arial Narrow"/>
        <w:b/>
        <w:sz w:val="44"/>
        <w:szCs w:val="44"/>
      </w:rPr>
      <w:t xml:space="preserve"> </w:t>
    </w:r>
    <w:r w:rsidR="00D6744E">
      <w:rPr>
        <w:rFonts w:ascii="Arial Narrow" w:hAnsi="Arial Narrow"/>
        <w:sz w:val="44"/>
        <w:szCs w:val="4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2.55pt;height:70pt">
          <v:imagedata r:id="rId1" o:title=""/>
        </v:shape>
      </w:pict>
    </w:r>
    <w:r w:rsidR="00F40A45" w:rsidRPr="0097780B">
      <w:rPr>
        <w:rFonts w:ascii="Arial Narrow" w:hAnsi="Arial Narrow"/>
        <w:b/>
        <w:sz w:val="44"/>
        <w:szCs w:val="44"/>
      </w:rPr>
      <w:t xml:space="preserve">    </w:t>
    </w:r>
    <w:r w:rsidR="00F40A45" w:rsidRPr="0097780B">
      <w:rPr>
        <w:b/>
        <w:color w:val="0000FF"/>
        <w:sz w:val="44"/>
        <w:szCs w:val="44"/>
      </w:rPr>
      <w:t xml:space="preserve">                                                                  </w:t>
    </w:r>
  </w:p>
  <w:p w14:paraId="176BE2F2" w14:textId="77777777" w:rsidR="008F2F59" w:rsidRPr="008F2F59" w:rsidRDefault="008F2F59" w:rsidP="006A14C1">
    <w:pPr>
      <w:pStyle w:val="a3"/>
      <w:pBdr>
        <w:bottom w:val="single" w:sz="4" w:space="10" w:color="auto"/>
      </w:pBdr>
      <w:jc w:val="left"/>
      <w:rPr>
        <w:rFonts w:ascii="Arial Narrow" w:hAnsi="Arial Narrow"/>
      </w:rPr>
    </w:pPr>
  </w:p>
  <w:p w14:paraId="20EE10DF" w14:textId="77777777" w:rsidR="008B4FDD" w:rsidRPr="0097780B" w:rsidRDefault="0097780B" w:rsidP="008F2F59">
    <w:pPr>
      <w:pStyle w:val="a3"/>
      <w:pBdr>
        <w:bottom w:val="single" w:sz="4" w:space="10" w:color="auto"/>
      </w:pBdr>
      <w:jc w:val="left"/>
      <w:rPr>
        <w:rFonts w:ascii="Arial Narrow" w:hAnsi="Arial Narrow"/>
        <w:color w:val="0000FF"/>
        <w:sz w:val="28"/>
        <w:szCs w:val="28"/>
      </w:rPr>
    </w:pPr>
    <w:r w:rsidRPr="0097780B">
      <w:rPr>
        <w:rFonts w:ascii="Arial Narrow" w:hAnsi="Arial Narrow"/>
        <w:sz w:val="28"/>
        <w:szCs w:val="28"/>
      </w:rPr>
      <w:t xml:space="preserve">Project </w:t>
    </w:r>
    <w:r w:rsidR="0054020D" w:rsidRPr="0097780B">
      <w:rPr>
        <w:rFonts w:ascii="Arial Narrow" w:hAnsi="Arial Narrow"/>
        <w:sz w:val="28"/>
        <w:szCs w:val="28"/>
      </w:rPr>
      <w:t>Specification</w:t>
    </w:r>
    <w:r w:rsidRPr="0097780B">
      <w:rPr>
        <w:rFonts w:ascii="Arial Narrow" w:hAnsi="Arial Narrow"/>
        <w:sz w:val="28"/>
        <w:szCs w:val="28"/>
      </w:rPr>
      <w:t>s and Preliminary</w:t>
    </w:r>
    <w:r w:rsidR="008F2F59" w:rsidRPr="0097780B">
      <w:rPr>
        <w:rFonts w:ascii="Arial Narrow" w:hAnsi="Arial Narrow"/>
        <w:sz w:val="28"/>
        <w:szCs w:val="28"/>
      </w:rPr>
      <w:t xml:space="preserve"> Report on </w:t>
    </w:r>
    <w:r w:rsidR="00007B9F" w:rsidRPr="0097780B">
      <w:rPr>
        <w:rFonts w:ascii="Arial Narrow" w:hAnsi="Arial Narrow"/>
        <w:sz w:val="28"/>
        <w:szCs w:val="28"/>
      </w:rPr>
      <w:t>UESTC</w:t>
    </w:r>
    <w:r w:rsidR="00D6744E">
      <w:rPr>
        <w:rFonts w:ascii="Arial Narrow" w:hAnsi="Arial Narrow"/>
        <w:sz w:val="28"/>
        <w:szCs w:val="28"/>
      </w:rPr>
      <w:t>HN</w:t>
    </w:r>
    <w:r w:rsidR="00007B9F" w:rsidRPr="0097780B">
      <w:rPr>
        <w:rFonts w:ascii="Arial Narrow" w:hAnsi="Arial Narrow"/>
        <w:sz w:val="28"/>
        <w:szCs w:val="28"/>
      </w:rPr>
      <w:t>400</w:t>
    </w:r>
    <w:r w:rsidR="00D6744E">
      <w:rPr>
        <w:rFonts w:ascii="Arial Narrow" w:hAnsi="Arial Narrow"/>
        <w:sz w:val="28"/>
        <w:szCs w:val="28"/>
      </w:rPr>
      <w:t>8</w:t>
    </w:r>
    <w:r w:rsidR="00007B9F" w:rsidRPr="0097780B">
      <w:rPr>
        <w:rFonts w:ascii="Arial Narrow" w:hAnsi="Arial Narrow"/>
        <w:sz w:val="28"/>
        <w:szCs w:val="28"/>
      </w:rPr>
      <w:t xml:space="preserve">P(BEng) </w:t>
    </w:r>
    <w:r w:rsidR="008F2F59" w:rsidRPr="0097780B">
      <w:rPr>
        <w:rFonts w:ascii="Arial Narrow" w:hAnsi="Arial Narrow"/>
        <w:sz w:val="28"/>
        <w:szCs w:val="28"/>
      </w:rPr>
      <w:t>Final Year Project</w:t>
    </w:r>
    <w:r w:rsidR="008B4FDD" w:rsidRPr="0097780B">
      <w:rPr>
        <w:rStyle w:val="a6"/>
        <w:sz w:val="28"/>
        <w:szCs w:val="28"/>
      </w:rPr>
      <w:tab/>
    </w:r>
    <w:r w:rsidR="008B4FDD" w:rsidRPr="0097780B">
      <w:rPr>
        <w:rStyle w:val="a6"/>
        <w:sz w:val="28"/>
        <w:szCs w:val="28"/>
      </w:rPr>
      <w:fldChar w:fldCharType="begin"/>
    </w:r>
    <w:r w:rsidR="008B4FDD" w:rsidRPr="0097780B">
      <w:rPr>
        <w:rStyle w:val="a6"/>
        <w:sz w:val="28"/>
        <w:szCs w:val="28"/>
      </w:rPr>
      <w:instrText xml:space="preserve"> SUBJECT  \* MERGEFORMAT </w:instrText>
    </w:r>
    <w:r w:rsidR="008B4FDD" w:rsidRPr="0097780B">
      <w:rPr>
        <w:rStyle w:val="a6"/>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1pt;height:11.1pt" o:bullet="t">
        <v:imagedata r:id="rId1" o:title="mso27A"/>
      </v:shape>
    </w:pict>
  </w:numPicBullet>
  <w:abstractNum w:abstractNumId="0" w15:restartNumberingAfterBreak="0">
    <w:nsid w:val="FFFFFF1D"/>
    <w:multiLevelType w:val="multilevel"/>
    <w:tmpl w:val="2D3CCAF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4056821"/>
    <w:multiLevelType w:val="hybridMultilevel"/>
    <w:tmpl w:val="5DB098A0"/>
    <w:lvl w:ilvl="0" w:tplc="BB683230">
      <w:start w:val="1"/>
      <w:numFmt w:val="decimal"/>
      <w:lvlText w:val="%1."/>
      <w:lvlJc w:val="left"/>
      <w:pPr>
        <w:tabs>
          <w:tab w:val="num" w:pos="360"/>
        </w:tabs>
        <w:ind w:left="360" w:hanging="360"/>
      </w:pPr>
      <w:rPr>
        <w:b/>
      </w:rPr>
    </w:lvl>
    <w:lvl w:ilvl="1" w:tplc="0409000F">
      <w:start w:val="1"/>
      <w:numFmt w:val="decimal"/>
      <w:lvlText w:val="%2."/>
      <w:lvlJc w:val="left"/>
      <w:pPr>
        <w:tabs>
          <w:tab w:val="num" w:pos="360"/>
        </w:tabs>
        <w:ind w:left="36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1AF678D3"/>
    <w:multiLevelType w:val="hybridMultilevel"/>
    <w:tmpl w:val="F2462346"/>
    <w:lvl w:ilvl="0" w:tplc="AFBC38C2">
      <w:numFmt w:val="bullet"/>
      <w:lvlText w:val=""/>
      <w:lvlJc w:val="left"/>
      <w:pPr>
        <w:ind w:left="720" w:hanging="360"/>
      </w:pPr>
      <w:rPr>
        <w:rFonts w:ascii="Symbol" w:eastAsia="Times New Roman" w:hAnsi="Symbol" w:cs="Helvetica Neue"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DA27CED"/>
    <w:multiLevelType w:val="hybridMultilevel"/>
    <w:tmpl w:val="E6BEB97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F90173C"/>
    <w:multiLevelType w:val="hybridMultilevel"/>
    <w:tmpl w:val="3244E84C"/>
    <w:lvl w:ilvl="0" w:tplc="B6600FB6">
      <w:start w:val="1"/>
      <w:numFmt w:val="bullet"/>
      <w:lvlText w:val=""/>
      <w:lvlJc w:val="left"/>
      <w:pPr>
        <w:tabs>
          <w:tab w:val="num" w:pos="357"/>
        </w:tabs>
        <w:ind w:left="567" w:hanging="207"/>
      </w:pPr>
      <w:rPr>
        <w:rFonts w:ascii="Symbol" w:hAnsi="Symbol" w:hint="default"/>
        <w:color w:val="auto"/>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6D539A5"/>
    <w:multiLevelType w:val="hybridMultilevel"/>
    <w:tmpl w:val="59DE1594"/>
    <w:lvl w:ilvl="0" w:tplc="B6600FB6">
      <w:start w:val="1"/>
      <w:numFmt w:val="bullet"/>
      <w:lvlText w:val=""/>
      <w:lvlJc w:val="left"/>
      <w:pPr>
        <w:tabs>
          <w:tab w:val="num" w:pos="357"/>
        </w:tabs>
        <w:ind w:left="567" w:hanging="207"/>
      </w:pPr>
      <w:rPr>
        <w:rFonts w:ascii="Symbol" w:hAnsi="Symbol" w:hint="default"/>
        <w:color w:val="auto"/>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BA57321"/>
    <w:multiLevelType w:val="hybridMultilevel"/>
    <w:tmpl w:val="ECA642C4"/>
    <w:lvl w:ilvl="0" w:tplc="BD92FE18">
      <w:start w:val="1"/>
      <w:numFmt w:val="decimal"/>
      <w:lvlText w:val="%1."/>
      <w:lvlJc w:val="left"/>
      <w:pPr>
        <w:ind w:left="720" w:hanging="360"/>
      </w:pPr>
      <w:rPr>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1DD0E63"/>
    <w:multiLevelType w:val="hybridMultilevel"/>
    <w:tmpl w:val="C8DACE4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4CEF31B4"/>
    <w:multiLevelType w:val="hybridMultilevel"/>
    <w:tmpl w:val="9136577A"/>
    <w:lvl w:ilvl="0" w:tplc="08090001">
      <w:start w:val="1"/>
      <w:numFmt w:val="bullet"/>
      <w:lvlText w:val=""/>
      <w:lvlJc w:val="left"/>
      <w:pPr>
        <w:ind w:left="1068" w:hanging="360"/>
      </w:pPr>
      <w:rPr>
        <w:rFonts w:ascii="Symbol" w:hAnsi="Symbol" w:hint="default"/>
      </w:rPr>
    </w:lvl>
    <w:lvl w:ilvl="1" w:tplc="08090003" w:tentative="1">
      <w:start w:val="1"/>
      <w:numFmt w:val="bullet"/>
      <w:lvlText w:val="o"/>
      <w:lvlJc w:val="left"/>
      <w:pPr>
        <w:ind w:left="1788" w:hanging="360"/>
      </w:pPr>
      <w:rPr>
        <w:rFonts w:ascii="Courier New" w:hAnsi="Courier New" w:cs="Courier New" w:hint="default"/>
      </w:rPr>
    </w:lvl>
    <w:lvl w:ilvl="2" w:tplc="08090005" w:tentative="1">
      <w:start w:val="1"/>
      <w:numFmt w:val="bullet"/>
      <w:lvlText w:val=""/>
      <w:lvlJc w:val="left"/>
      <w:pPr>
        <w:ind w:left="2508" w:hanging="360"/>
      </w:pPr>
      <w:rPr>
        <w:rFonts w:ascii="Wingdings" w:hAnsi="Wingdings" w:hint="default"/>
      </w:rPr>
    </w:lvl>
    <w:lvl w:ilvl="3" w:tplc="08090001" w:tentative="1">
      <w:start w:val="1"/>
      <w:numFmt w:val="bullet"/>
      <w:lvlText w:val=""/>
      <w:lvlJc w:val="left"/>
      <w:pPr>
        <w:ind w:left="3228" w:hanging="360"/>
      </w:pPr>
      <w:rPr>
        <w:rFonts w:ascii="Symbol" w:hAnsi="Symbol" w:hint="default"/>
      </w:rPr>
    </w:lvl>
    <w:lvl w:ilvl="4" w:tplc="08090003" w:tentative="1">
      <w:start w:val="1"/>
      <w:numFmt w:val="bullet"/>
      <w:lvlText w:val="o"/>
      <w:lvlJc w:val="left"/>
      <w:pPr>
        <w:ind w:left="3948" w:hanging="360"/>
      </w:pPr>
      <w:rPr>
        <w:rFonts w:ascii="Courier New" w:hAnsi="Courier New" w:cs="Courier New" w:hint="default"/>
      </w:rPr>
    </w:lvl>
    <w:lvl w:ilvl="5" w:tplc="08090005" w:tentative="1">
      <w:start w:val="1"/>
      <w:numFmt w:val="bullet"/>
      <w:lvlText w:val=""/>
      <w:lvlJc w:val="left"/>
      <w:pPr>
        <w:ind w:left="4668" w:hanging="360"/>
      </w:pPr>
      <w:rPr>
        <w:rFonts w:ascii="Wingdings" w:hAnsi="Wingdings" w:hint="default"/>
      </w:rPr>
    </w:lvl>
    <w:lvl w:ilvl="6" w:tplc="08090001" w:tentative="1">
      <w:start w:val="1"/>
      <w:numFmt w:val="bullet"/>
      <w:lvlText w:val=""/>
      <w:lvlJc w:val="left"/>
      <w:pPr>
        <w:ind w:left="5388" w:hanging="360"/>
      </w:pPr>
      <w:rPr>
        <w:rFonts w:ascii="Symbol" w:hAnsi="Symbol" w:hint="default"/>
      </w:rPr>
    </w:lvl>
    <w:lvl w:ilvl="7" w:tplc="08090003" w:tentative="1">
      <w:start w:val="1"/>
      <w:numFmt w:val="bullet"/>
      <w:lvlText w:val="o"/>
      <w:lvlJc w:val="left"/>
      <w:pPr>
        <w:ind w:left="6108" w:hanging="360"/>
      </w:pPr>
      <w:rPr>
        <w:rFonts w:ascii="Courier New" w:hAnsi="Courier New" w:cs="Courier New" w:hint="default"/>
      </w:rPr>
    </w:lvl>
    <w:lvl w:ilvl="8" w:tplc="08090005" w:tentative="1">
      <w:start w:val="1"/>
      <w:numFmt w:val="bullet"/>
      <w:lvlText w:val=""/>
      <w:lvlJc w:val="left"/>
      <w:pPr>
        <w:ind w:left="6828" w:hanging="360"/>
      </w:pPr>
      <w:rPr>
        <w:rFonts w:ascii="Wingdings" w:hAnsi="Wingdings" w:hint="default"/>
      </w:rPr>
    </w:lvl>
  </w:abstractNum>
  <w:abstractNum w:abstractNumId="9" w15:restartNumberingAfterBreak="0">
    <w:nsid w:val="4D1D1A12"/>
    <w:multiLevelType w:val="hybridMultilevel"/>
    <w:tmpl w:val="C51C36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253762B"/>
    <w:multiLevelType w:val="hybridMultilevel"/>
    <w:tmpl w:val="398C2DA2"/>
    <w:lvl w:ilvl="0" w:tplc="BD92FE18">
      <w:start w:val="1"/>
      <w:numFmt w:val="decimal"/>
      <w:lvlText w:val="%1."/>
      <w:lvlJc w:val="left"/>
      <w:pPr>
        <w:ind w:left="720" w:hanging="360"/>
      </w:pPr>
      <w:rPr>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8963A47"/>
    <w:multiLevelType w:val="hybridMultilevel"/>
    <w:tmpl w:val="D2B632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C3642AC"/>
    <w:multiLevelType w:val="hybridMultilevel"/>
    <w:tmpl w:val="EDDCBA9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E7A4007"/>
    <w:multiLevelType w:val="hybridMultilevel"/>
    <w:tmpl w:val="1A6E3A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F062333"/>
    <w:multiLevelType w:val="hybridMultilevel"/>
    <w:tmpl w:val="3CB8C57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17C233E"/>
    <w:multiLevelType w:val="hybridMultilevel"/>
    <w:tmpl w:val="6E10F208"/>
    <w:lvl w:ilvl="0" w:tplc="B052CD5A">
      <w:start w:val="1"/>
      <w:numFmt w:val="decimal"/>
      <w:lvlText w:val="%1."/>
      <w:lvlJc w:val="left"/>
      <w:pPr>
        <w:ind w:left="360" w:hanging="360"/>
      </w:pPr>
      <w:rPr>
        <w:rFonts w:hint="default"/>
        <w:b w:val="0"/>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62162D12"/>
    <w:multiLevelType w:val="hybridMultilevel"/>
    <w:tmpl w:val="890634DA"/>
    <w:lvl w:ilvl="0" w:tplc="AAC85954">
      <w:numFmt w:val="bullet"/>
      <w:lvlText w:val=""/>
      <w:lvlJc w:val="left"/>
      <w:pPr>
        <w:ind w:left="720" w:hanging="360"/>
      </w:pPr>
      <w:rPr>
        <w:rFonts w:ascii="Symbol" w:eastAsia="Times New Roman"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4A131B2"/>
    <w:multiLevelType w:val="hybridMultilevel"/>
    <w:tmpl w:val="881AF700"/>
    <w:lvl w:ilvl="0" w:tplc="0809000F">
      <w:start w:val="1"/>
      <w:numFmt w:val="decimal"/>
      <w:lvlText w:val="%1."/>
      <w:lvlJc w:val="left"/>
      <w:pPr>
        <w:ind w:left="780" w:hanging="360"/>
      </w:p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18" w15:restartNumberingAfterBreak="0">
    <w:nsid w:val="6C8442A5"/>
    <w:multiLevelType w:val="hybridMultilevel"/>
    <w:tmpl w:val="0914B1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F392D5F"/>
    <w:multiLevelType w:val="hybridMultilevel"/>
    <w:tmpl w:val="85C8C18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B4304F0"/>
    <w:multiLevelType w:val="hybridMultilevel"/>
    <w:tmpl w:val="352C678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7E1D62EF"/>
    <w:multiLevelType w:val="hybridMultilevel"/>
    <w:tmpl w:val="5BDEE2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99924620">
    <w:abstractNumId w:val="1"/>
  </w:num>
  <w:num w:numId="2" w16cid:durableId="624698074">
    <w:abstractNumId w:val="7"/>
  </w:num>
  <w:num w:numId="3" w16cid:durableId="793910477">
    <w:abstractNumId w:val="9"/>
  </w:num>
  <w:num w:numId="4" w16cid:durableId="367805556">
    <w:abstractNumId w:val="13"/>
  </w:num>
  <w:num w:numId="5" w16cid:durableId="1363282107">
    <w:abstractNumId w:val="15"/>
  </w:num>
  <w:num w:numId="6" w16cid:durableId="392626509">
    <w:abstractNumId w:val="11"/>
  </w:num>
  <w:num w:numId="7" w16cid:durableId="170339932">
    <w:abstractNumId w:val="4"/>
  </w:num>
  <w:num w:numId="8" w16cid:durableId="1046107118">
    <w:abstractNumId w:val="8"/>
  </w:num>
  <w:num w:numId="9" w16cid:durableId="458498964">
    <w:abstractNumId w:val="18"/>
  </w:num>
  <w:num w:numId="10" w16cid:durableId="710421953">
    <w:abstractNumId w:val="21"/>
  </w:num>
  <w:num w:numId="11" w16cid:durableId="176390115">
    <w:abstractNumId w:val="14"/>
  </w:num>
  <w:num w:numId="12" w16cid:durableId="1905408752">
    <w:abstractNumId w:val="12"/>
  </w:num>
  <w:num w:numId="13" w16cid:durableId="1512451901">
    <w:abstractNumId w:val="19"/>
  </w:num>
  <w:num w:numId="14" w16cid:durableId="2006471199">
    <w:abstractNumId w:val="20"/>
  </w:num>
  <w:num w:numId="15" w16cid:durableId="951520493">
    <w:abstractNumId w:val="17"/>
  </w:num>
  <w:num w:numId="16" w16cid:durableId="544214538">
    <w:abstractNumId w:val="6"/>
  </w:num>
  <w:num w:numId="17" w16cid:durableId="1491214417">
    <w:abstractNumId w:val="10"/>
  </w:num>
  <w:num w:numId="18" w16cid:durableId="1760786301">
    <w:abstractNumId w:val="5"/>
  </w:num>
  <w:num w:numId="19" w16cid:durableId="983192320">
    <w:abstractNumId w:val="3"/>
  </w:num>
  <w:num w:numId="20" w16cid:durableId="1829131862">
    <w:abstractNumId w:val="0"/>
  </w:num>
  <w:num w:numId="21" w16cid:durableId="1564441326">
    <w:abstractNumId w:val="16"/>
  </w:num>
  <w:num w:numId="22" w16cid:durableId="1460764548">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drawingGridHorizontalSpacing w:val="57"/>
  <w:drawingGridVerticalSpacing w:val="57"/>
  <w:displayHorizontalDrawingGridEvery w:val="0"/>
  <w:displayVerticalDrawingGridEvery w:val="0"/>
  <w:doNotUseMarginsForDrawingGridOrigin/>
  <w:drawingGridVerticalOrigin w:val="1985"/>
  <w:noPunctuationKerning/>
  <w:characterSpacingControl w:val="doNotCompress"/>
  <w:hdrShapeDefaults>
    <o:shapedefaults v:ext="edit" spidmax="3074" fillcolor="#009" strokecolor="#009">
      <v:fill color="#009" opacity="19661f" rotate="t"/>
      <v:stroke color="#009"/>
      <v:textbox inset="2.29236mm,1.1462mm,2.29236mm,1.1462mm"/>
      <o:colormru v:ext="edit" colors="#009,#33f,#f5f5f5,#ffc,#ffd,#bbe0e3,#f90,#006"/>
    </o:shapedefaults>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UzMjYwMzWxMDI0MjBU0lEKTi0uzszPAykwrAUAI16PYSwAAAA="/>
  </w:docVars>
  <w:rsids>
    <w:rsidRoot w:val="006F1E9D"/>
    <w:rsid w:val="00000E1E"/>
    <w:rsid w:val="00003AC7"/>
    <w:rsid w:val="00003EEC"/>
    <w:rsid w:val="000066C4"/>
    <w:rsid w:val="00006C45"/>
    <w:rsid w:val="00007B9F"/>
    <w:rsid w:val="00015027"/>
    <w:rsid w:val="0001562B"/>
    <w:rsid w:val="000233C0"/>
    <w:rsid w:val="00026412"/>
    <w:rsid w:val="000272B2"/>
    <w:rsid w:val="00035089"/>
    <w:rsid w:val="00041BE9"/>
    <w:rsid w:val="00042E40"/>
    <w:rsid w:val="00047343"/>
    <w:rsid w:val="00053E5D"/>
    <w:rsid w:val="00066849"/>
    <w:rsid w:val="00071D7C"/>
    <w:rsid w:val="00080BEE"/>
    <w:rsid w:val="00093988"/>
    <w:rsid w:val="000A4235"/>
    <w:rsid w:val="000A47CA"/>
    <w:rsid w:val="000A5E48"/>
    <w:rsid w:val="000A6F83"/>
    <w:rsid w:val="000B2A50"/>
    <w:rsid w:val="000B2D76"/>
    <w:rsid w:val="000B65E6"/>
    <w:rsid w:val="000C32C6"/>
    <w:rsid w:val="000C3B79"/>
    <w:rsid w:val="000C4517"/>
    <w:rsid w:val="000C7013"/>
    <w:rsid w:val="000D180A"/>
    <w:rsid w:val="000D50BE"/>
    <w:rsid w:val="000D6F82"/>
    <w:rsid w:val="000E3723"/>
    <w:rsid w:val="000E7914"/>
    <w:rsid w:val="000F41AA"/>
    <w:rsid w:val="00100E80"/>
    <w:rsid w:val="00103B00"/>
    <w:rsid w:val="0010403D"/>
    <w:rsid w:val="00105CEF"/>
    <w:rsid w:val="0010631E"/>
    <w:rsid w:val="001132C1"/>
    <w:rsid w:val="00114000"/>
    <w:rsid w:val="00114059"/>
    <w:rsid w:val="00132DF6"/>
    <w:rsid w:val="001331FF"/>
    <w:rsid w:val="00135692"/>
    <w:rsid w:val="00135B72"/>
    <w:rsid w:val="0013636E"/>
    <w:rsid w:val="00136761"/>
    <w:rsid w:val="00140BFC"/>
    <w:rsid w:val="00145079"/>
    <w:rsid w:val="00150ECA"/>
    <w:rsid w:val="0015533C"/>
    <w:rsid w:val="00155F16"/>
    <w:rsid w:val="0016052B"/>
    <w:rsid w:val="00160D9E"/>
    <w:rsid w:val="00162815"/>
    <w:rsid w:val="00165FCA"/>
    <w:rsid w:val="00167387"/>
    <w:rsid w:val="00172B29"/>
    <w:rsid w:val="00175D01"/>
    <w:rsid w:val="001A7244"/>
    <w:rsid w:val="001A7C3F"/>
    <w:rsid w:val="001B258E"/>
    <w:rsid w:val="001B2F0C"/>
    <w:rsid w:val="001B3C75"/>
    <w:rsid w:val="001B4F60"/>
    <w:rsid w:val="001B52CC"/>
    <w:rsid w:val="001C27F6"/>
    <w:rsid w:val="001C4234"/>
    <w:rsid w:val="001D00F6"/>
    <w:rsid w:val="001D6AD2"/>
    <w:rsid w:val="001F68C4"/>
    <w:rsid w:val="002016A5"/>
    <w:rsid w:val="00203C0B"/>
    <w:rsid w:val="0020540B"/>
    <w:rsid w:val="00213E34"/>
    <w:rsid w:val="00221F06"/>
    <w:rsid w:val="00226C99"/>
    <w:rsid w:val="002336A5"/>
    <w:rsid w:val="00233F7A"/>
    <w:rsid w:val="002341EB"/>
    <w:rsid w:val="00244381"/>
    <w:rsid w:val="00245214"/>
    <w:rsid w:val="00246A2A"/>
    <w:rsid w:val="00255DD0"/>
    <w:rsid w:val="00256747"/>
    <w:rsid w:val="002568AC"/>
    <w:rsid w:val="00262014"/>
    <w:rsid w:val="00263166"/>
    <w:rsid w:val="0026452F"/>
    <w:rsid w:val="00274A1E"/>
    <w:rsid w:val="00281CA5"/>
    <w:rsid w:val="00282A96"/>
    <w:rsid w:val="00285367"/>
    <w:rsid w:val="002865C0"/>
    <w:rsid w:val="00291D7E"/>
    <w:rsid w:val="00292C56"/>
    <w:rsid w:val="00294E90"/>
    <w:rsid w:val="002A2150"/>
    <w:rsid w:val="002A3D94"/>
    <w:rsid w:val="002A4714"/>
    <w:rsid w:val="002B1A82"/>
    <w:rsid w:val="002B2D41"/>
    <w:rsid w:val="002B4A6A"/>
    <w:rsid w:val="002B4C5C"/>
    <w:rsid w:val="002C69CD"/>
    <w:rsid w:val="002D6AAD"/>
    <w:rsid w:val="002E6DB2"/>
    <w:rsid w:val="002E75CF"/>
    <w:rsid w:val="002E7DB7"/>
    <w:rsid w:val="002F0DC8"/>
    <w:rsid w:val="002F0F79"/>
    <w:rsid w:val="002F2CC8"/>
    <w:rsid w:val="002F4A69"/>
    <w:rsid w:val="00300BC8"/>
    <w:rsid w:val="00306320"/>
    <w:rsid w:val="00307F6D"/>
    <w:rsid w:val="00311054"/>
    <w:rsid w:val="00320359"/>
    <w:rsid w:val="00330245"/>
    <w:rsid w:val="00337371"/>
    <w:rsid w:val="00342406"/>
    <w:rsid w:val="00346572"/>
    <w:rsid w:val="003468DE"/>
    <w:rsid w:val="00346D7C"/>
    <w:rsid w:val="00347221"/>
    <w:rsid w:val="00350F47"/>
    <w:rsid w:val="00354A23"/>
    <w:rsid w:val="00354B85"/>
    <w:rsid w:val="00355F31"/>
    <w:rsid w:val="00365A59"/>
    <w:rsid w:val="003754A5"/>
    <w:rsid w:val="00382885"/>
    <w:rsid w:val="003A1314"/>
    <w:rsid w:val="003A1578"/>
    <w:rsid w:val="003B003F"/>
    <w:rsid w:val="003B4FE9"/>
    <w:rsid w:val="003B62D7"/>
    <w:rsid w:val="003C091D"/>
    <w:rsid w:val="003C4172"/>
    <w:rsid w:val="003C6120"/>
    <w:rsid w:val="003D4AC4"/>
    <w:rsid w:val="003D5661"/>
    <w:rsid w:val="003E1575"/>
    <w:rsid w:val="003E6EEB"/>
    <w:rsid w:val="003E7750"/>
    <w:rsid w:val="003F05AA"/>
    <w:rsid w:val="003F331A"/>
    <w:rsid w:val="003F34ED"/>
    <w:rsid w:val="003F4420"/>
    <w:rsid w:val="0041599F"/>
    <w:rsid w:val="00416147"/>
    <w:rsid w:val="00421065"/>
    <w:rsid w:val="004220B2"/>
    <w:rsid w:val="00422B50"/>
    <w:rsid w:val="0043024E"/>
    <w:rsid w:val="0043375C"/>
    <w:rsid w:val="004374D9"/>
    <w:rsid w:val="00437EAB"/>
    <w:rsid w:val="00441B1D"/>
    <w:rsid w:val="00442328"/>
    <w:rsid w:val="004428FD"/>
    <w:rsid w:val="00443208"/>
    <w:rsid w:val="00444D75"/>
    <w:rsid w:val="00445D0F"/>
    <w:rsid w:val="00446EEB"/>
    <w:rsid w:val="00460E54"/>
    <w:rsid w:val="00462021"/>
    <w:rsid w:val="00467052"/>
    <w:rsid w:val="004714B7"/>
    <w:rsid w:val="00474A65"/>
    <w:rsid w:val="00482519"/>
    <w:rsid w:val="00482EAE"/>
    <w:rsid w:val="0048558D"/>
    <w:rsid w:val="00486F4B"/>
    <w:rsid w:val="00491CD0"/>
    <w:rsid w:val="004924DC"/>
    <w:rsid w:val="00492E25"/>
    <w:rsid w:val="004942DF"/>
    <w:rsid w:val="00494308"/>
    <w:rsid w:val="004A43E4"/>
    <w:rsid w:val="004A49D3"/>
    <w:rsid w:val="004A6BCE"/>
    <w:rsid w:val="004B1126"/>
    <w:rsid w:val="004B6D9E"/>
    <w:rsid w:val="004C0DC7"/>
    <w:rsid w:val="004C2680"/>
    <w:rsid w:val="004C35DE"/>
    <w:rsid w:val="004C7501"/>
    <w:rsid w:val="004D04C1"/>
    <w:rsid w:val="004D33B4"/>
    <w:rsid w:val="004D703F"/>
    <w:rsid w:val="004F4381"/>
    <w:rsid w:val="004F4528"/>
    <w:rsid w:val="004F7558"/>
    <w:rsid w:val="005020AD"/>
    <w:rsid w:val="00502E91"/>
    <w:rsid w:val="005107D7"/>
    <w:rsid w:val="005117B7"/>
    <w:rsid w:val="00516EBC"/>
    <w:rsid w:val="00517DB0"/>
    <w:rsid w:val="00521D90"/>
    <w:rsid w:val="005233D6"/>
    <w:rsid w:val="00525FC7"/>
    <w:rsid w:val="00533248"/>
    <w:rsid w:val="0053600E"/>
    <w:rsid w:val="00536C11"/>
    <w:rsid w:val="0054020D"/>
    <w:rsid w:val="00551780"/>
    <w:rsid w:val="0055249B"/>
    <w:rsid w:val="00552DF5"/>
    <w:rsid w:val="005533C4"/>
    <w:rsid w:val="00555BC9"/>
    <w:rsid w:val="00560459"/>
    <w:rsid w:val="00561AD9"/>
    <w:rsid w:val="00581639"/>
    <w:rsid w:val="00582608"/>
    <w:rsid w:val="00591219"/>
    <w:rsid w:val="00594028"/>
    <w:rsid w:val="0059497A"/>
    <w:rsid w:val="00595932"/>
    <w:rsid w:val="005A482A"/>
    <w:rsid w:val="005A51B2"/>
    <w:rsid w:val="005B4292"/>
    <w:rsid w:val="005B5FBC"/>
    <w:rsid w:val="005C1B3A"/>
    <w:rsid w:val="005C1EAB"/>
    <w:rsid w:val="005C4261"/>
    <w:rsid w:val="005C70A4"/>
    <w:rsid w:val="005D015E"/>
    <w:rsid w:val="005D2A83"/>
    <w:rsid w:val="005E01B2"/>
    <w:rsid w:val="005F43B2"/>
    <w:rsid w:val="00606468"/>
    <w:rsid w:val="006150A4"/>
    <w:rsid w:val="006242F0"/>
    <w:rsid w:val="00624687"/>
    <w:rsid w:val="00624781"/>
    <w:rsid w:val="00627ECF"/>
    <w:rsid w:val="00631C3C"/>
    <w:rsid w:val="0063398F"/>
    <w:rsid w:val="00633BA2"/>
    <w:rsid w:val="00636132"/>
    <w:rsid w:val="00637FF7"/>
    <w:rsid w:val="00641E06"/>
    <w:rsid w:val="006423E0"/>
    <w:rsid w:val="0064611E"/>
    <w:rsid w:val="006514E6"/>
    <w:rsid w:val="00656EE9"/>
    <w:rsid w:val="006657F3"/>
    <w:rsid w:val="00666331"/>
    <w:rsid w:val="00670E3C"/>
    <w:rsid w:val="006739AC"/>
    <w:rsid w:val="0068054F"/>
    <w:rsid w:val="00683570"/>
    <w:rsid w:val="00685734"/>
    <w:rsid w:val="0069186F"/>
    <w:rsid w:val="00695C94"/>
    <w:rsid w:val="0069781D"/>
    <w:rsid w:val="006979F1"/>
    <w:rsid w:val="006A14C1"/>
    <w:rsid w:val="006A1A3A"/>
    <w:rsid w:val="006A41F0"/>
    <w:rsid w:val="006A5B31"/>
    <w:rsid w:val="006B19D3"/>
    <w:rsid w:val="006B4E72"/>
    <w:rsid w:val="006B51E3"/>
    <w:rsid w:val="006C0C7E"/>
    <w:rsid w:val="006D0480"/>
    <w:rsid w:val="006D2306"/>
    <w:rsid w:val="006D7011"/>
    <w:rsid w:val="006E0E0C"/>
    <w:rsid w:val="006E0EE6"/>
    <w:rsid w:val="006E1E85"/>
    <w:rsid w:val="006E2136"/>
    <w:rsid w:val="006E35EF"/>
    <w:rsid w:val="006E3E2A"/>
    <w:rsid w:val="006F0ACD"/>
    <w:rsid w:val="006F0E2F"/>
    <w:rsid w:val="006F19E6"/>
    <w:rsid w:val="006F1E9D"/>
    <w:rsid w:val="006F36A2"/>
    <w:rsid w:val="006F51A3"/>
    <w:rsid w:val="006F7BE8"/>
    <w:rsid w:val="00710D57"/>
    <w:rsid w:val="007209E9"/>
    <w:rsid w:val="00723783"/>
    <w:rsid w:val="00724C75"/>
    <w:rsid w:val="00741386"/>
    <w:rsid w:val="00745990"/>
    <w:rsid w:val="0074705C"/>
    <w:rsid w:val="00765B25"/>
    <w:rsid w:val="0076661C"/>
    <w:rsid w:val="00773D06"/>
    <w:rsid w:val="00781365"/>
    <w:rsid w:val="00787ED0"/>
    <w:rsid w:val="00791DB0"/>
    <w:rsid w:val="0079480A"/>
    <w:rsid w:val="00794BEC"/>
    <w:rsid w:val="007A2CFF"/>
    <w:rsid w:val="007B183E"/>
    <w:rsid w:val="007C02FC"/>
    <w:rsid w:val="007C1196"/>
    <w:rsid w:val="007C5C81"/>
    <w:rsid w:val="007C73BD"/>
    <w:rsid w:val="007D0494"/>
    <w:rsid w:val="007D24C0"/>
    <w:rsid w:val="007D2954"/>
    <w:rsid w:val="007D3177"/>
    <w:rsid w:val="007E1880"/>
    <w:rsid w:val="007E2F8A"/>
    <w:rsid w:val="007E5513"/>
    <w:rsid w:val="007E5D3A"/>
    <w:rsid w:val="007E6EC3"/>
    <w:rsid w:val="007F2AD7"/>
    <w:rsid w:val="007F5AB7"/>
    <w:rsid w:val="00806C4F"/>
    <w:rsid w:val="00806C5A"/>
    <w:rsid w:val="00810581"/>
    <w:rsid w:val="0081376D"/>
    <w:rsid w:val="008203D3"/>
    <w:rsid w:val="00823D60"/>
    <w:rsid w:val="0082470D"/>
    <w:rsid w:val="008263DB"/>
    <w:rsid w:val="0083066D"/>
    <w:rsid w:val="00834044"/>
    <w:rsid w:val="00842E89"/>
    <w:rsid w:val="00850B41"/>
    <w:rsid w:val="00850C98"/>
    <w:rsid w:val="00852245"/>
    <w:rsid w:val="00853649"/>
    <w:rsid w:val="00855658"/>
    <w:rsid w:val="00860DD0"/>
    <w:rsid w:val="00863E3C"/>
    <w:rsid w:val="00865411"/>
    <w:rsid w:val="00865832"/>
    <w:rsid w:val="008713CA"/>
    <w:rsid w:val="0087349D"/>
    <w:rsid w:val="008962E7"/>
    <w:rsid w:val="008A3838"/>
    <w:rsid w:val="008A7BAB"/>
    <w:rsid w:val="008B24D5"/>
    <w:rsid w:val="008B359C"/>
    <w:rsid w:val="008B4EC6"/>
    <w:rsid w:val="008B4FDD"/>
    <w:rsid w:val="008B550D"/>
    <w:rsid w:val="008C0857"/>
    <w:rsid w:val="008D3F24"/>
    <w:rsid w:val="008E12C0"/>
    <w:rsid w:val="008E2D43"/>
    <w:rsid w:val="008F0271"/>
    <w:rsid w:val="008F0583"/>
    <w:rsid w:val="008F1C12"/>
    <w:rsid w:val="008F2648"/>
    <w:rsid w:val="008F2F59"/>
    <w:rsid w:val="00900B43"/>
    <w:rsid w:val="0090362E"/>
    <w:rsid w:val="00910E95"/>
    <w:rsid w:val="009116E0"/>
    <w:rsid w:val="00912876"/>
    <w:rsid w:val="00915A43"/>
    <w:rsid w:val="00916C14"/>
    <w:rsid w:val="00921873"/>
    <w:rsid w:val="00926DF2"/>
    <w:rsid w:val="009301AF"/>
    <w:rsid w:val="009327B5"/>
    <w:rsid w:val="00933473"/>
    <w:rsid w:val="00936F16"/>
    <w:rsid w:val="009374B5"/>
    <w:rsid w:val="009405BB"/>
    <w:rsid w:val="00940B86"/>
    <w:rsid w:val="00943919"/>
    <w:rsid w:val="00954BEE"/>
    <w:rsid w:val="00971DAB"/>
    <w:rsid w:val="00976D45"/>
    <w:rsid w:val="0097780B"/>
    <w:rsid w:val="00981346"/>
    <w:rsid w:val="00983D0F"/>
    <w:rsid w:val="00995C90"/>
    <w:rsid w:val="009A314B"/>
    <w:rsid w:val="009A4068"/>
    <w:rsid w:val="009A5B2D"/>
    <w:rsid w:val="009B6D39"/>
    <w:rsid w:val="009B7E01"/>
    <w:rsid w:val="009C0DEC"/>
    <w:rsid w:val="009C3250"/>
    <w:rsid w:val="009C460E"/>
    <w:rsid w:val="009C5118"/>
    <w:rsid w:val="009C5180"/>
    <w:rsid w:val="009D3319"/>
    <w:rsid w:val="009E1198"/>
    <w:rsid w:val="009E185A"/>
    <w:rsid w:val="009E2F7C"/>
    <w:rsid w:val="009E4F94"/>
    <w:rsid w:val="009E6AC8"/>
    <w:rsid w:val="009F0492"/>
    <w:rsid w:val="009F56DB"/>
    <w:rsid w:val="009F61A4"/>
    <w:rsid w:val="00A03E7C"/>
    <w:rsid w:val="00A0441B"/>
    <w:rsid w:val="00A10E38"/>
    <w:rsid w:val="00A11EC2"/>
    <w:rsid w:val="00A1448F"/>
    <w:rsid w:val="00A23C31"/>
    <w:rsid w:val="00A23C46"/>
    <w:rsid w:val="00A2439A"/>
    <w:rsid w:val="00A251F6"/>
    <w:rsid w:val="00A308C5"/>
    <w:rsid w:val="00A370D8"/>
    <w:rsid w:val="00A37F9A"/>
    <w:rsid w:val="00A40FAF"/>
    <w:rsid w:val="00A42D38"/>
    <w:rsid w:val="00A478EF"/>
    <w:rsid w:val="00A50F54"/>
    <w:rsid w:val="00A519AF"/>
    <w:rsid w:val="00A61B31"/>
    <w:rsid w:val="00A62EAE"/>
    <w:rsid w:val="00A6462E"/>
    <w:rsid w:val="00A65C31"/>
    <w:rsid w:val="00A66CA8"/>
    <w:rsid w:val="00A7288D"/>
    <w:rsid w:val="00A81628"/>
    <w:rsid w:val="00A82A84"/>
    <w:rsid w:val="00A83086"/>
    <w:rsid w:val="00A83E81"/>
    <w:rsid w:val="00A9273D"/>
    <w:rsid w:val="00A96C8D"/>
    <w:rsid w:val="00AA2ED0"/>
    <w:rsid w:val="00AA6C41"/>
    <w:rsid w:val="00AA7A2F"/>
    <w:rsid w:val="00AB4E10"/>
    <w:rsid w:val="00AC2D70"/>
    <w:rsid w:val="00AD2E4E"/>
    <w:rsid w:val="00AE3C99"/>
    <w:rsid w:val="00AF4263"/>
    <w:rsid w:val="00B00D63"/>
    <w:rsid w:val="00B051DE"/>
    <w:rsid w:val="00B1538D"/>
    <w:rsid w:val="00B21251"/>
    <w:rsid w:val="00B241A2"/>
    <w:rsid w:val="00B24A29"/>
    <w:rsid w:val="00B268A6"/>
    <w:rsid w:val="00B30D10"/>
    <w:rsid w:val="00B360AA"/>
    <w:rsid w:val="00B504C3"/>
    <w:rsid w:val="00B510C9"/>
    <w:rsid w:val="00B65012"/>
    <w:rsid w:val="00B7040A"/>
    <w:rsid w:val="00B71740"/>
    <w:rsid w:val="00B800F7"/>
    <w:rsid w:val="00B8741B"/>
    <w:rsid w:val="00B96094"/>
    <w:rsid w:val="00BA2063"/>
    <w:rsid w:val="00BA4633"/>
    <w:rsid w:val="00BA5FF0"/>
    <w:rsid w:val="00BA64F5"/>
    <w:rsid w:val="00BA7165"/>
    <w:rsid w:val="00BB323D"/>
    <w:rsid w:val="00BB4346"/>
    <w:rsid w:val="00BB639A"/>
    <w:rsid w:val="00BC36C0"/>
    <w:rsid w:val="00BC4E4E"/>
    <w:rsid w:val="00BD06CF"/>
    <w:rsid w:val="00BF5637"/>
    <w:rsid w:val="00BF5A94"/>
    <w:rsid w:val="00BF6604"/>
    <w:rsid w:val="00C010FB"/>
    <w:rsid w:val="00C014B4"/>
    <w:rsid w:val="00C02571"/>
    <w:rsid w:val="00C07136"/>
    <w:rsid w:val="00C071E3"/>
    <w:rsid w:val="00C1138C"/>
    <w:rsid w:val="00C138F9"/>
    <w:rsid w:val="00C14F86"/>
    <w:rsid w:val="00C160A9"/>
    <w:rsid w:val="00C22145"/>
    <w:rsid w:val="00C24112"/>
    <w:rsid w:val="00C27790"/>
    <w:rsid w:val="00C30EEC"/>
    <w:rsid w:val="00C315F2"/>
    <w:rsid w:val="00C32C91"/>
    <w:rsid w:val="00C330EE"/>
    <w:rsid w:val="00C36E8B"/>
    <w:rsid w:val="00C43F52"/>
    <w:rsid w:val="00C46A14"/>
    <w:rsid w:val="00C4714D"/>
    <w:rsid w:val="00C5041C"/>
    <w:rsid w:val="00C56F10"/>
    <w:rsid w:val="00C652E1"/>
    <w:rsid w:val="00C65AF6"/>
    <w:rsid w:val="00C77392"/>
    <w:rsid w:val="00C8102B"/>
    <w:rsid w:val="00C8698A"/>
    <w:rsid w:val="00C92590"/>
    <w:rsid w:val="00C93A45"/>
    <w:rsid w:val="00CA00D4"/>
    <w:rsid w:val="00CA185B"/>
    <w:rsid w:val="00CC29F9"/>
    <w:rsid w:val="00CC31C4"/>
    <w:rsid w:val="00CE6D7D"/>
    <w:rsid w:val="00CF1A46"/>
    <w:rsid w:val="00CF49A7"/>
    <w:rsid w:val="00D00812"/>
    <w:rsid w:val="00D02DD5"/>
    <w:rsid w:val="00D058D7"/>
    <w:rsid w:val="00D11DDF"/>
    <w:rsid w:val="00D173BB"/>
    <w:rsid w:val="00D2333E"/>
    <w:rsid w:val="00D24047"/>
    <w:rsid w:val="00D2628E"/>
    <w:rsid w:val="00D26A99"/>
    <w:rsid w:val="00D27232"/>
    <w:rsid w:val="00D4387A"/>
    <w:rsid w:val="00D45AF4"/>
    <w:rsid w:val="00D5026C"/>
    <w:rsid w:val="00D519A4"/>
    <w:rsid w:val="00D52D73"/>
    <w:rsid w:val="00D65927"/>
    <w:rsid w:val="00D66CFE"/>
    <w:rsid w:val="00D6744E"/>
    <w:rsid w:val="00D73B8E"/>
    <w:rsid w:val="00D75C3F"/>
    <w:rsid w:val="00D806AF"/>
    <w:rsid w:val="00D8097B"/>
    <w:rsid w:val="00D828C6"/>
    <w:rsid w:val="00D85785"/>
    <w:rsid w:val="00D86F65"/>
    <w:rsid w:val="00D86FC6"/>
    <w:rsid w:val="00D91BF6"/>
    <w:rsid w:val="00D93CDB"/>
    <w:rsid w:val="00D96BBD"/>
    <w:rsid w:val="00D96CE8"/>
    <w:rsid w:val="00DA1246"/>
    <w:rsid w:val="00DA3615"/>
    <w:rsid w:val="00DA6081"/>
    <w:rsid w:val="00DB0978"/>
    <w:rsid w:val="00DB3B43"/>
    <w:rsid w:val="00DB6E11"/>
    <w:rsid w:val="00DC4E3C"/>
    <w:rsid w:val="00DD138A"/>
    <w:rsid w:val="00DD1FFA"/>
    <w:rsid w:val="00DD7651"/>
    <w:rsid w:val="00DE2AB9"/>
    <w:rsid w:val="00DE529B"/>
    <w:rsid w:val="00DE6745"/>
    <w:rsid w:val="00DE758E"/>
    <w:rsid w:val="00DF40F8"/>
    <w:rsid w:val="00DF58F2"/>
    <w:rsid w:val="00DF7F2B"/>
    <w:rsid w:val="00E0107E"/>
    <w:rsid w:val="00E03233"/>
    <w:rsid w:val="00E0777D"/>
    <w:rsid w:val="00E13EE3"/>
    <w:rsid w:val="00E30750"/>
    <w:rsid w:val="00E354FE"/>
    <w:rsid w:val="00E40E3F"/>
    <w:rsid w:val="00E44DD3"/>
    <w:rsid w:val="00E5456D"/>
    <w:rsid w:val="00E54B2D"/>
    <w:rsid w:val="00E61014"/>
    <w:rsid w:val="00E669EA"/>
    <w:rsid w:val="00E8563A"/>
    <w:rsid w:val="00E8655A"/>
    <w:rsid w:val="00E86682"/>
    <w:rsid w:val="00E91A7A"/>
    <w:rsid w:val="00E924E9"/>
    <w:rsid w:val="00E95E7A"/>
    <w:rsid w:val="00EA3AD5"/>
    <w:rsid w:val="00EA43F9"/>
    <w:rsid w:val="00EA5D92"/>
    <w:rsid w:val="00EB5462"/>
    <w:rsid w:val="00EB5F74"/>
    <w:rsid w:val="00EC2348"/>
    <w:rsid w:val="00EC6A5B"/>
    <w:rsid w:val="00ED2F31"/>
    <w:rsid w:val="00ED35DF"/>
    <w:rsid w:val="00ED485A"/>
    <w:rsid w:val="00ED65B3"/>
    <w:rsid w:val="00EE1F16"/>
    <w:rsid w:val="00EE32B2"/>
    <w:rsid w:val="00EF4E6C"/>
    <w:rsid w:val="00EF5BD8"/>
    <w:rsid w:val="00EF67F4"/>
    <w:rsid w:val="00F01465"/>
    <w:rsid w:val="00F0785C"/>
    <w:rsid w:val="00F14821"/>
    <w:rsid w:val="00F15ABD"/>
    <w:rsid w:val="00F23E18"/>
    <w:rsid w:val="00F24431"/>
    <w:rsid w:val="00F27EB0"/>
    <w:rsid w:val="00F3574E"/>
    <w:rsid w:val="00F370DF"/>
    <w:rsid w:val="00F40A45"/>
    <w:rsid w:val="00F43547"/>
    <w:rsid w:val="00F46CAD"/>
    <w:rsid w:val="00F47E56"/>
    <w:rsid w:val="00F5217F"/>
    <w:rsid w:val="00F54A4E"/>
    <w:rsid w:val="00F54DC8"/>
    <w:rsid w:val="00F55592"/>
    <w:rsid w:val="00F608A8"/>
    <w:rsid w:val="00F61D44"/>
    <w:rsid w:val="00F66152"/>
    <w:rsid w:val="00F7041E"/>
    <w:rsid w:val="00F70988"/>
    <w:rsid w:val="00F716B7"/>
    <w:rsid w:val="00F7559E"/>
    <w:rsid w:val="00F81D4F"/>
    <w:rsid w:val="00F824DB"/>
    <w:rsid w:val="00F863CC"/>
    <w:rsid w:val="00F93F0A"/>
    <w:rsid w:val="00F96760"/>
    <w:rsid w:val="00FA6A37"/>
    <w:rsid w:val="00FA73E2"/>
    <w:rsid w:val="00FC25F6"/>
    <w:rsid w:val="00FC2944"/>
    <w:rsid w:val="00FC2F0B"/>
    <w:rsid w:val="00FC36BD"/>
    <w:rsid w:val="00FC3D33"/>
    <w:rsid w:val="00FC5848"/>
    <w:rsid w:val="00FD322C"/>
    <w:rsid w:val="00FD36EB"/>
    <w:rsid w:val="00FD44B6"/>
    <w:rsid w:val="00FD482B"/>
    <w:rsid w:val="00FD5186"/>
    <w:rsid w:val="00FD644B"/>
    <w:rsid w:val="00FD6ACA"/>
    <w:rsid w:val="00FE31A3"/>
    <w:rsid w:val="00FE353E"/>
    <w:rsid w:val="00FE57D0"/>
    <w:rsid w:val="00FF04AD"/>
    <w:rsid w:val="00FF34F0"/>
    <w:rsid w:val="00FF35BA"/>
    <w:rsid w:val="00FF79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fillcolor="#009" strokecolor="#009">
      <v:fill color="#009" opacity="19661f" rotate="t"/>
      <v:stroke color="#009"/>
      <v:textbox inset="2.29236mm,1.1462mm,2.29236mm,1.1462mm"/>
      <o:colormru v:ext="edit" colors="#009,#33f,#f5f5f5,#ffc,#ffd,#bbe0e3,#f90,#006"/>
    </o:shapedefaults>
    <o:shapelayout v:ext="edit">
      <o:idmap v:ext="edit" data="1"/>
    </o:shapelayout>
  </w:shapeDefaults>
  <w:decimalSymbol w:val="."/>
  <w:listSeparator w:val=","/>
  <w14:docId w14:val="474A2B91"/>
  <w15:chartTrackingRefBased/>
  <w15:docId w15:val="{F7672A7B-5E29-4580-953C-336F0F0C6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Plain Tex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80" w:line="245" w:lineRule="auto"/>
      <w:jc w:val="both"/>
    </w:pPr>
    <w:rPr>
      <w:rFonts w:ascii="Arial" w:hAnsi="Arial" w:eastAsia="Arial"/>
      <w:sz w:val="18"/>
      <w:lang w:val="en-GB" w:eastAsia="en-US"/>
    </w:rPr>
  </w:style>
  <w:style w:type="paragraph" w:styleId="1">
    <w:name w:val="heading 1"/>
    <w:basedOn w:val="a"/>
    <w:next w:val="a"/>
    <w:autoRedefine/>
    <w:qFormat/>
    <w:pPr>
      <w:keepNext/>
      <w:pBdr>
        <w:top w:val="single" w:sz="12" w:space="1" w:color="auto" w:shadow="1"/>
        <w:left w:val="single" w:sz="12" w:space="4" w:color="auto" w:shadow="1"/>
        <w:bottom w:val="single" w:sz="12" w:space="1" w:color="auto" w:shadow="1"/>
        <w:right w:val="single" w:sz="12" w:space="4" w:color="auto" w:shadow="1"/>
      </w:pBdr>
      <w:spacing w:before="120" w:after="80"/>
      <w:ind w:left="68"/>
      <w:jc w:val="center"/>
      <w:outlineLvl w:val="0"/>
      <w:shd w:fill="2F5E85"/>
    </w:pPr>
    <w:rPr>
      <w:rFonts w:ascii="Arial" w:hAnsi="Arial" w:eastAsia="Arial"/>
      <w:b/>
      <w:color w:val="FFFFFF"/>
      <w:sz w:val="30"/>
    </w:rPr>
  </w:style>
  <w:style w:type="paragraph" w:styleId="2">
    <w:name w:val="heading 2"/>
    <w:basedOn w:val="a"/>
    <w:next w:val="a"/>
    <w:autoRedefine/>
    <w:qFormat/>
    <w:rsid w:val="009E6AC8"/>
    <w:pPr>
      <w:keepNext/>
      <w:pBdr>
        <w:top w:val="single" w:sz="12" w:space="1" w:color="auto"/>
        <w:left w:val="single" w:sz="12" w:space="0" w:color="auto"/>
        <w:bottom w:val="single" w:sz="12" w:space="1" w:color="auto"/>
        <w:right w:val="single" w:sz="12" w:space="2" w:color="auto"/>
      </w:pBdr>
      <w:spacing w:before="100" w:after="60"/>
      <w:ind w:left="57"/>
      <w:jc w:val="left"/>
      <w:outlineLvl w:val="1"/>
      <w:shd w:fill="D9EAF7"/>
    </w:pPr>
    <w:rPr>
      <w:rFonts w:ascii="Arial" w:hAnsi="Arial" w:eastAsia="Arial"/>
      <w:b/>
      <w:color w:val="1F4E79"/>
      <w:sz w:val="24"/>
    </w:rPr>
  </w:style>
  <w:style w:type="paragraph" w:styleId="3">
    <w:name w:val="heading 3"/>
    <w:basedOn w:val="2"/>
    <w:next w:val="a"/>
    <w:qFormat/>
    <w:pPr>
      <w:pBdr>
        <w:top w:val="none" w:sz="0" w:space="0" w:color="auto"/>
        <w:left w:val="none" w:sz="0" w:space="0" w:color="auto"/>
        <w:bottom w:val="none" w:sz="0" w:space="0" w:color="auto"/>
        <w:right w:val="none" w:sz="0" w:space="0" w:color="auto"/>
      </w:pBdr>
      <w:spacing w:before="160" w:after="80"/>
      <w:outlineLvl w:val="2"/>
    </w:pPr>
    <w:rPr>
      <w:rFonts w:ascii="Arial" w:hAnsi="Arial" w:eastAsia="Arial"/>
      <w:b/>
      <w:color w:val="2F5475"/>
      <w:sz w:val="21"/>
    </w:rPr>
  </w:style>
  <w:style w:type="paragraph" w:styleId="4">
    <w:name w:val="heading 4"/>
    <w:basedOn w:val="a"/>
    <w:next w:val="a"/>
    <w:qFormat/>
    <w:pPr>
      <w:keepNext/>
      <w:jc w:val="center"/>
      <w:outlineLvl w:val="3"/>
    </w:pPr>
    <w:rPr>
      <w:b/>
      <w:sz w:val="72"/>
    </w:rPr>
  </w:style>
  <w:style w:type="paragraph" w:styleId="5">
    <w:name w:val="heading 5"/>
    <w:basedOn w:val="a"/>
    <w:next w:val="a"/>
    <w:qFormat/>
    <w:pPr>
      <w:keepNext/>
      <w:outlineLvl w:val="4"/>
    </w:pPr>
    <w:rPr>
      <w:sz w:val="72"/>
    </w:rPr>
  </w:style>
  <w:style w:type="paragraph" w:styleId="6">
    <w:name w:val="heading 6"/>
    <w:basedOn w:val="a"/>
    <w:next w:val="a"/>
    <w:qFormat/>
    <w:pPr>
      <w:keepNext/>
      <w:jc w:val="center"/>
      <w:outlineLvl w:val="5"/>
    </w:pPr>
    <w:rPr>
      <w:sz w:val="70"/>
    </w:rPr>
  </w:style>
  <w:style w:type="paragraph" w:styleId="7">
    <w:name w:val="heading 7"/>
    <w:basedOn w:val="a"/>
    <w:next w:val="a"/>
    <w:qFormat/>
    <w:pPr>
      <w:keepNext/>
      <w:jc w:val="center"/>
      <w:outlineLvl w:val="6"/>
    </w:pPr>
    <w:rPr>
      <w:b/>
    </w:rPr>
  </w:style>
  <w:style w:type="paragraph" w:styleId="8">
    <w:name w:val="heading 8"/>
    <w:basedOn w:val="a"/>
    <w:next w:val="a"/>
    <w:qFormat/>
    <w:pPr>
      <w:keepNext/>
      <w:outlineLvl w:val="7"/>
    </w:pPr>
    <w:rPr>
      <w:b/>
    </w:rPr>
  </w:style>
  <w:style w:type="paragraph" w:styleId="9">
    <w:name w:val="heading 9"/>
    <w:basedOn w:val="a"/>
    <w:next w:val="a"/>
    <w:qFormat/>
    <w:pPr>
      <w:keepNext/>
      <w:jc w:val="center"/>
      <w:outlineLvl w:val="8"/>
    </w:pPr>
    <w:rPr>
      <w:rFonts w:ascii="Arial" w:hAnsi="Arial"/>
      <w:sz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pPr>
      <w:pBdr>
        <w:bottom w:val="single" w:sz="4" w:space="1" w:color="auto"/>
      </w:pBdr>
      <w:tabs>
        <w:tab w:val="right" w:pos="14600"/>
      </w:tabs>
    </w:pPr>
  </w:style>
  <w:style w:type="paragraph" w:styleId="a4">
    <w:name w:val="footer"/>
    <w:basedOn w:val="a"/>
    <w:link w:val="a5"/>
    <w:uiPriority w:val="99"/>
    <w:pPr>
      <w:tabs>
        <w:tab w:val="center" w:pos="4536"/>
        <w:tab w:val="right" w:pos="9072"/>
      </w:tabs>
    </w:pPr>
    <w:rPr>
      <w:lang w:val="x-none"/>
    </w:rPr>
  </w:style>
  <w:style w:type="character" w:styleId="a6">
    <w:name w:val="page number"/>
    <w:basedOn w:val="a0"/>
  </w:style>
  <w:style w:type="paragraph" w:styleId="a7">
    <w:name w:val="Body Text Indent"/>
    <w:basedOn w:val="a"/>
    <w:pPr>
      <w:ind w:left="1701" w:hanging="1701"/>
    </w:pPr>
  </w:style>
  <w:style w:type="paragraph" w:customStyle="1" w:styleId="TabText">
    <w:name w:val="TabText"/>
    <w:basedOn w:val="a"/>
    <w:pPr>
      <w:spacing w:before="60" w:after="80"/>
    </w:pPr>
    <w:rPr>
      <w:sz w:val="18"/>
    </w:rPr>
  </w:style>
  <w:style w:type="paragraph" w:styleId="a8">
    <w:name w:val="footnote text"/>
    <w:basedOn w:val="a"/>
    <w:semiHidden/>
  </w:style>
  <w:style w:type="character" w:styleId="a9">
    <w:name w:val="footnote reference"/>
    <w:semiHidden/>
    <w:rPr>
      <w:vertAlign w:val="superscript"/>
    </w:rPr>
  </w:style>
  <w:style w:type="character" w:styleId="aa">
    <w:name w:val="annotation reference"/>
    <w:semiHidden/>
    <w:rPr>
      <w:sz w:val="16"/>
    </w:rPr>
  </w:style>
  <w:style w:type="paragraph" w:customStyle="1" w:styleId="TabTextCentre">
    <w:name w:val="TabTextCentre"/>
    <w:basedOn w:val="TabText"/>
    <w:pPr>
      <w:jc w:val="center"/>
    </w:pPr>
  </w:style>
  <w:style w:type="paragraph" w:customStyle="1" w:styleId="TabTextAgrComment">
    <w:name w:val="TabTextAgrComment"/>
    <w:basedOn w:val="TabText"/>
    <w:rPr>
      <w:i/>
    </w:rPr>
  </w:style>
  <w:style w:type="paragraph" w:styleId="ab">
    <w:name w:val="annotation text"/>
    <w:basedOn w:val="a"/>
    <w:semiHidden/>
  </w:style>
  <w:style w:type="paragraph" w:styleId="20">
    <w:name w:val="Body Text Indent 2"/>
    <w:basedOn w:val="a"/>
    <w:pPr>
      <w:ind w:left="709" w:hanging="709"/>
    </w:pPr>
  </w:style>
  <w:style w:type="paragraph" w:styleId="ac">
    <w:name w:val="Balloon Text"/>
    <w:basedOn w:val="a"/>
    <w:semiHidden/>
    <w:rPr>
      <w:rFonts w:ascii="Tahoma" w:hAnsi="Tahoma" w:cs="Courier New"/>
      <w:sz w:val="16"/>
      <w:szCs w:val="16"/>
    </w:rPr>
  </w:style>
  <w:style w:type="paragraph" w:styleId="ad">
    <w:name w:val="Body Text"/>
    <w:basedOn w:val="a"/>
    <w:pPr>
      <w:jc w:val="center"/>
    </w:pPr>
    <w:rPr>
      <w:b/>
      <w:sz w:val="48"/>
    </w:rPr>
  </w:style>
  <w:style w:type="paragraph" w:styleId="TOC1">
    <w:name w:val="toc 1"/>
    <w:basedOn w:val="a"/>
    <w:next w:val="a"/>
    <w:autoRedefine/>
    <w:uiPriority w:val="39"/>
    <w:pPr>
      <w:spacing w:before="120" w:after="120"/>
      <w:jc w:val="left"/>
    </w:pPr>
    <w:rPr>
      <w:rFonts w:ascii="Times New Roman" w:hAnsi="Times New Roman"/>
      <w:b/>
      <w:bCs/>
      <w:caps/>
      <w:szCs w:val="24"/>
    </w:rPr>
  </w:style>
  <w:style w:type="paragraph" w:styleId="TOC2">
    <w:name w:val="toc 2"/>
    <w:basedOn w:val="a"/>
    <w:next w:val="a"/>
    <w:autoRedefine/>
    <w:semiHidden/>
    <w:pPr>
      <w:ind w:left="200"/>
      <w:jc w:val="left"/>
    </w:pPr>
    <w:rPr>
      <w:rFonts w:ascii="Times New Roman" w:hAnsi="Times New Roman"/>
      <w:smallCaps/>
      <w:szCs w:val="24"/>
    </w:rPr>
  </w:style>
  <w:style w:type="paragraph" w:styleId="TOC3">
    <w:name w:val="toc 3"/>
    <w:basedOn w:val="a"/>
    <w:next w:val="a"/>
    <w:autoRedefine/>
    <w:semiHidden/>
    <w:pPr>
      <w:ind w:left="400"/>
      <w:jc w:val="left"/>
    </w:pPr>
    <w:rPr>
      <w:rFonts w:ascii="Times New Roman" w:hAnsi="Times New Roman"/>
      <w:i/>
      <w:iCs/>
      <w:szCs w:val="24"/>
    </w:rPr>
  </w:style>
  <w:style w:type="paragraph" w:styleId="TOC4">
    <w:name w:val="toc 4"/>
    <w:basedOn w:val="a"/>
    <w:next w:val="a"/>
    <w:autoRedefine/>
    <w:semiHidden/>
    <w:pPr>
      <w:ind w:left="600"/>
      <w:jc w:val="left"/>
    </w:pPr>
    <w:rPr>
      <w:rFonts w:ascii="Times New Roman" w:hAnsi="Times New Roman"/>
      <w:szCs w:val="21"/>
    </w:rPr>
  </w:style>
  <w:style w:type="paragraph" w:styleId="TOC5">
    <w:name w:val="toc 5"/>
    <w:basedOn w:val="a"/>
    <w:next w:val="a"/>
    <w:autoRedefine/>
    <w:semiHidden/>
    <w:pPr>
      <w:ind w:left="800"/>
      <w:jc w:val="left"/>
    </w:pPr>
    <w:rPr>
      <w:rFonts w:ascii="Times New Roman" w:hAnsi="Times New Roman"/>
      <w:szCs w:val="21"/>
    </w:rPr>
  </w:style>
  <w:style w:type="paragraph" w:styleId="TOC6">
    <w:name w:val="toc 6"/>
    <w:basedOn w:val="a"/>
    <w:next w:val="a"/>
    <w:autoRedefine/>
    <w:semiHidden/>
    <w:pPr>
      <w:ind w:left="1000"/>
      <w:jc w:val="left"/>
    </w:pPr>
    <w:rPr>
      <w:rFonts w:ascii="Times New Roman" w:hAnsi="Times New Roman"/>
      <w:szCs w:val="21"/>
    </w:rPr>
  </w:style>
  <w:style w:type="paragraph" w:styleId="TOC7">
    <w:name w:val="toc 7"/>
    <w:basedOn w:val="a"/>
    <w:next w:val="a"/>
    <w:autoRedefine/>
    <w:semiHidden/>
    <w:pPr>
      <w:ind w:left="1200"/>
      <w:jc w:val="left"/>
    </w:pPr>
    <w:rPr>
      <w:rFonts w:ascii="Times New Roman" w:hAnsi="Times New Roman"/>
      <w:szCs w:val="21"/>
    </w:rPr>
  </w:style>
  <w:style w:type="paragraph" w:styleId="TOC8">
    <w:name w:val="toc 8"/>
    <w:basedOn w:val="a"/>
    <w:next w:val="a"/>
    <w:autoRedefine/>
    <w:semiHidden/>
    <w:pPr>
      <w:ind w:left="1400"/>
      <w:jc w:val="left"/>
    </w:pPr>
    <w:rPr>
      <w:rFonts w:ascii="Times New Roman" w:hAnsi="Times New Roman"/>
      <w:szCs w:val="21"/>
    </w:rPr>
  </w:style>
  <w:style w:type="paragraph" w:styleId="TOC9">
    <w:name w:val="toc 9"/>
    <w:basedOn w:val="a"/>
    <w:next w:val="a"/>
    <w:autoRedefine/>
    <w:semiHidden/>
    <w:pPr>
      <w:ind w:left="1600"/>
      <w:jc w:val="left"/>
    </w:pPr>
    <w:rPr>
      <w:rFonts w:ascii="Times New Roman" w:hAnsi="Times New Roman"/>
      <w:szCs w:val="21"/>
    </w:rPr>
  </w:style>
  <w:style w:type="paragraph" w:styleId="ae">
    <w:name w:val="Document Map"/>
    <w:basedOn w:val="a"/>
    <w:semiHidden/>
    <w:pPr>
      <w:shd w:val="clear" w:color="auto" w:fill="000080"/>
    </w:pPr>
    <w:rPr>
      <w:rFonts w:ascii="Tahoma" w:hAnsi="Tahoma"/>
    </w:rPr>
  </w:style>
  <w:style w:type="paragraph" w:styleId="21">
    <w:name w:val="Body Text 2"/>
    <w:basedOn w:val="a"/>
    <w:rPr>
      <w:i/>
    </w:rPr>
  </w:style>
  <w:style w:type="paragraph" w:styleId="30">
    <w:name w:val="Body Text 3"/>
    <w:basedOn w:val="a"/>
    <w:rPr>
      <w:b/>
    </w:rPr>
  </w:style>
  <w:style w:type="paragraph" w:customStyle="1" w:styleId="Style1">
    <w:name w:val="Style1"/>
    <w:basedOn w:val="2"/>
    <w:pPr>
      <w:pBdr>
        <w:top w:val="none" w:sz="0" w:space="0" w:color="auto"/>
        <w:left w:val="none" w:sz="0" w:space="0" w:color="auto"/>
        <w:bottom w:val="none" w:sz="0" w:space="0" w:color="auto"/>
        <w:right w:val="none" w:sz="0" w:space="0" w:color="auto"/>
      </w:pBdr>
    </w:pPr>
  </w:style>
  <w:style w:type="paragraph" w:styleId="31">
    <w:name w:val="Body Text Indent 3"/>
    <w:basedOn w:val="a"/>
    <w:pPr>
      <w:ind w:left="1247" w:hanging="1247"/>
    </w:pPr>
  </w:style>
  <w:style w:type="paragraph" w:styleId="af">
    <w:name w:val="annotation subject"/>
    <w:basedOn w:val="ab"/>
    <w:next w:val="ab"/>
    <w:semiHidden/>
    <w:rPr>
      <w:b/>
      <w:bCs/>
    </w:rPr>
  </w:style>
  <w:style w:type="character" w:styleId="af0">
    <w:name w:val="Hyperlink"/>
    <w:uiPriority w:val="99"/>
    <w:rPr>
      <w:color w:val="0000FF"/>
      <w:u w:val="single"/>
    </w:rPr>
  </w:style>
  <w:style w:type="character" w:styleId="af1">
    <w:name w:val="FollowedHyperlink"/>
    <w:rsid w:val="006979F1"/>
    <w:rPr>
      <w:color w:val="606420"/>
      <w:u w:val="single"/>
    </w:rPr>
  </w:style>
  <w:style w:type="paragraph" w:styleId="af2">
    <w:name w:val="Normal (Web)"/>
    <w:basedOn w:val="a"/>
    <w:rsid w:val="006F36A2"/>
    <w:pPr>
      <w:spacing w:before="100" w:beforeAutospacing="1" w:after="100" w:afterAutospacing="1"/>
      <w:jc w:val="left"/>
    </w:pPr>
    <w:rPr>
      <w:rFonts w:ascii="Times New Roman" w:hAnsi="Times New Roman"/>
      <w:sz w:val="24"/>
      <w:szCs w:val="24"/>
      <w:lang w:eastAsia="en-GB"/>
    </w:rPr>
  </w:style>
  <w:style w:type="character" w:styleId="af3">
    <w:name w:val="Strong"/>
    <w:qFormat/>
    <w:rsid w:val="00150ECA"/>
    <w:rPr>
      <w:b/>
      <w:bCs/>
    </w:rPr>
  </w:style>
  <w:style w:type="paragraph" w:styleId="af4">
    <w:name w:val="Title"/>
    <w:basedOn w:val="a"/>
    <w:next w:val="a"/>
    <w:link w:val="af5"/>
    <w:qFormat/>
    <w:rsid w:val="003A1314"/>
    <w:pPr>
      <w:spacing w:before="160" w:after="80"/>
      <w:jc w:val="center"/>
      <w:outlineLvl w:val="0"/>
    </w:pPr>
    <w:rPr>
      <w:rFonts w:ascii="Arial" w:hAnsi="Arial" w:eastAsia="Arial"/>
      <w:b/>
      <w:bCs/>
      <w:color w:val="1F4E79"/>
      <w:kern w:val="28"/>
      <w:sz w:val="40"/>
      <w:szCs w:val="32"/>
      <w:lang w:eastAsia="x-none"/>
    </w:rPr>
  </w:style>
  <w:style w:type="character" w:customStyle="1" w:styleId="af5">
    <w:name w:val="标题 字符"/>
    <w:link w:val="af4"/>
    <w:rsid w:val="003A1314"/>
    <w:rPr>
      <w:rFonts w:ascii="Cambria" w:eastAsia="Times New Roman" w:hAnsi="Cambria" w:cs="Times New Roman"/>
      <w:b/>
      <w:bCs/>
      <w:kern w:val="28"/>
      <w:sz w:val="32"/>
      <w:szCs w:val="32"/>
      <w:lang w:val="en-GB"/>
    </w:rPr>
  </w:style>
  <w:style w:type="paragraph" w:styleId="af6">
    <w:name w:val="caption"/>
    <w:basedOn w:val="a"/>
    <w:next w:val="a"/>
    <w:qFormat/>
    <w:rsid w:val="00047343"/>
    <w:rPr>
      <w:b/>
      <w:bCs/>
    </w:rPr>
  </w:style>
  <w:style w:type="character" w:customStyle="1" w:styleId="a5">
    <w:name w:val="页脚 字符"/>
    <w:link w:val="a4"/>
    <w:uiPriority w:val="99"/>
    <w:rsid w:val="00D91BF6"/>
    <w:rPr>
      <w:rFonts w:ascii="Helvetica" w:hAnsi="Helvetica"/>
      <w:lang w:eastAsia="en-US"/>
    </w:rPr>
  </w:style>
  <w:style w:type="table" w:styleId="af7">
    <w:name w:val="Table Grid"/>
    <w:basedOn w:val="a1"/>
    <w:rsid w:val="00E95E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8">
    <w:name w:val="Plain Text"/>
    <w:basedOn w:val="a"/>
    <w:link w:val="af9"/>
    <w:uiPriority w:val="99"/>
    <w:unhideWhenUsed/>
    <w:rsid w:val="0079480A"/>
    <w:pPr>
      <w:jc w:val="left"/>
    </w:pPr>
    <w:rPr>
      <w:rFonts w:ascii="Arial Narrow" w:eastAsia="Calibri" w:hAnsi="Arial Narrow"/>
      <w:sz w:val="24"/>
      <w:szCs w:val="24"/>
      <w:lang w:val="en-US"/>
    </w:rPr>
  </w:style>
  <w:style w:type="character" w:customStyle="1" w:styleId="af9">
    <w:name w:val="纯文本 字符"/>
    <w:link w:val="af8"/>
    <w:uiPriority w:val="99"/>
    <w:rsid w:val="0079480A"/>
    <w:rPr>
      <w:rFonts w:ascii="Arial Narrow" w:eastAsia="Calibri" w:hAnsi="Arial Narrow"/>
      <w:sz w:val="24"/>
      <w:szCs w:val="24"/>
      <w:lang w:val="en-US" w:eastAsia="en-US"/>
    </w:rPr>
  </w:style>
  <w:style w:type="table" w:customStyle="1" w:styleId="TableGrid">
    <w:name w:val="TableGrid"/>
    <w:rsid w:val="00E924E9"/>
    <w:rPr>
      <w:rFonts w:ascii="Calibri" w:eastAsia="等线" w:hAnsi="Calibri"/>
      <w:sz w:val="22"/>
      <w:szCs w:val="22"/>
      <w:lang w:val="en-GB"/>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8578087">
      <w:bodyDiv w:val="1"/>
      <w:marLeft w:val="0"/>
      <w:marRight w:val="0"/>
      <w:marTop w:val="0"/>
      <w:marBottom w:val="0"/>
      <w:divBdr>
        <w:top w:val="none" w:sz="0" w:space="0" w:color="auto"/>
        <w:left w:val="none" w:sz="0" w:space="0" w:color="auto"/>
        <w:bottom w:val="none" w:sz="0" w:space="0" w:color="auto"/>
        <w:right w:val="none" w:sz="0" w:space="0" w:color="auto"/>
      </w:divBdr>
    </w:div>
    <w:div w:id="1055082843">
      <w:bodyDiv w:val="1"/>
      <w:marLeft w:val="0"/>
      <w:marRight w:val="0"/>
      <w:marTop w:val="0"/>
      <w:marBottom w:val="0"/>
      <w:divBdr>
        <w:top w:val="none" w:sz="0" w:space="0" w:color="auto"/>
        <w:left w:val="none" w:sz="0" w:space="0" w:color="auto"/>
        <w:bottom w:val="none" w:sz="0" w:space="0" w:color="auto"/>
        <w:right w:val="none" w:sz="0" w:space="0" w:color="auto"/>
      </w:divBdr>
    </w:div>
    <w:div w:id="1605839751">
      <w:bodyDiv w:val="1"/>
      <w:marLeft w:val="0"/>
      <w:marRight w:val="0"/>
      <w:marTop w:val="0"/>
      <w:marBottom w:val="0"/>
      <w:divBdr>
        <w:top w:val="none" w:sz="0" w:space="0" w:color="auto"/>
        <w:left w:val="none" w:sz="0" w:space="0" w:color="auto"/>
        <w:bottom w:val="none" w:sz="0" w:space="0" w:color="auto"/>
        <w:right w:val="none" w:sz="0" w:space="0" w:color="auto"/>
      </w:divBdr>
    </w:div>
    <w:div w:id="2135369033">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222</Words>
  <Characters>1293</Characters>
  <Application>Microsoft Office Word</Application>
  <DocSecurity>4</DocSecurity>
  <Lines>55</Lines>
  <Paragraphs>23</Paragraphs>
  <ScaleCrop>false</ScaleCrop>
  <HeadingPairs>
    <vt:vector size="2" baseType="variant">
      <vt:variant>
        <vt:lpstr>Title</vt:lpstr>
      </vt:variant>
      <vt:variant>
        <vt:i4>1</vt:i4>
      </vt:variant>
    </vt:vector>
  </HeadingPairs>
  <TitlesOfParts>
    <vt:vector size="1" baseType="lpstr">
      <vt:lpstr>Agresso Implementation</vt:lpstr>
    </vt:vector>
  </TitlesOfParts>
  <Company>LGC</Company>
  <LinksUpToDate>false</LinksUpToDate>
  <CharactersWithSpaces>1495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Agresso Implementation</dc:title>
  <dc:subject/>
  <dc:creator>david.hewitt</dc:creator>
  <cp:keywords/>
  <cp:lastModifiedBy>Ouni Jia (student)</cp:lastModifiedBy>
  <cp:revision>2</cp:revision>
  <cp:lastPrinted>2012-07-27T06:52:00Z</cp:lastPrinted>
  <dcterms:created xsi:type="dcterms:W3CDTF">2026-10-01T08:31:00Z</dcterms:created>
  <dcterms:modified xsi:type="dcterms:W3CDTF">2026-10-01T08:31:00Z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0957f886-74c6-41a3-a446-1e65de860a30</vt:lpwstr>
  </property>
</Properties>
</file>