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FYP 进度、提交与写作指南</w:t>
      </w:r>
    </w:p>
    <w:p>
      <w:pPr>
        <w:jc w:val="center"/>
      </w:pPr>
      <w:r>
        <w:rPr>
          <w:rFonts w:ascii="Arial" w:hAnsi="Arial" w:eastAsia="Arial"/>
          <w:b/>
          <w:color w:val="2F5475"/>
          <w:sz w:val="24"/>
        </w:rPr>
        <w:t>Evidence-Grounded Construction of a Knowledge Graph for Spinal Muscular Atrophy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19"/>
        </w:rPr>
        <w:t>更新日期：2026-10-02｜计划起点：2026-10-01｜学年：2026/27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真实性原则：本计划从现在开始安排未来工作；不把现有成果伪造成过去逐周完成的 logbook 记录。</w:t>
            </w:r>
          </w:p>
        </w:tc>
      </w:tr>
    </w:tbl>
    <w:p>
      <w:pPr>
        <w:pStyle w:val="Heading1"/>
      </w:pPr>
      <w:r>
        <w:t>1. 已确认的提交节点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提交/考核</w:t>
            </w:r>
          </w:p>
        </w:tc>
        <w:tc>
          <w:tcPr>
            <w:tcW w:type="dxa" w:w="850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238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截止时间（CST）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交付内容与渠道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Specification &amp; Preliminary Report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5%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2026-10-30 23:59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Preliminary Report + 第1本 Logbook + Risk Assessment；GC-UESTC 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Interim Report + 第2本 Logbook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15%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报告：2027-01-08 23:59</w:t>
              <w:br/>
              <w:t>口试：2027-01-11—22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FYP System；按课程安排参加演示与问答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Poster submission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2027-04-16 12:00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Oral Presentation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2027-04-19—21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海报讲解与现场问答；海报未单列独立权重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Final Report + 第3本 Logbook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50%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时间存在冲突，见下方警告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纸质提交 + Moodle + 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Student Performance Evaluation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10%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2027-04-28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导师通过 FYP System 评价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Software/code/prototype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时间存在冲突，见下方警告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软件代码与相关材料归档提交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C3F1C"/>
                <w:sz w:val="20"/>
              </w:rPr>
              <w:t>截止时间冲突：FYP_timeline.png 写明 Final Report、第三本 Logbook 和代码为 2027-04-28 23:59；Student Handbook 2026–27 表 1 写明 Final Report/Logbook 与代码为 2027-04-30 23:59。请在 2027 年 4 月前以 Moodle、FYP System 和最新 assessment brief 为准，并按较早的 4 月 28 日做内部截止。</w:t>
            </w:r>
          </w:p>
        </w:tc>
      </w:tr>
    </w:tbl>
    <w:p>
      <w:pPr>
        <w:pStyle w:val="Heading1"/>
      </w:pPr>
      <w:r>
        <w:t>2. 从零开始的未来执行计划</w:t>
      </w:r>
    </w:p>
    <w:p>
      <w:pPr>
        <w:spacing w:after="80"/>
      </w:pPr>
      <w:r>
        <w:rPr>
          <w:rFonts w:ascii="Arial" w:hAnsi="Arial" w:eastAsia="Arial"/>
          <w:b w:val="0"/>
          <w:sz w:val="20"/>
        </w:rPr>
        <w:t>安排原则：每阶段都有可检查的输入、任务、输出和验证证据；只有真正完成后才在 logbook 中写成完成项。现有代码与数据可作为技术蓝图和验证基线，但日志必须记录你从 2026-10-01 起亲自执行、理解、修改和评估的工作。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17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814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408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2778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完成证据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10/01–10/04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立项与合规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阅读指南；确认研究问题、范围、风险、伦理、资源和评价指标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签字版 risk/ethical；项目问题清单；第1周真实日志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10/05–10/11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文献与需求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SMA、PubMed/Open Targets、BioNLP、KG、RAG 文献检索；定义实体/关系 schema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文献矩阵；schema v1；可测量目标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10/12–10/18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数据采集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配置环境；实现/复现 PubMed 与 Open Targets 采集；数据质量检查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原始数据、manifest、计数、哈希、失败记录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10/19–10/25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主题分析与抽取小样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BERTopic/PubMedBERT 主题分析；LLM 关系抽取提示词与小规模 pilot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主题报告；pilot triples；错误分类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10/26–10/30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首轮提交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完善 preliminary report、风险、伦理、第1本 logbook；导师签字与提交检查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10/30 提交包；后续修订清单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11/01–11/15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全量关系抽取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分块、并发、重试、schema 校验、去重；保存 run artifacts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可复现的全量 triples 与 validation summary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11/16–11/30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标准化与语义对齐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词典映射、同义词归一、PubMedBERT 类型内对齐；阈值敏感性分析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mapped/aligned triples；阈值实验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12/01–12/15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融合与冲突处理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聚合证据、置信度融合、正负关系冲突检测、人工复核规则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fused triples；conflict list；错误案例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12/16–12/31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图谱与中期材料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Neo4j 导入、拓扑指标、可视化；撰写 interim report 和演示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图数据库、viewer、指标；中期报告草稿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01/01–01/08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中期提交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复现核心结果、修订 Gantt、完成报告与第2本 logbook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1/8 提交包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01/11–01/22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中期口试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准备 5–10 分钟技术叙述、风险/局限、问答；记录反馈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演示稿；问答库；反馈行动项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01/23–02/14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400条人工标注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300 条随机主集 + 100 条困难集；80 条独立双评；计算一致性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人工 gold set；Cohen’s κ；precision 与错误分析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02/15–03/07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创新1：证据校验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把 evidence span 对齐回 PubMed title/abstract；设置阈值与人工复核路由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代码、测试、覆盖率/准确率、失败案例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03/08–03/21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创新2：GraphRAG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Neo4j 邻域检索、PMID 证据组装、回答生成与拒答策略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端到端 runner；QA 测试集；基线对比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03/22–04/04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创新3–4：引用与主张校验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验证 PMID 引用存在且被检索；拆分 claims 并判断证据支持度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citation/claim metrics；消融；错误分析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04/05–04/15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收尾与海报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冻结实验、重跑主结果、制作海报、导师审阅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最终表图；4/16 海报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04/19–04/21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海报口试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展示贡献、证据链、局限与未来工作；记录面板反馈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口试记录；最终报告修订项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04/22–04/28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最终内部截止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完成论文、第三本 logbook、代码与复现包；查重和引用核对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按 4/28 内部截止完成全部材料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04/29–04/30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仅作缓冲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仅在官方系统确认 4/30 截止时用于上传/技术问题，不安排新实验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最终系统回执</w:t>
            </w:r>
          </w:p>
        </w:tc>
      </w:tr>
    </w:tbl>
    <w:p>
      <w:r>
        <w:br w:type="page"/>
      </w:r>
    </w:p>
    <w:p>
      <w:pPr>
        <w:pStyle w:val="Heading1"/>
      </w:pPr>
      <w:r>
        <w:t>3. 每一阶段怎样写进 logbook</w:t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Logbook 是当时发生的工程活动记录，不是事后整理的漂亮报告。建议每周 5–6 页有思考过程的记录；每项工作写日期、开始/结束时间、目标、方法、命令或草图、观察、问题、决策依据、结果、下一步，并给每页编号和索引。错误和失败要保留，错误内容用单线划掉后写更正，不能撕页、涂改或回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应记录内容</w:t>
            </w:r>
          </w:p>
        </w:tc>
        <w:tc>
          <w:tcPr>
            <w:tcW w:type="dxa" w:w="476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本项目示例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文献检索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检索式、数据库、筛选标准、保留/排除理由、获得的结论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为何选择 PubMed/Open Targets；哪些工作定义了 relation schema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编码/实验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环境、版本、输入、命令、参数、开始/结束时间、原始输出、异常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LLM 批次、worker 数、失败重试、数据哈希、Neo4j 导入计数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分析/决策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候选方案、评价标准、证据、最终选择和替代方案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为何只在同一实体类型内做 embedding alignment；阈值如何选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会议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会前议题、讨论结论、待办、负责人、期限、下次会议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不要填不存在的会议；邮件和线上会议数量按实际记录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结果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表图、单位、统计量、解释、局限、与预期不一致之处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精度只用 300 条随机集；100 条困难集单独报告；不能由 precision 推断 recall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创新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动机、基线、设计、实现、测试、量化比较、失败案例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证据校验、GraphRAG、引用校验、claim–evidence 校验</w:t>
            </w:r>
          </w:p>
        </w:tc>
      </w:tr>
    </w:tbl>
    <w:p>
      <w:pPr>
        <w:pStyle w:val="Heading2"/>
      </w:pPr>
      <w:r>
        <w:t>首本 logbook 的当前状态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本交付包中的第一本 logbook 只记录 2026-10-01 已实际完成的指南阅读、材料审查、范围确认和表格草拟。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10 月后续日期提供的是“计划提示”，必须在每天实际工作后用真实记录替换；不能直接作为已完成记录提交。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封面中的会议次数、会议方式和邮件数量保持 [TO CONFIRM]，因为材料没有提供事实依据。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每月封面是摘要；提交时还需扫描/合并对应时间段的手写或原始电子 logbook 页面。</w:t>
      </w:r>
    </w:p>
    <w:p>
      <w:pPr>
        <w:pStyle w:val="Heading1"/>
      </w:pPr>
      <w:r>
        <w:t>4. 报告体系与写法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报告</w:t>
            </w:r>
          </w:p>
        </w:tc>
        <w:tc>
          <w:tcPr>
            <w:tcW w:type="dxa" w:w="306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核心目的</w:t>
            </w:r>
          </w:p>
        </w:tc>
        <w:tc>
          <w:tcPr>
            <w:tcW w:type="dxa" w:w="510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建议结构与证据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Preliminary Report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证明问题值得做、目标可测、路线可行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Project Description；Measurable Outcomes；≥4页 Technical Background；References；≤1页 Work Plan；总计≤8页</w:t>
            </w:r>
          </w:p>
        </w:tc>
      </w:tr>
      <w:tr>
        <w:tc>
          <w:tcPr>
            <w:tcW w:type="dxa" w:w="192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Interim Report</w:t>
            </w:r>
          </w:p>
        </w:tc>
        <w:tc>
          <w:tcPr>
            <w:tcW w:type="dxa" w:w="30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证明已有进展、能批判性解释结果，并给出修订计划</w:t>
            </w:r>
          </w:p>
        </w:tc>
        <w:tc>
          <w:tcPr>
            <w:tcW w:type="dxa" w:w="51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Project Outline；Work Done So Far；初步结论；Challenges/Solutions；剩余工作；Revised Gantt；References；≤12页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Final Dissertation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完整呈现背景、可复现方法、结果、解释、贡献和局限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Title/Declaration；Abstract；Acknowledgements；Contents；Introduction；Literature Review；Methods；Results；Discussion；Conclusions/Future Work；References；必要附录</w:t>
            </w:r>
          </w:p>
        </w:tc>
      </w:tr>
      <w:tr>
        <w:tc>
          <w:tcPr>
            <w:tcW w:type="dxa" w:w="192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Poster + oral</w:t>
            </w:r>
          </w:p>
        </w:tc>
        <w:tc>
          <w:tcPr>
            <w:tcW w:type="dxa" w:w="30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用最少信息说明问题、方法、最重要的 1–2 个结果和原创贡献</w:t>
            </w:r>
          </w:p>
        </w:tc>
        <w:tc>
          <w:tcPr>
            <w:tcW w:type="dxa" w:w="51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一张主流程图、2–4 个关键结果图、明确创新、局限和可追溯证据；准备经典问题</w:t>
            </w:r>
          </w:p>
        </w:tc>
      </w:tr>
    </w:tbl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Introduction 解释为什么做、研究问题是什么；Literature Review 从广到窄并批判已有工作，最后落到 research gap。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Methods 要让他人能够复现：数据来源、检索日期、schema、模型/版本、提示词、参数、质量门、统计方法都要写清。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Results 只陈述观察结果，表图编号一致、坐标/单位/误差清楚；Discussion 解释原因、对照文献、说明局限。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Abstract 最后写，概括问题、方法、最主要结果和结论；不设置小标题也不塞入新信息。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图题置于图下，表题置于表上；复制或重绘他人材料都要标注来源。引用格式必须前后一致。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严禁购买报告、拼接他人文字、近似改写却不引用，或把生成式 AI 输出当作事实。使用 AI 时遵守 assessment brief，核对事实与参考文献并按要求声明。</w:t>
      </w:r>
    </w:p>
    <w:p>
      <w:pPr>
        <w:pStyle w:val="Heading1"/>
      </w:pPr>
      <w:r>
        <w:t>5. Risk、Ethics、元器件与报销结论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Risk Assessment：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需要提交并由学生与第一导师签字。主要风险不是化学/机械危害，而是长期屏幕工作、数据和代码丢失、密钥泄露、第三方 API 成本与限流、LLM 幻觉、引用/知识产权和错误医学解释。对应控制包括休息与人体工学、版本控制与备份、.env 密钥管理、预算/重试/检查点、schema 与证据校验、人工标注和明确“非临床建议”。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Ethical Declaration：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需要提交。当前设计仅处理公开 PubMed 摘要与 Open Targets 公共数据，不招募受试者、不访问病历、不处理可识别患者信息、不进行生物样本或动物实验，因此 12 个 gateway questions 均为 No。若以后加入患者数据、访谈或私有临床文本，必须重新申请伦理审查。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Component / Reimbursement：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当前不需要填写。两份样表用于元器件采购或发票报销，而本项目可用现有计算机、开源软件、公开数据和既有 API 配额完成。只有在导师事先批准购买硬件、服务器/GPU、数据库服务或可报销 API 费用时，才应填写，并使用真实供应商、单价、发票和银行信息；不得为了“完整”而虚构采购。</w:t>
      </w:r>
    </w:p>
    <w:p>
      <w:pPr>
        <w:pStyle w:val="Heading1"/>
      </w:pPr>
      <w:r>
        <w:t>6. 400 条人工标注是否必要</w:t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结论：作为毕业设计，固定“400 条”并非学校硬性规定，但独立人工标注对这个项目是必要的。没有 gold set，只能报告条数和图拓扑，不能有说服力地报告关系抽取的事实正确性。400 条规模在时间与可信度之间较合理。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1020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抽样与用途</w:t>
            </w:r>
          </w:p>
        </w:tc>
        <w:tc>
          <w:tcPr>
            <w:tcW w:type="dxa" w:w="340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报告规则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Primary random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300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从预测三元组中可复现随机抽样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只用这 300 条计算主 precision/支持率与置信区间</w:t>
            </w:r>
          </w:p>
        </w:tc>
      </w:tr>
      <w:tr>
        <w:tc>
          <w:tcPr>
            <w:tcW w:type="dxa" w:w="170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Challenge</w:t>
            </w:r>
          </w:p>
        </w:tc>
        <w:tc>
          <w:tcPr>
            <w:tcW w:type="dxa" w:w="102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100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过采样低置信、非精确证据、稀有关系</w:t>
            </w:r>
          </w:p>
        </w:tc>
        <w:tc>
          <w:tcPr>
            <w:tcW w:type="dxa" w:w="34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仅作压力测试与错误分析，不能与随机集混算主指标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Second review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80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从两组中预先标记，第二评审独立复核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报告 Cohen’s κ/一致率；分歧经讨论裁决</w:t>
            </w:r>
          </w:p>
        </w:tc>
      </w:tr>
    </w:tbl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每条先读 title + abstract，再核对 subject、subject type、relation、object、object type、方向和 evidence span。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Support label：2=直接支持；1=部分/隐含支持；0=不支持或矛盾；U=摘要不足以判断。另填错误类型与修正三元组。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AI 可给建议，但最终 gold label 必须由人确认；不能把 AI 建议伪装成人工标注。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由于抽样起点是预测三元组，这套标注估计 precision/事实支持度，不估计 recall。Recall 需要对一批完整摘要穷尽标注所有关系。</w:t>
      </w:r>
    </w:p>
    <w:p>
      <w:pPr>
        <w:pStyle w:val="Heading1"/>
      </w:pPr>
      <w:r>
        <w:t>7. 提交前检查清单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1. 用官方英文姓名、UoG/UESTC 学号、课程代码、Degree Programme 和 Supervisor 替换全部 [TO CONFIRM]。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2. 学生与导师完成 Risk Assessment 签字；Ethical Declaration 按学院要求签字。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3. 把 logbook 封面会议次数换成真实数字，并附对应日期的原始页面；删除所有尚未发生的 planned prompts。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4. 核对 Preliminary Report 总页数≤8、Technical Background≥4页、References 完整且所有引用可追溯。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5. 用 Turnitin/学校系统检查相似度；逐条核验生成式 AI 辅助文字和参考文献；保存 AI 使用声明（如 assessment brief 要求）。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6. 在 Moodle/FYP System 再确认最终截止日期；上传后保存回执和文件哈希。</w:t>
      </w:r>
    </w:p>
    <w:p>
      <w:pPr>
        <w:pStyle w:val="Heading2"/>
      </w:pPr>
      <w:r>
        <w:t>材料依据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A Guide to FYP Logbook.pdf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Student Handbook FYP 2026-27.pdf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Project writing and plagiarism printing 2017.pdf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FYP_timeline.png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各阶段 Assessment Overview 评分表（5% + 15% + 10% + 20% + 50%）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D:\kg_sma_0704\docs\fyp\project_reference\毕设总体结构-贾欧妮.pdf 与项目代码、运行产物和复现文档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