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FYP 进度、提交与写作指南</w:t>
      </w:r>
    </w:p>
    <w:p>
      <w:pPr>
        <w:jc w:val="center"/>
      </w:pPr>
      <w:r>
        <w:rPr>
          <w:rFonts w:ascii="Arial" w:hAnsi="Arial" w:eastAsia="Arial"/>
          <w:b/>
          <w:color w:val="2F5475"/>
          <w:sz w:val="24"/>
        </w:rPr>
        <w:t>Evidence-Grounded Construction of a Knowledge Graph for Spinal Muscular Atrophy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05050"/>
          <w:sz w:val="19"/>
        </w:rPr>
        <w:t>更新日期：2026-10-02｜计划起点：2026-10-01｜学年：2026/27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4E79"/>
                <w:sz w:val="20"/>
              </w:rPr>
              <w:t>真实性原则：本计划从现在开始安排未来工作；不把现有成果伪造成过去逐周完成的 logbook 记录。</w:t>
            </w:r>
          </w:p>
        </w:tc>
      </w:tr>
    </w:tbl>
    <w:p>
      <w:pPr>
        <w:pStyle w:val="Heading1"/>
      </w:pPr>
      <w:r>
        <w:t>1. 已确认的提交节点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提交/考核</w:t>
            </w:r>
          </w:p>
        </w:tc>
        <w:tc>
          <w:tcPr>
            <w:tcW w:type="dxa" w:w="850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2381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截止时间（CST）</w:t>
            </w:r>
          </w:p>
        </w:tc>
        <w:tc>
          <w:tcPr>
            <w:tcW w:type="dxa" w:w="3969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交付内容与渠道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Specification &amp; Preliminary Report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5%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2026-10-30 23:59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Preliminary Report + 第1本 Logbook + Risk Assessment；GC-UESTC FYP System</w:t>
            </w:r>
          </w:p>
        </w:tc>
      </w:tr>
      <w:tr>
        <w:tc>
          <w:tcPr>
            <w:tcW w:type="dxa" w:w="249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Interim Report + 第2本 Logbook</w:t>
            </w:r>
          </w:p>
        </w:tc>
        <w:tc>
          <w:tcPr>
            <w:tcW w:type="dxa" w:w="850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15%</w:t>
            </w:r>
          </w:p>
        </w:tc>
        <w:tc>
          <w:tcPr>
            <w:tcW w:type="dxa" w:w="238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报告：2027-01-08 23:59</w:t>
              <w:br/>
              <w:t>口试：2027-01-11—22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FYP System；按课程安排参加演示与问答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Poster submission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—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2027-04-16 12:00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FYP System</w:t>
            </w:r>
          </w:p>
        </w:tc>
      </w:tr>
      <w:tr>
        <w:tc>
          <w:tcPr>
            <w:tcW w:type="dxa" w:w="249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Oral Presentation</w:t>
            </w:r>
          </w:p>
        </w:tc>
        <w:tc>
          <w:tcPr>
            <w:tcW w:type="dxa" w:w="850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20%</w:t>
            </w:r>
          </w:p>
        </w:tc>
        <w:tc>
          <w:tcPr>
            <w:tcW w:type="dxa" w:w="238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2027-04-19—21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海报讲解与现场问答；海报未单列独立权重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Final Report + 第3本 Logbook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50%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时间存在冲突，见下方警告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纸质提交 + Moodle + FYP System</w:t>
            </w:r>
          </w:p>
        </w:tc>
      </w:tr>
      <w:tr>
        <w:tc>
          <w:tcPr>
            <w:tcW w:type="dxa" w:w="249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Student Performance Evaluation</w:t>
            </w:r>
          </w:p>
        </w:tc>
        <w:tc>
          <w:tcPr>
            <w:tcW w:type="dxa" w:w="850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10%</w:t>
            </w:r>
          </w:p>
        </w:tc>
        <w:tc>
          <w:tcPr>
            <w:tcW w:type="dxa" w:w="238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2027-04-28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导师通过 FYP System 评价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Software/code/prototype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—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时间存在冲突，见下方警告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软件代码与相关材料归档提交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CE4D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9C3F1C"/>
                <w:sz w:val="20"/>
              </w:rPr>
              <w:t>截止时间冲突：FYP_timeline.png 写明 Final Report、第三本 Logbook 和代码为 2027-04-28 23:59；Student Handbook 2026–27 表 1 写明 Final Report/Logbook 与代码为 2027-04-30 23:59。请在 2027 年 4 月前以 Moodle、FYP System 和最新 assessment brief 为准，并按较早的 4 月 28 日做内部截止。</w:t>
            </w:r>
          </w:p>
        </w:tc>
      </w:tr>
    </w:tbl>
    <w:p>
      <w:pPr>
        <w:pStyle w:val="Heading1"/>
      </w:pPr>
      <w:r>
        <w:t>2. 基于已验证现状的后续执行计划</w:t>
      </w:r>
    </w:p>
    <w:p>
      <w:pPr>
        <w:spacing w:after="80"/>
      </w:pPr>
      <w:r>
        <w:rPr>
          <w:rFonts w:ascii="Arial" w:hAnsi="Arial" w:eastAsia="Arial"/>
          <w:b w:val="0"/>
          <w:sz w:val="20"/>
        </w:rPr>
        <w:t>安排原则：2026-10-02 的实体融合修复、400条人工标签整合、受控筛查和在线数据库验收已有运行材料。后续不重复安排为从零开发任务，重点转向理解方法、分析失败、复现实验和写作。已有产物不能代替学生真实学习记录或导师反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17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814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工作包</w:t>
            </w:r>
          </w:p>
        </w:tc>
        <w:tc>
          <w:tcPr>
            <w:tcW w:type="dxa" w:w="4082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主要任务</w:t>
            </w:r>
          </w:p>
        </w:tc>
        <w:tc>
          <w:tcPr>
            <w:tcW w:type="dxa" w:w="2778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完成证据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10/01-10/04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现状与范围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核对四项修复产物、指标、风险/伦理、提交要求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运行清单；修订目标；真实日志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10/05-10/11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文献与讨论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审读SMA、实体链接、关系抽取与评价文献；明确误差定义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文献矩阵；方法选择与局限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10/12-10/18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复现与案例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按冻结输入复现融合与筛查；解释类型和条件错误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哈希核对；失败案例；保留率分析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10/19-10/25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演示与报告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验证类型化数据库、来源查看和抽取质量讨论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查询与viewer验收；初稿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10/26–10/30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首轮提交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完善 preliminary report、风险、伦理、第1本 logbook；导师签字与提交检查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10/30 提交包；后续修订清单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11/01-11/15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抽取误差研究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分析400条已有人工标签；不得把宽松支持当完全正确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严格/部分支持、误差和区间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11/16-11/30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融合分析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比较原始/字典/类型化身份和历史语义基线；新30项审核可选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结构对照；身份回归；未审指标缺失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12/01–12/15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融合与冲突处理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聚合证据、置信度融合、正负关系冲突检测、人工复核规则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fused triples；conflict list；错误案例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12/16–12/31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图谱与中期材料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Neo4j 导入、拓扑指标、可视化；撰写 interim report 和演示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图数据库、viewer、指标；中期报告草稿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01/01–01/08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中期提交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复现核心结果、修订 Gantt、完成报告与第2本 logbook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1/8 提交包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01/11–01/22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中期口试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准备 5–10 分钟技术叙述、风险/局限、问答；记录反馈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演示稿；问答库；反馈行动项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01/23-02/14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深化现有评价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解释已有标签与规则/模型失败；必要时补充新判断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错误分析；无独立双评则不报一致性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02/15-03/07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筛查讨论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比较原证据、条件/类型、模型和联合筛查的精度及保留量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受控表图；误保留和严格支持送审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03/08-03/21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论文整合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完成文献批判、方法与结果；GraphRAG列为未来工作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完整章节与复现附录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03/22-04/04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结论与引用核对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检查目标-方法-结果对应；答复生成引用/声明验证不作已实现承诺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完整报告；文献、范围与局限核验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04/05–04/15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收尾与海报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冻结实验、重跑主结果、制作海报、导师审阅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最终表图；4/16 海报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04/19–04/21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海报口试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展示贡献、证据链、局限与未来工作；记录面板反馈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口试记录；最终报告修订项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04/22–04/28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最终内部截止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完成论文、第三本 logbook、代码与复现包；查重和引用核对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按 4/28 内部截止完成全部材料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04/29–04/30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仅作缓冲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仅在官方系统确认 4/30 截止时用于上传/技术问题，不安排新实验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最终系统回执</w:t>
            </w:r>
          </w:p>
        </w:tc>
      </w:tr>
    </w:tbl>
    <w:p>
      <w:r>
        <w:br w:type="page"/>
      </w:r>
    </w:p>
    <w:p>
      <w:pPr>
        <w:pStyle w:val="Heading1"/>
      </w:pPr>
      <w:r>
        <w:t>3. 每一阶段怎样写进 logbook</w:t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Logbook 是当时发生的工程活动记录，不是事后整理的漂亮报告。建议每周 5–6 页有思考过程的记录；每项工作写日期、开始/结束时间、目标、方法、命令或草图、观察、问题、决策依据、结果、下一步，并给每页编号和索引。错误和失败要保留，错误内容用单线划掉后写更正，不能撕页、涂改或回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活动</w:t>
            </w:r>
          </w:p>
        </w:tc>
        <w:tc>
          <w:tcPr>
            <w:tcW w:type="dxa" w:w="3969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应记录内容</w:t>
            </w:r>
          </w:p>
        </w:tc>
        <w:tc>
          <w:tcPr>
            <w:tcW w:type="dxa" w:w="4762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本项目示例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文献检索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检索式、数据库、筛选标准、保留/排除理由、获得的结论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为何选择 PubMed/Open Targets；哪些工作定义了 relation schema</w:t>
            </w:r>
          </w:p>
        </w:tc>
      </w:tr>
      <w:tr>
        <w:tc>
          <w:tcPr>
            <w:tcW w:type="dxa" w:w="13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编码/实验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环境、版本、输入、命令、参数、开始/结束时间、原始输出、异常</w:t>
            </w:r>
          </w:p>
        </w:tc>
        <w:tc>
          <w:tcPr>
            <w:tcW w:type="dxa" w:w="476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LLM 批次、worker 数、失败重试、数据哈希、Neo4j 导入计数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分析/决策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候选方案、评价标准、证据、最终选择和替代方案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为何不按embedding相似度自动合并；SMN1/SMN2错并怎样修复；条件筛查为何损失严格支持候选</w:t>
            </w:r>
          </w:p>
        </w:tc>
      </w:tr>
      <w:tr>
        <w:tc>
          <w:tcPr>
            <w:tcW w:type="dxa" w:w="13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会议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会前议题、讨论结论、待办、负责人、期限、下次会议</w:t>
            </w:r>
          </w:p>
        </w:tc>
        <w:tc>
          <w:tcPr>
            <w:tcW w:type="dxa" w:w="476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不要填不存在的会议；邮件和线上会议数量按实际记录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结果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表图、单位、统计量、解释、局限、与预期不一致之处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精度只用 300 条随机集；100 条困难集单独报告；不能由 precision 推断 recall</w:t>
            </w:r>
          </w:p>
        </w:tc>
      </w:tr>
      <w:tr>
        <w:tc>
          <w:tcPr>
            <w:tcW w:type="dxa" w:w="13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创新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动机、基线、设计、实现、测试、量化比较、失败案例</w:t>
            </w:r>
          </w:p>
        </w:tc>
        <w:tc>
          <w:tcPr>
            <w:tcW w:type="dxa" w:w="476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实体身份修复、证据定位、条件/类型/模型筛查、数据库溯源验收；GraphRAG与回答引用/声明验证为未来工作</w:t>
            </w:r>
          </w:p>
        </w:tc>
      </w:tr>
    </w:tbl>
    <w:p>
      <w:pPr>
        <w:pStyle w:val="Heading2"/>
      </w:pPr>
      <w:r>
        <w:t>首本 logbook 的当前状态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本交付包中的第一本 logbook 只记录 2026-10-01 已实际完成的指南阅读、材料审查、范围确认和表格草拟。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10 月后续日期提供的是“计划提示”，必须在每天实际工作后用真实记录替换；不能直接作为已完成记录提交。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封面中的会议次数、会议方式和邮件数量保持 [TO CONFIRM]，因为材料没有提供事实依据。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每月封面是摘要；提交时还需扫描/合并对应时间段的手写或原始电子 logbook 页面。</w:t>
      </w:r>
    </w:p>
    <w:p>
      <w:pPr>
        <w:pStyle w:val="Heading1"/>
      </w:pPr>
      <w:r>
        <w:t>4. 报告体系与写法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28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报告</w:t>
            </w:r>
          </w:p>
        </w:tc>
        <w:tc>
          <w:tcPr>
            <w:tcW w:type="dxa" w:w="3061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核心目的</w:t>
            </w:r>
          </w:p>
        </w:tc>
        <w:tc>
          <w:tcPr>
            <w:tcW w:type="dxa" w:w="5102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建议结构与证据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Preliminary Report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证明问题值得做、目标可测、路线可行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Project Description；Measurable Outcomes；≥4页 Technical Background；References；≤1页 Work Plan；总计≤8页</w:t>
            </w:r>
          </w:p>
        </w:tc>
      </w:tr>
      <w:tr>
        <w:tc>
          <w:tcPr>
            <w:tcW w:type="dxa" w:w="192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Interim Report</w:t>
            </w:r>
          </w:p>
        </w:tc>
        <w:tc>
          <w:tcPr>
            <w:tcW w:type="dxa" w:w="30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证明已有进展、能批判性解释结果，并给出修订计划</w:t>
            </w:r>
          </w:p>
        </w:tc>
        <w:tc>
          <w:tcPr>
            <w:tcW w:type="dxa" w:w="510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Project Outline；Work Done So Far；初步结论；Challenges/Solutions；剩余工作；Revised Gantt；References；≤12页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Final Dissertation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完整呈现背景、可复现方法、结果、解释、贡献和局限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Title/Declaration；Abstract；Acknowledgements；Contents；Introduction；Literature Review；Methods；Results；Discussion；Conclusions/Future Work；References；必要附录</w:t>
            </w:r>
          </w:p>
        </w:tc>
      </w:tr>
      <w:tr>
        <w:tc>
          <w:tcPr>
            <w:tcW w:type="dxa" w:w="192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Poster + oral</w:t>
            </w:r>
          </w:p>
        </w:tc>
        <w:tc>
          <w:tcPr>
            <w:tcW w:type="dxa" w:w="30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用最少信息说明问题、方法、最重要的 1–2 个结果和原创贡献</w:t>
            </w:r>
          </w:p>
        </w:tc>
        <w:tc>
          <w:tcPr>
            <w:tcW w:type="dxa" w:w="510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一张主流程图、2–4 个关键结果图、明确创新、局限和可追溯证据；准备经典问题</w:t>
            </w:r>
          </w:p>
        </w:tc>
      </w:tr>
    </w:tbl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Introduction 解释为什么做、研究问题是什么；Literature Review 从广到窄并批判已有工作，最后落到 research gap。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Methods 要让他人能够复现：数据来源、检索日期、schema、模型/版本、提示词、参数、质量门、统计方法都要写清。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Results 只陈述观察结果，表图编号一致、坐标/单位/误差清楚；Discussion 解释原因、对照文献、说明局限。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Abstract 最后写，概括问题、方法、最主要结果和结论；不设置小标题也不塞入新信息。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图题置于图下，表题置于表上；复制或重绘他人材料都要标注来源。引用格式必须前后一致。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严禁购买报告、拼接他人文字、近似改写却不引用，或把生成式 AI 输出当作事实。使用 AI 时遵守 assessment brief，核对事实与参考文献并按要求声明。</w:t>
      </w:r>
    </w:p>
    <w:p>
      <w:pPr>
        <w:pStyle w:val="Heading1"/>
      </w:pPr>
      <w:r>
        <w:t>5. Risk、Ethics、元器件与报销结论</w:t>
      </w:r>
    </w:p>
    <w:p>
      <w:pPr>
        <w:spacing w:after="80"/>
      </w:pPr>
      <w:r>
        <w:rPr>
          <w:rFonts w:ascii="Arial" w:hAnsi="Arial" w:eastAsia="Arial"/>
          <w:b/>
          <w:sz w:val="21"/>
        </w:rPr>
        <w:t>Risk Assessment：</w:t>
      </w:r>
      <w:r>
        <w:rPr>
          <w:rFonts w:ascii="Arial" w:hAnsi="Arial" w:eastAsia="Arial"/>
          <w:b w:val="0"/>
          <w:sz w:val="21"/>
        </w:rPr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需要提交并由学生与第一导师签字。主要风险不是化学/机械危害，而是长期屏幕工作、数据和代码丢失、密钥泄露、第三方 API 成本与限流、LLM 幻觉、引用/知识产权和错误医学解释。对应控制包括休息与人体工学、版本控制与备份、.env 密钥管理、预算/重试/检查点、schema 与证据校验、人工标注和明确“非临床建议”。</w:t>
      </w:r>
    </w:p>
    <w:p>
      <w:pPr>
        <w:spacing w:after="80"/>
      </w:pPr>
      <w:r>
        <w:rPr>
          <w:rFonts w:ascii="Arial" w:hAnsi="Arial" w:eastAsia="Arial"/>
          <w:b/>
          <w:sz w:val="21"/>
        </w:rPr>
        <w:t>Ethical Declaration：</w:t>
      </w:r>
      <w:r>
        <w:rPr>
          <w:rFonts w:ascii="Arial" w:hAnsi="Arial" w:eastAsia="Arial"/>
          <w:b w:val="0"/>
          <w:sz w:val="21"/>
        </w:rPr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需要提交。当前设计仅处理公开 PubMed 摘要与 Open Targets 公共数据，不招募受试者、不访问病历、不处理可识别患者信息、不进行生物样本或动物实验，因此 12 个 gateway questions 均为 No。若以后加入患者数据、访谈或私有临床文本，必须重新申请伦理审查。</w:t>
      </w:r>
    </w:p>
    <w:p>
      <w:pPr>
        <w:spacing w:after="80"/>
      </w:pPr>
      <w:r>
        <w:rPr>
          <w:rFonts w:ascii="Arial" w:hAnsi="Arial" w:eastAsia="Arial"/>
          <w:b/>
          <w:sz w:val="21"/>
        </w:rPr>
        <w:t>Component / Reimbursement：</w:t>
      </w:r>
      <w:r>
        <w:rPr>
          <w:rFonts w:ascii="Arial" w:hAnsi="Arial" w:eastAsia="Arial"/>
          <w:b w:val="0"/>
          <w:sz w:val="21"/>
        </w:rPr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当前不需要填写。两份样表用于元器件采购或发票报销，而本项目可用现有计算机、开源软件、公开数据和既有 API 配额完成。只有在导师事先批准购买硬件、服务器/GPU、数据库服务或可报销 API 费用时，才应填写，并使用真实供应商、单价、发票和银行信息；不得为了“完整”而虚构采购。</w:t>
      </w:r>
    </w:p>
    <w:p>
      <w:pPr>
        <w:pStyle w:val="Heading1"/>
      </w:pPr>
      <w:r>
        <w:t>6. 400 条人工标注是否必要</w:t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400条标签已由用户确认全部人工标记，ChatGPT仅整理表格。随机主集严格支持26.3%，部分支持47.0%；73.3%为宽松支持率，不能称为完全正确率。学校未硬性要求400条或80条双评；现有独立第二评审为空，不报告一致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1020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969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抽样与用途</w:t>
            </w:r>
          </w:p>
        </w:tc>
        <w:tc>
          <w:tcPr>
            <w:tcW w:type="dxa" w:w="3402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报告规则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Primary random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300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从预测三元组中可复现随机抽样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只用这 300 条计算主 precision/支持率与置信区间</w:t>
            </w:r>
          </w:p>
        </w:tc>
      </w:tr>
      <w:tr>
        <w:tc>
          <w:tcPr>
            <w:tcW w:type="dxa" w:w="170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Challenge</w:t>
            </w:r>
          </w:p>
        </w:tc>
        <w:tc>
          <w:tcPr>
            <w:tcW w:type="dxa" w:w="1020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100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过采样低置信、非精确证据、稀有关系</w:t>
            </w:r>
          </w:p>
        </w:tc>
        <w:tc>
          <w:tcPr>
            <w:tcW w:type="dxa" w:w="340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仅作压力测试与错误分析，不能与随机集混算主指标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Independent second review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未提供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可选补充；80条不是硬性承诺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无独立标签则不报告Cohen's kappa或一致率</w:t>
            </w:r>
          </w:p>
        </w:tc>
      </w:tr>
    </w:tbl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现有400条无需重填；组件类型/方向字段为空，不推算其准确率。新的融合映射或改写候选需要对应的新判断，不能沿用原预测标签。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Support label：2=直接支持；1=部分支持；0=不支持；U=无法判断。证据片段合格与关系支持分别计算；新模型筛查始终标为模型辅助。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AI 可给建议，但最终 gold label 必须由人确认；不能把 AI 建议伪装成人工标注。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由于抽样起点是预测三元组，这套标注估计 precision/事实支持度，不估计 recall。Recall 需要对一批完整摘要穷尽标注所有关系。</w:t>
      </w:r>
    </w:p>
    <w:p>
      <w:pPr>
        <w:pStyle w:val="Heading1"/>
      </w:pPr>
      <w:r>
        <w:t>7. 提交前检查清单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1. 用官方英文姓名、UoG/UESTC 学号、课程代码、Degree Programme 和 Supervisor 替换全部 [TO CONFIRM]。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2. 学生与导师完成 Risk Assessment 签字；Ethical Declaration 按学院要求签字。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3. 把 logbook 封面会议次数换成真实数字，并附对应日期的原始页面；删除所有尚未发生的 planned prompts。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4. 核对 Preliminary Report 总页数≤8、Technical Background≥4页、References 完整且所有引用可追溯。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5. 用 Turnitin/学校系统检查相似度；逐条核验生成式 AI 辅助文字和参考文献；保存 AI 使用声明（如 assessment brief 要求）。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6. 在 Moodle/FYP System 再确认最终截止日期；上传后保存回执和文件哈希。</w:t>
      </w:r>
    </w:p>
    <w:p>
      <w:pPr>
        <w:pStyle w:val="Heading2"/>
      </w:pPr>
      <w:r>
        <w:t>材料依据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A Guide to FYP Logbook.pdf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Student Handbook FYP 2026-27.pdf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Project writing and plagiarism printing 2017.pdf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FYP_timeline.png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各阶段 Assessment Overview 评分表（5% + 15% + 10% + 20% + 50%）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D:\kg_sma_0704\docs\fyp\project_reference\毕设总体结构-贾欧妮.pdf 与项目代码、运行产物和复现文档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