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94C94" w14:textId="77777777" w:rsidR="006E35EF" w:rsidRPr="00FC36BD" w:rsidRDefault="00806C4F" w:rsidP="00806C4F">
      <w:pPr>
        <w:jc w:val="center"/>
        <w:rPr>
          <w:rFonts w:ascii="Arial Narrow" w:hAnsi="Arial Narrow" w:cs="Helvetica Neue"/>
          <w:color w:val="262626"/>
          <w:sz w:val="28"/>
          <w:szCs w:val="28"/>
          <w:lang w:val="en-US"/>
        </w:rPr>
      </w:pPr>
      <w:r>
        <w:rPr>
          <w:rFonts w:ascii="Arial" w:hAnsi="Arial" w:eastAsia="Arial"/>
          <w:b/>
          <w:color w:val="1F4E79"/>
          <w:sz w:val="22"/>
        </w:rPr>
        <w:t>GC-UESTCHN4008P Project Specifications and Preliminary Report</w:t>
      </w:r>
    </w:p>
    <w:p w14:paraId="12CBA747" w14:textId="77777777" w:rsidR="00FC36BD" w:rsidRPr="00FC36BD" w:rsidRDefault="00FC36BD" w:rsidP="00FC36BD">
      <w:pPr>
        <w:jc w:val="center"/>
        <w:rPr>
          <w:rFonts w:ascii="Arial Narrow" w:hAnsi="Arial Narrow" w:cs="Helvetica Neue"/>
          <w:b/>
          <w:i/>
          <w:color w:val="262626"/>
          <w:lang w:val="en-US"/>
        </w:rPr>
      </w:pPr>
      <w:r>
        <w:rPr>
          <w:rFonts w:ascii="Arial" w:hAnsi="Arial" w:eastAsia="Arial"/>
          <w:b/>
          <w:sz w:val="18"/>
        </w:rPr>
        <w:t>Course code: [TO CONFIRM]    Academic year: 2026–27</w:t>
      </w:r>
    </w:p>
    <w:p w14:paraId="29DD1CA5" w14:textId="77777777" w:rsidR="00806C4F" w:rsidRDefault="00806C4F" w:rsidP="00FC36BD">
      <w:pPr>
        <w:ind w:left="720"/>
        <w:rPr>
          <w:rFonts w:ascii="Arial" w:hAnsi="Arial" w:cs="Arial"/>
          <w:b/>
          <w:sz w:val="16"/>
          <w:szCs w:val="16"/>
        </w:rPr>
      </w:pPr>
    </w:p>
    <w:p w14:paraId="22A0B538" w14:textId="77777777" w:rsidR="008F2F59" w:rsidRPr="00FC36BD" w:rsidRDefault="008F2F59" w:rsidP="000A6F83">
      <w:pPr>
        <w:jc w:val="center"/>
        <w:rPr>
          <w:rFonts w:ascii="Arial Narrow" w:hAnsi="Arial Narrow" w:cs="Arial"/>
          <w:b/>
          <w:sz w:val="16"/>
          <w:szCs w:val="16"/>
        </w:rPr>
      </w:pP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1980"/>
        <w:gridCol w:w="2070"/>
        <w:gridCol w:w="4320"/>
      </w:tblGrid>
      <w:tr w:rsidR="007D2954" w:rsidRPr="001132C1" w14:paraId="5018D6E3" w14:textId="77777777" w:rsidTr="00233F7A">
        <w:trPr>
          <w:trHeight w:val="567"/>
        </w:trPr>
        <w:tc>
          <w:tcPr>
            <w:tcW w:w="2088" w:type="dxa"/>
            <w:vAlign w:val="center"/>
          </w:tcPr>
          <w:p w14:paraId="0A54DF91" w14:textId="77777777" w:rsidR="007D2954" w:rsidRPr="001132C1" w:rsidRDefault="007D2954" w:rsidP="007D2954">
            <w:pPr>
              <w:jc w:val="left"/>
              <w:rPr>
                <w:rFonts w:ascii="Arial Narrow" w:hAnsi="Arial Narrow" w:cs="Arial"/>
                <w:sz w:val="24"/>
                <w:szCs w:val="24"/>
              </w:rPr>
            </w:pPr>
            <w:r w:rsidRPr="001132C1">
              <w:rPr>
                <w:rFonts w:ascii="Arial Narrow" w:hAnsi="Arial Narrow" w:cs="Arial"/>
                <w:sz w:val="24"/>
                <w:szCs w:val="24"/>
              </w:rPr>
              <w:t>Student Name</w:t>
            </w:r>
          </w:p>
        </w:tc>
        <w:tc>
          <w:tcPr>
            <w:tcW w:w="1980" w:type="dxa"/>
            <w:vAlign w:val="center"/>
            <w:tcMar>
              <w:top w:w="80" w:type="dxa"/>
              <w:start w:w="90" w:type="dxa"/>
              <w:bottom w:w="80" w:type="dxa"/>
              <w:end w:w="90" w:type="dxa"/>
            </w:tcMar>
          </w:tcPr>
          <w:p>
            <w:r/>
            <w:r>
              <w:rPr>
                <w:rFonts w:ascii="Arial" w:hAnsi="Arial" w:eastAsia="Arial"/>
                <w:b w:val="0"/>
                <w:sz w:val="17"/>
              </w:rPr>
              <w:t>贾欧妮 [insert official English name]</w:t>
            </w:r>
          </w:p>
        </w:tc>
        <w:tc>
          <w:tcPr>
            <w:tcW w:w="2070" w:type="dxa"/>
            <w:vAlign w:val="center"/>
          </w:tcPr>
          <w:p w14:paraId="39F50DEB" w14:textId="77777777" w:rsidR="007D2954" w:rsidRDefault="007D2954" w:rsidP="007D2954">
            <w:pPr>
              <w:jc w:val="left"/>
              <w:rPr>
                <w:rFonts w:ascii="Arial Narrow" w:hAnsi="Arial Narrow" w:cs="Arial"/>
                <w:sz w:val="24"/>
                <w:szCs w:val="24"/>
              </w:rPr>
            </w:pPr>
            <w:r w:rsidRPr="001132C1">
              <w:rPr>
                <w:rFonts w:ascii="Arial Narrow" w:hAnsi="Arial Narrow" w:cs="Arial"/>
                <w:sz w:val="24"/>
                <w:szCs w:val="24"/>
              </w:rPr>
              <w:t>Placement Company</w:t>
            </w:r>
          </w:p>
          <w:p w14:paraId="0923BA07" w14:textId="77777777" w:rsidR="007D2954" w:rsidRPr="001132C1" w:rsidRDefault="007D2954" w:rsidP="007D2954">
            <w:pPr>
              <w:jc w:val="left"/>
              <w:rPr>
                <w:rFonts w:ascii="Arial Narrow" w:hAnsi="Arial Narrow" w:cs="Arial"/>
                <w:sz w:val="28"/>
                <w:szCs w:val="28"/>
              </w:rPr>
            </w:pPr>
            <w:r>
              <w:rPr>
                <w:rFonts w:ascii="Arial Narrow" w:hAnsi="Arial Narrow" w:cs="Arial"/>
                <w:sz w:val="24"/>
                <w:szCs w:val="24"/>
              </w:rPr>
              <w:t xml:space="preserve"> </w:t>
            </w:r>
            <w:r w:rsidRPr="00FC36BD">
              <w:rPr>
                <w:rFonts w:ascii="Arial Narrow" w:hAnsi="Arial Narrow" w:cs="Arial"/>
              </w:rPr>
              <w:t>(if appropriate)</w:t>
            </w:r>
          </w:p>
        </w:tc>
        <w:tc>
          <w:tcPr>
            <w:tcW w:w="4320" w:type="dxa"/>
            <w:vAlign w:val="center"/>
            <w:tcMar>
              <w:top w:w="80" w:type="dxa"/>
              <w:start w:w="90" w:type="dxa"/>
              <w:bottom w:w="80" w:type="dxa"/>
              <w:end w:w="90" w:type="dxa"/>
            </w:tcMar>
          </w:tcPr>
          <w:p>
            <w:r/>
            <w:r>
              <w:rPr>
                <w:rFonts w:ascii="Arial" w:hAnsi="Arial" w:eastAsia="Arial"/>
                <w:b w:val="0"/>
                <w:sz w:val="17"/>
              </w:rPr>
              <w:t>Not applicable</w:t>
            </w:r>
          </w:p>
        </w:tc>
      </w:tr>
      <w:tr w:rsidR="007D2954" w:rsidRPr="001132C1" w14:paraId="110C8673" w14:textId="77777777" w:rsidTr="00233F7A">
        <w:trPr>
          <w:trHeight w:val="567"/>
        </w:trPr>
        <w:tc>
          <w:tcPr>
            <w:tcW w:w="2088" w:type="dxa"/>
            <w:vAlign w:val="center"/>
          </w:tcPr>
          <w:p w14:paraId="63F8B2DB" w14:textId="77777777" w:rsidR="007D2954" w:rsidRPr="001132C1" w:rsidRDefault="007D2954" w:rsidP="007D2954">
            <w:pPr>
              <w:jc w:val="left"/>
              <w:rPr>
                <w:rFonts w:ascii="Arial Narrow" w:hAnsi="Arial Narrow" w:cs="Arial"/>
                <w:sz w:val="24"/>
                <w:szCs w:val="24"/>
              </w:rPr>
            </w:pPr>
            <w:r w:rsidRPr="001132C1">
              <w:rPr>
                <w:rFonts w:ascii="Arial Narrow" w:hAnsi="Arial Narrow" w:cs="Arial"/>
                <w:sz w:val="24"/>
                <w:szCs w:val="24"/>
              </w:rPr>
              <w:t>Student Matriculation Number</w:t>
            </w:r>
          </w:p>
        </w:tc>
        <w:tc>
          <w:tcPr>
            <w:tcW w:w="1980" w:type="dxa"/>
            <w:vAlign w:val="center"/>
            <w:tcMar>
              <w:top w:w="80" w:type="dxa"/>
              <w:start w:w="90" w:type="dxa"/>
              <w:bottom w:w="80" w:type="dxa"/>
              <w:end w:w="90" w:type="dxa"/>
            </w:tcMar>
          </w:tcPr>
          <w:p>
            <w:r/>
            <w:r>
              <w:rPr>
                <w:rFonts w:ascii="Arial" w:hAnsi="Arial" w:eastAsia="Arial"/>
                <w:b w:val="0"/>
                <w:sz w:val="17"/>
              </w:rPr>
              <w:t>[UoG ID TO CONFIRM]</w:t>
            </w:r>
          </w:p>
        </w:tc>
        <w:tc>
          <w:tcPr>
            <w:tcW w:w="2070" w:type="dxa"/>
            <w:vAlign w:val="center"/>
          </w:tcPr>
          <w:p w14:paraId="2C695D35" w14:textId="77777777" w:rsidR="007D2954" w:rsidRPr="001132C1" w:rsidRDefault="007D2954" w:rsidP="007D2954">
            <w:pPr>
              <w:jc w:val="left"/>
              <w:rPr>
                <w:rFonts w:ascii="Arial Narrow" w:hAnsi="Arial Narrow" w:cs="Arial"/>
                <w:sz w:val="28"/>
                <w:szCs w:val="28"/>
              </w:rPr>
            </w:pPr>
            <w:r w:rsidRPr="001132C1">
              <w:rPr>
                <w:rFonts w:ascii="Arial Narrow" w:hAnsi="Arial Narrow" w:cs="Arial"/>
                <w:sz w:val="24"/>
                <w:szCs w:val="24"/>
              </w:rPr>
              <w:t>Working Title of Project</w:t>
            </w:r>
          </w:p>
        </w:tc>
        <w:tc>
          <w:tcPr>
            <w:tcW w:w="4320" w:type="dxa"/>
            <w:vAlign w:val="center"/>
            <w:tcMar>
              <w:top w:w="80" w:type="dxa"/>
              <w:start w:w="90" w:type="dxa"/>
              <w:bottom w:w="80" w:type="dxa"/>
              <w:end w:w="90" w:type="dxa"/>
            </w:tcMar>
          </w:tcPr>
          <w:p>
            <w:r/>
            <w:r>
              <w:rPr>
                <w:rFonts w:ascii="Arial" w:hAnsi="Arial" w:eastAsia="Arial"/>
                <w:b w:val="0"/>
                <w:sz w:val="16"/>
              </w:rPr>
              <w:t>Evidence-Grounded Construction of a Knowledge Graph for Spinal Muscular Atrophy</w:t>
            </w:r>
          </w:p>
        </w:tc>
      </w:tr>
      <w:tr w:rsidR="007D2954" w:rsidRPr="001132C1" w14:paraId="149A78DE" w14:textId="77777777" w:rsidTr="00233F7A">
        <w:trPr>
          <w:trHeight w:val="567"/>
        </w:trPr>
        <w:tc>
          <w:tcPr>
            <w:tcW w:w="2088" w:type="dxa"/>
            <w:vAlign w:val="center"/>
          </w:tcPr>
          <w:p w14:paraId="288E9C0E" w14:textId="77777777" w:rsidR="007D2954" w:rsidRPr="001132C1" w:rsidRDefault="007D2954" w:rsidP="007D2954">
            <w:pPr>
              <w:jc w:val="left"/>
              <w:rPr>
                <w:rFonts w:ascii="Arial Narrow" w:hAnsi="Arial Narrow" w:cs="Arial"/>
                <w:sz w:val="24"/>
                <w:szCs w:val="24"/>
              </w:rPr>
            </w:pPr>
            <w:r>
              <w:rPr>
                <w:rFonts w:ascii="Arial Narrow" w:hAnsi="Arial Narrow" w:cs="Arial"/>
                <w:sz w:val="24"/>
                <w:szCs w:val="24"/>
              </w:rPr>
              <w:t>UESTC Student Number</w:t>
            </w:r>
          </w:p>
        </w:tc>
        <w:tc>
          <w:tcPr>
            <w:tcW w:w="1980" w:type="dxa"/>
            <w:vAlign w:val="center"/>
            <w:tcMar>
              <w:top w:w="80" w:type="dxa"/>
              <w:start w:w="90" w:type="dxa"/>
              <w:bottom w:w="80" w:type="dxa"/>
              <w:end w:w="90" w:type="dxa"/>
            </w:tcMar>
          </w:tcPr>
          <w:p>
            <w:r/>
            <w:r>
              <w:rPr>
                <w:rFonts w:ascii="Arial" w:hAnsi="Arial" w:eastAsia="Arial"/>
                <w:b w:val="0"/>
                <w:sz w:val="17"/>
              </w:rPr>
              <w:t>[UESTC ID TO CONFIRM]</w:t>
            </w:r>
          </w:p>
        </w:tc>
        <w:tc>
          <w:tcPr>
            <w:tcW w:w="2070" w:type="dxa"/>
            <w:vAlign w:val="center"/>
          </w:tcPr>
          <w:p w14:paraId="2BFF63A9" w14:textId="77777777" w:rsidR="007D2954" w:rsidRPr="001132C1" w:rsidRDefault="007D2954" w:rsidP="007D2954">
            <w:pPr>
              <w:jc w:val="left"/>
              <w:rPr>
                <w:rFonts w:ascii="Arial Narrow" w:hAnsi="Arial Narrow" w:cs="Arial"/>
                <w:sz w:val="28"/>
                <w:szCs w:val="28"/>
              </w:rPr>
            </w:pPr>
            <w:r w:rsidRPr="001132C1">
              <w:rPr>
                <w:rFonts w:ascii="Arial Narrow" w:hAnsi="Arial Narrow" w:cs="Arial"/>
                <w:sz w:val="24"/>
                <w:szCs w:val="24"/>
              </w:rPr>
              <w:t xml:space="preserve">Name of First </w:t>
            </w:r>
            <w:r>
              <w:rPr>
                <w:rFonts w:ascii="Arial Narrow" w:hAnsi="Arial Narrow" w:cs="Arial"/>
                <w:sz w:val="24"/>
                <w:szCs w:val="24"/>
              </w:rPr>
              <w:t>S</w:t>
            </w:r>
            <w:r w:rsidRPr="001132C1">
              <w:rPr>
                <w:rFonts w:ascii="Arial Narrow" w:hAnsi="Arial Narrow" w:cs="Arial"/>
                <w:sz w:val="24"/>
                <w:szCs w:val="24"/>
              </w:rPr>
              <w:t xml:space="preserve">upervisor </w:t>
            </w:r>
          </w:p>
        </w:tc>
        <w:tc>
          <w:tcPr>
            <w:tcW w:w="4320" w:type="dxa"/>
            <w:vAlign w:val="center"/>
            <w:tcMar>
              <w:top w:w="80" w:type="dxa"/>
              <w:start w:w="90" w:type="dxa"/>
              <w:bottom w:w="80" w:type="dxa"/>
              <w:end w:w="90" w:type="dxa"/>
            </w:tcMar>
          </w:tcPr>
          <w:p>
            <w:r/>
            <w:r>
              <w:rPr>
                <w:rFonts w:ascii="Arial" w:hAnsi="Arial" w:eastAsia="Arial"/>
                <w:b w:val="0"/>
                <w:sz w:val="17"/>
              </w:rPr>
              <w:t>[TO CONFIRM]</w:t>
            </w:r>
          </w:p>
        </w:tc>
      </w:tr>
      <w:tr w:rsidR="007D2954" w:rsidRPr="001132C1" w14:paraId="6B77E2A1" w14:textId="77777777" w:rsidTr="00233F7A">
        <w:trPr>
          <w:trHeight w:val="567"/>
        </w:trPr>
        <w:tc>
          <w:tcPr>
            <w:tcW w:w="2088" w:type="dxa"/>
            <w:tcBorders>
              <w:bottom w:val="single" w:sz="4" w:space="0" w:color="auto"/>
            </w:tcBorders>
            <w:vAlign w:val="center"/>
          </w:tcPr>
          <w:p w14:paraId="051B9021" w14:textId="77777777" w:rsidR="007D2954" w:rsidRPr="001132C1" w:rsidRDefault="007D2954" w:rsidP="007D2954">
            <w:pPr>
              <w:jc w:val="left"/>
              <w:rPr>
                <w:rFonts w:ascii="Arial Narrow" w:hAnsi="Arial Narrow" w:cs="Arial"/>
                <w:sz w:val="24"/>
                <w:szCs w:val="24"/>
              </w:rPr>
            </w:pPr>
            <w:r w:rsidRPr="001132C1">
              <w:rPr>
                <w:rFonts w:ascii="Arial Narrow" w:hAnsi="Arial Narrow" w:cs="Arial"/>
                <w:sz w:val="24"/>
                <w:szCs w:val="24"/>
              </w:rPr>
              <w:t>Degree programme</w:t>
            </w:r>
          </w:p>
        </w:tc>
        <w:tc>
          <w:tcPr>
            <w:tcW w:w="1980" w:type="dxa"/>
            <w:tcBorders>
              <w:bottom w:val="single" w:sz="4" w:space="0" w:color="auto"/>
            </w:tcBorders>
            <w:vAlign w:val="center"/>
            <w:tcMar>
              <w:top w:w="80" w:type="dxa"/>
              <w:start w:w="90" w:type="dxa"/>
              <w:bottom w:w="80" w:type="dxa"/>
              <w:end w:w="90" w:type="dxa"/>
            </w:tcMar>
          </w:tcPr>
          <w:p>
            <w:r/>
            <w:r>
              <w:rPr>
                <w:rFonts w:ascii="Arial" w:hAnsi="Arial" w:eastAsia="Arial"/>
                <w:b w:val="0"/>
                <w:sz w:val="16"/>
              </w:rPr>
              <w:t>[DEGREE PROGRAMME TO CONFIRM]</w:t>
            </w:r>
          </w:p>
        </w:tc>
        <w:tc>
          <w:tcPr>
            <w:tcW w:w="2070" w:type="dxa"/>
            <w:vMerge w:val="restart"/>
            <w:vAlign w:val="center"/>
          </w:tcPr>
          <w:p w14:paraId="59C055FF" w14:textId="77777777" w:rsidR="007D2954" w:rsidRPr="001132C1" w:rsidRDefault="007D2954" w:rsidP="007D2954">
            <w:pPr>
              <w:jc w:val="left"/>
              <w:rPr>
                <w:rFonts w:ascii="Arial Narrow" w:hAnsi="Arial Narrow" w:cs="Arial"/>
                <w:sz w:val="28"/>
                <w:szCs w:val="28"/>
              </w:rPr>
            </w:pPr>
            <w:r w:rsidRPr="00E924E9">
              <w:rPr>
                <w:rFonts w:ascii="Arial" w:eastAsia="Arial" w:hAnsi="Arial" w:cs="Arial"/>
                <w:b/>
                <w:sz w:val="24"/>
                <w:szCs w:val="24"/>
              </w:rPr>
              <w:t>Declaration of Originality and Submission Information</w:t>
            </w:r>
          </w:p>
        </w:tc>
        <w:tc>
          <w:tcPr>
            <w:tcW w:w="4320" w:type="dxa"/>
            <w:vMerge w:val="restart"/>
            <w:vAlign w:val="center"/>
          </w:tcPr>
          <w:p w14:paraId="42B00C3A" w14:textId="77777777" w:rsidR="007D2954" w:rsidRDefault="007D2954" w:rsidP="007D2954">
            <w:pPr>
              <w:spacing w:line="261" w:lineRule="auto"/>
              <w:ind w:right="27"/>
            </w:pPr>
            <w:r>
              <w:rPr>
                <w:rFonts w:ascii="Arial" w:eastAsia="Arial" w:hAnsi="Arial" w:cs="Arial"/>
                <w:i/>
              </w:rPr>
              <w:t>I affirm that this submission is all my own work in accordance with the University of Glasgow</w:t>
            </w:r>
            <w:r w:rsidR="00BC36C0">
              <w:rPr>
                <w:rFonts w:ascii="Arial" w:eastAsia="Arial" w:hAnsi="Arial" w:cs="Arial"/>
                <w:i/>
              </w:rPr>
              <w:t xml:space="preserve"> and </w:t>
            </w:r>
            <w:r w:rsidR="002B4C5C">
              <w:rPr>
                <w:rFonts w:ascii="Arial" w:eastAsia="Arial" w:hAnsi="Arial" w:cs="Arial"/>
                <w:i/>
              </w:rPr>
              <w:t>UESTC</w:t>
            </w:r>
            <w:r>
              <w:rPr>
                <w:rFonts w:ascii="Arial" w:eastAsia="Arial" w:hAnsi="Arial" w:cs="Arial"/>
                <w:i/>
              </w:rPr>
              <w:t xml:space="preserve"> Regulations</w:t>
            </w:r>
            <w:r w:rsidR="00BC36C0">
              <w:rPr>
                <w:rFonts w:ascii="Arial" w:eastAsia="Arial" w:hAnsi="Arial" w:cs="Arial"/>
                <w:i/>
              </w:rPr>
              <w:t>,</w:t>
            </w:r>
            <w:r>
              <w:rPr>
                <w:rFonts w:ascii="Arial" w:eastAsia="Arial" w:hAnsi="Arial" w:cs="Arial"/>
                <w:i/>
              </w:rPr>
              <w:t xml:space="preserve"> and the</w:t>
            </w:r>
            <w:r w:rsidR="00BC36C0">
              <w:rPr>
                <w:rFonts w:ascii="Arial" w:eastAsia="Arial" w:hAnsi="Arial" w:cs="Arial"/>
                <w:i/>
              </w:rPr>
              <w:t xml:space="preserve"> James Watt</w:t>
            </w:r>
            <w:r>
              <w:rPr>
                <w:rFonts w:ascii="Arial" w:eastAsia="Arial" w:hAnsi="Arial" w:cs="Arial"/>
                <w:i/>
              </w:rPr>
              <w:t xml:space="preserve"> School of Engineering requirements</w:t>
            </w:r>
            <w:r w:rsidR="00BC36C0">
              <w:rPr>
                <w:rFonts w:ascii="Arial" w:eastAsia="Arial" w:hAnsi="Arial" w:cs="Arial"/>
                <w:i/>
              </w:rPr>
              <w:t>.</w:t>
            </w:r>
          </w:p>
          <w:p w14:paraId="76D1D8D2" w14:textId="77777777" w:rsidR="007D2954" w:rsidRPr="001132C1" w:rsidRDefault="007D2954" w:rsidP="007D2954">
            <w:pPr>
              <w:jc w:val="left"/>
              <w:rPr>
                <w:rFonts w:ascii="Arial Narrow" w:hAnsi="Arial Narrow" w:cs="Arial"/>
                <w:sz w:val="28"/>
                <w:szCs w:val="28"/>
              </w:rPr>
            </w:pPr>
            <w:r>
              <w:rPr>
                <w:rFonts w:ascii="Arial" w:eastAsia="Arial" w:hAnsi="Arial" w:cs="Arial"/>
              </w:rPr>
              <w:t>Signed (Student):</w:t>
            </w:r>
            <w:r>
              <w:br/>
              <w:t>Signed (Student): [SIGNATURE REQUIRED]</w:t>
            </w:r>
          </w:p>
        </w:tc>
      </w:tr>
      <w:tr w:rsidR="007D2954" w:rsidRPr="001132C1" w14:paraId="109710AB" w14:textId="77777777" w:rsidTr="00233F7A">
        <w:trPr>
          <w:trHeight w:val="567"/>
        </w:trPr>
        <w:tc>
          <w:tcPr>
            <w:tcW w:w="2088" w:type="dxa"/>
            <w:tcBorders>
              <w:bottom w:val="single" w:sz="4" w:space="0" w:color="auto"/>
            </w:tcBorders>
            <w:vAlign w:val="center"/>
          </w:tcPr>
          <w:p w14:paraId="713E1B85" w14:textId="77777777" w:rsidR="007D2954" w:rsidRPr="001132C1" w:rsidRDefault="007D2954" w:rsidP="007D2954">
            <w:pPr>
              <w:jc w:val="left"/>
              <w:rPr>
                <w:rFonts w:ascii="Arial Narrow" w:hAnsi="Arial Narrow" w:cs="Arial"/>
                <w:sz w:val="24"/>
                <w:szCs w:val="24"/>
              </w:rPr>
            </w:pPr>
            <w:r w:rsidRPr="001132C1">
              <w:rPr>
                <w:rFonts w:ascii="Arial Narrow" w:hAnsi="Arial Narrow" w:cs="Arial"/>
                <w:sz w:val="24"/>
                <w:szCs w:val="24"/>
              </w:rPr>
              <w:t>Academic year</w:t>
            </w:r>
          </w:p>
        </w:tc>
        <w:tc>
          <w:tcPr>
            <w:tcW w:w="1980" w:type="dxa"/>
            <w:tcBorders>
              <w:bottom w:val="single" w:sz="4" w:space="0" w:color="auto"/>
            </w:tcBorders>
            <w:vAlign w:val="center"/>
            <w:tcMar>
              <w:top w:w="80" w:type="dxa"/>
              <w:start w:w="90" w:type="dxa"/>
              <w:bottom w:w="80" w:type="dxa"/>
              <w:end w:w="90" w:type="dxa"/>
            </w:tcMar>
          </w:tcPr>
          <w:p>
            <w:r/>
            <w:r>
              <w:rPr>
                <w:rFonts w:ascii="Arial" w:hAnsi="Arial" w:eastAsia="Arial"/>
                <w:b w:val="0"/>
                <w:sz w:val="17"/>
              </w:rPr>
              <w:t>2026–27</w:t>
            </w:r>
          </w:p>
        </w:tc>
        <w:tc>
          <w:tcPr>
            <w:tcW w:w="2070" w:type="dxa"/>
            <w:vMerge/>
            <w:tcBorders>
              <w:bottom w:val="single" w:sz="4" w:space="0" w:color="auto"/>
            </w:tcBorders>
          </w:tcPr>
          <w:p w14:paraId="3DAB1C47" w14:textId="77777777" w:rsidR="007D2954" w:rsidRPr="001132C1" w:rsidRDefault="007D2954" w:rsidP="007D2954">
            <w:pPr>
              <w:jc w:val="left"/>
              <w:rPr>
                <w:rFonts w:ascii="Arial Narrow" w:hAnsi="Arial Narrow" w:cs="Arial"/>
                <w:sz w:val="28"/>
                <w:szCs w:val="28"/>
              </w:rPr>
            </w:pPr>
          </w:p>
        </w:tc>
        <w:tc>
          <w:tcPr>
            <w:tcW w:w="4320" w:type="dxa"/>
            <w:vMerge/>
            <w:tcBorders>
              <w:bottom w:val="single" w:sz="4" w:space="0" w:color="auto"/>
            </w:tcBorders>
            <w:vAlign w:val="center"/>
          </w:tcPr>
          <w:p w14:paraId="68689E8A" w14:textId="77777777" w:rsidR="007D2954" w:rsidRPr="001132C1" w:rsidRDefault="007D2954" w:rsidP="007D2954">
            <w:pPr>
              <w:jc w:val="left"/>
              <w:rPr>
                <w:rFonts w:ascii="Arial Narrow" w:hAnsi="Arial Narrow" w:cs="Arial"/>
                <w:sz w:val="28"/>
                <w:szCs w:val="28"/>
              </w:rPr>
            </w:pPr>
          </w:p>
        </w:tc>
      </w:tr>
    </w:tbl>
    <w:p w14:paraId="0E671F41" w14:textId="77777777" w:rsidR="0079480A" w:rsidRPr="00FC36BD" w:rsidRDefault="0079480A" w:rsidP="00C071E3">
      <w:pPr>
        <w:jc w:val="left"/>
        <w:rPr>
          <w:rFonts w:ascii="Arial Narrow" w:hAnsi="Arial Narrow" w:cs="Arial"/>
          <w:sz w:val="16"/>
          <w:szCs w:val="16"/>
        </w:rPr>
      </w:pPr>
    </w:p>
    <w:p>
      <w:pPr>
        <w:spacing w:before="240"/>
        <w:jc w:val="center"/>
      </w:pPr>
      <w:r>
        <w:rPr>
          <w:rFonts w:ascii="Arial" w:hAnsi="Arial" w:eastAsia="Arial"/>
          <w:b/>
          <w:color w:val="1F4E79"/>
          <w:sz w:val="36"/>
        </w:rPr>
        <w:t>Evidence-Grounded Construction of a Knowledge Graph for Spinal Muscular Atrophy</w:t>
      </w:r>
    </w:p>
    <w:p>
      <w:pPr>
        <w:jc w:val="center"/>
      </w:pPr>
      <w:r>
        <w:rPr>
          <w:rFonts w:ascii="Arial" w:hAnsi="Arial" w:eastAsia="Arial"/>
          <w:b/>
          <w:color w:val="2F5475"/>
          <w:sz w:val="24"/>
        </w:rPr>
        <w:t>Project Specifications and Preliminary Report</w:t>
      </w:r>
    </w:p>
    <w:tbl>
      <w:tblPr>
        <w:tblW w:type="auto" w:w="0"/>
        <w:jc w:val="center"/>
        <w:tblLook w:firstColumn="1" w:firstRow="1" w:lastColumn="0" w:lastRow="0" w:noHBand="0" w:noVBand="1" w:val="04A0"/>
      </w:tblPr>
      <w:tblGrid>
        <w:gridCol w:w="10148"/>
      </w:tblGrid>
      <w:tr>
        <w:tc>
          <w:tcPr>
            <w:tcW w:type="dxa" w:w="10148"/>
            <w:shd w:fill="E2F0D9"/>
            <w:tcMar>
              <w:top w:w="90" w:type="dxa"/>
              <w:start w:w="90" w:type="dxa"/>
              <w:bottom w:w="90" w:type="dxa"/>
              <w:end w:w="90" w:type="dxa"/>
            </w:tcMar>
          </w:tcPr>
          <w:p>
            <w:pPr>
              <w:jc w:val="center"/>
            </w:pPr>
            <w:r>
              <w:rPr>
                <w:rFonts w:ascii="Arial" w:hAnsi="Arial" w:eastAsia="Arial"/>
                <w:b/>
                <w:color w:val="375623"/>
                <w:sz w:val="20"/>
              </w:rPr>
              <w:t>Submission target: Friday 30 October 2026, 23:59 CST — confirm against the current Moodle/FYP System brief before upload.</w:t>
            </w:r>
          </w:p>
        </w:tc>
      </w:tr>
    </w:tbl>
    <w:p>
      <w:r>
        <w:br w:type="page"/>
      </w:r>
    </w:p>
    <w:p>
      <w:pPr>
        <w:pStyle w:val="1"/>
      </w:pPr>
      <w:r>
        <w:t>1. Project Description</w:t>
      </w:r>
    </w:p>
    <w:p>
      <w:pPr>
        <w:spacing w:after="80"/>
      </w:pPr>
      <w:r>
        <w:rPr>
          <w:rFonts w:ascii="Arial" w:hAnsi="Arial" w:eastAsia="Arial"/>
          <w:b w:val="0"/>
          <w:sz w:val="18"/>
        </w:rPr>
        <w:t>Spinal muscular atrophy (SMA) is an inherited neuromuscular disorder in which reduced survival motor neuron protein leads to progressive motor-neuron loss. The biomedical evidence surrounding SMA spans molecular mechanisms, genotypes, phenotypes, therapies and outcomes, but much of it remains distributed across literature and heterogeneous databases. This project will design and evaluate a reproducible software pipeline that converts public PubMed abstracts and Open Targets associations into an evidence-grounded SMA knowledge graph.</w:t>
      </w:r>
    </w:p>
    <w:p>
      <w:pPr>
        <w:spacing w:after="80"/>
      </w:pPr>
      <w:r>
        <w:rPr>
          <w:rFonts w:ascii="Arial" w:hAnsi="Arial" w:eastAsia="Arial"/>
          <w:b w:val="0"/>
          <w:sz w:val="18"/>
        </w:rPr>
        <w:t>The pipeline versions source data, analyses literature topics, extracts typed biomedical triples, validates their schema, applies curated dictionaries and conservative typed identity normalisation, aggregates evidence and flags conflicts. It imports a versioned Neo4j graph and supports source-backed visual inspection. The contribution is an auditable engineering study of extraction support, identity errors and evidence screening; graph-based answer generation is future work.</w:t>
      </w:r>
    </w:p>
    <w:p>
      <w:pPr>
        <w:pStyle w:val="1"/>
      </w:pPr>
      <w:r>
        <w:t>2. Measurable Outcomes</w:t>
      </w:r>
    </w:p>
    <w:tbl>
      <w:tblPr>
        <w:tblStyle w:val="af7"/>
        <w:tblW w:type="auto" w:w="0"/>
        <w:jc w:val="center"/>
        <w:tblLook w:firstColumn="1" w:firstRow="1" w:lastColumn="0" w:lastRow="0" w:noHBand="0" w:noVBand="1" w:val="04A0"/>
      </w:tblPr>
      <w:tblGrid>
        <w:gridCol w:w="3383"/>
        <w:gridCol w:w="3383"/>
        <w:gridCol w:w="3383"/>
      </w:tblGrid>
      <w:tr>
        <w:trPr>
          <w:tblHeader w:val="true"/>
        </w:trPr>
        <w:tc>
          <w:tcPr>
            <w:tcW w:type="dxa" w:w="2098"/>
            <w:shd w:fill="2F5E85"/>
            <w:vAlign w:val="center"/>
          </w:tcPr>
          <w:p>
            <w:pPr>
              <w:jc w:val="center"/>
            </w:pPr>
            <w:r>
              <w:rPr>
                <w:rFonts w:ascii="Arial" w:hAnsi="Arial" w:eastAsia="Arial"/>
                <w:b/>
                <w:color w:val="FFFFFF"/>
                <w:sz w:val="16"/>
              </w:rPr>
              <w:t>Task / target</w:t>
            </w:r>
          </w:p>
        </w:tc>
        <w:tc>
          <w:tcPr>
            <w:tcW w:type="dxa" w:w="4592"/>
            <w:shd w:fill="2F5E85"/>
            <w:vAlign w:val="center"/>
          </w:tcPr>
          <w:p>
            <w:pPr>
              <w:jc w:val="center"/>
            </w:pPr>
            <w:r>
              <w:rPr>
                <w:rFonts w:ascii="Arial" w:hAnsi="Arial" w:eastAsia="Arial"/>
                <w:b/>
                <w:color w:val="FFFFFF"/>
                <w:sz w:val="16"/>
              </w:rPr>
              <w:t>Measurable acceptance criterion</w:t>
            </w:r>
          </w:p>
        </w:tc>
        <w:tc>
          <w:tcPr>
            <w:tcW w:type="dxa" w:w="3118"/>
            <w:shd w:fill="2F5E85"/>
            <w:vAlign w:val="center"/>
          </w:tcPr>
          <w:p>
            <w:pPr>
              <w:jc w:val="center"/>
            </w:pPr>
            <w:r>
              <w:rPr>
                <w:rFonts w:ascii="Arial" w:hAnsi="Arial" w:eastAsia="Arial"/>
                <w:b/>
                <w:color w:val="FFFFFF"/>
                <w:sz w:val="16"/>
              </w:rPr>
              <w:t>Tangible output</w:t>
            </w:r>
          </w:p>
        </w:tc>
      </w:tr>
      <w:tr>
        <w:tc>
          <w:tcPr>
            <w:tcW w:type="dxa" w:w="2098"/>
            <w:vAlign w:val="center"/>
            <w:tcMar>
              <w:top w:w="80" w:type="dxa"/>
              <w:start w:w="90" w:type="dxa"/>
              <w:bottom w:w="80" w:type="dxa"/>
              <w:end w:w="90" w:type="dxa"/>
            </w:tcMar>
          </w:tcPr>
          <w:p>
            <w:r>
              <w:rPr>
                <w:rFonts w:ascii="Arial" w:hAnsi="Arial" w:eastAsia="Arial"/>
                <w:b w:val="0"/>
                <w:sz w:val="16"/>
              </w:rPr>
              <w:t>Data acquisition</w:t>
            </w:r>
          </w:p>
        </w:tc>
        <w:tc>
          <w:tcPr>
            <w:tcW w:type="dxa" w:w="4592"/>
            <w:vAlign w:val="center"/>
            <w:tcMar>
              <w:top w:w="80" w:type="dxa"/>
              <w:start w:w="90" w:type="dxa"/>
              <w:bottom w:w="80" w:type="dxa"/>
              <w:end w:w="90" w:type="dxa"/>
            </w:tcMar>
          </w:tcPr>
          <w:p>
            <w:r>
              <w:rPr>
                <w:rFonts w:ascii="Arial" w:hAnsi="Arial" w:eastAsia="Arial"/>
                <w:b w:val="0"/>
                <w:sz w:val="16"/>
              </w:rPr>
              <w:t>Versioned PubMed and Open Targets inputs; no malformed JSON; counts and SHA-256 recorded</w:t>
            </w:r>
          </w:p>
        </w:tc>
        <w:tc>
          <w:tcPr>
            <w:tcW w:type="dxa" w:w="3118"/>
            <w:vAlign w:val="center"/>
            <w:tcMar>
              <w:top w:w="80" w:type="dxa"/>
              <w:start w:w="90" w:type="dxa"/>
              <w:bottom w:w="80" w:type="dxa"/>
              <w:end w:w="90" w:type="dxa"/>
            </w:tcMar>
          </w:tcPr>
          <w:p>
            <w:r>
              <w:rPr>
                <w:rFonts w:ascii="Arial" w:hAnsi="Arial" w:eastAsia="Arial"/>
                <w:b w:val="0"/>
                <w:sz w:val="16"/>
              </w:rPr>
              <w:t>Raw JSONL, manifest and validation report</w:t>
            </w:r>
          </w:p>
        </w:tc>
      </w:tr>
      <w:tr>
        <w:tc>
          <w:tcPr>
            <w:tcW w:type="dxa" w:w="2098"/>
            <w:vAlign w:val="center"/>
            <w:shd w:fill="F3F6F8"/>
            <w:tcMar>
              <w:top w:w="80" w:type="dxa"/>
              <w:start w:w="90" w:type="dxa"/>
              <w:bottom w:w="80" w:type="dxa"/>
              <w:end w:w="90" w:type="dxa"/>
            </w:tcMar>
          </w:tcPr>
          <w:p>
            <w:r>
              <w:rPr>
                <w:rFonts w:ascii="Arial" w:hAnsi="Arial" w:eastAsia="Arial"/>
                <w:b w:val="0"/>
                <w:sz w:val="16"/>
              </w:rPr>
              <w:t>Topic analysis</w:t>
            </w:r>
          </w:p>
        </w:tc>
        <w:tc>
          <w:tcPr>
            <w:tcW w:type="dxa" w:w="4592"/>
            <w:vAlign w:val="center"/>
            <w:shd w:fill="F3F6F8"/>
            <w:tcMar>
              <w:top w:w="80" w:type="dxa"/>
              <w:start w:w="90" w:type="dxa"/>
              <w:bottom w:w="80" w:type="dxa"/>
              <w:end w:w="90" w:type="dxa"/>
            </w:tcMar>
          </w:tcPr>
          <w:p>
            <w:r>
              <w:rPr>
                <w:rFonts w:ascii="Arial" w:hAnsi="Arial" w:eastAsia="Arial"/>
                <w:b w:val="0"/>
                <w:sz w:val="16"/>
              </w:rPr>
              <w:t>Reproducible document embeddings/clusters with interpretable topic terms and parameter record</w:t>
            </w:r>
          </w:p>
        </w:tc>
        <w:tc>
          <w:tcPr>
            <w:tcW w:type="dxa" w:w="3118"/>
            <w:vAlign w:val="center"/>
            <w:shd w:fill="F3F6F8"/>
            <w:tcMar>
              <w:top w:w="80" w:type="dxa"/>
              <w:start w:w="90" w:type="dxa"/>
              <w:bottom w:w="80" w:type="dxa"/>
              <w:end w:w="90" w:type="dxa"/>
            </w:tcMar>
          </w:tcPr>
          <w:p>
            <w:r>
              <w:rPr>
                <w:rFonts w:ascii="Arial" w:hAnsi="Arial" w:eastAsia="Arial"/>
                <w:b w:val="0"/>
                <w:sz w:val="16"/>
              </w:rPr>
              <w:t>Clustered abstracts and topic summary</w:t>
            </w:r>
          </w:p>
        </w:tc>
      </w:tr>
      <w:tr>
        <w:tc>
          <w:tcPr>
            <w:tcW w:type="dxa" w:w="2098"/>
            <w:vAlign w:val="center"/>
            <w:tcMar>
              <w:top w:w="80" w:type="dxa"/>
              <w:start w:w="90" w:type="dxa"/>
              <w:bottom w:w="80" w:type="dxa"/>
              <w:end w:w="90" w:type="dxa"/>
            </w:tcMar>
          </w:tcPr>
          <w:p>
            <w:r>
              <w:rPr>
                <w:rFonts w:ascii="Arial" w:hAnsi="Arial" w:eastAsia="Arial"/>
                <w:b w:val="0"/>
                <w:sz w:val="16"/>
              </w:rPr>
              <w:t>Triple extraction</w:t>
            </w:r>
          </w:p>
        </w:tc>
        <w:tc>
          <w:tcPr>
            <w:tcW w:type="dxa" w:w="4592"/>
            <w:vAlign w:val="center"/>
            <w:tcMar>
              <w:top w:w="80" w:type="dxa"/>
              <w:start w:w="90" w:type="dxa"/>
              <w:bottom w:w="80" w:type="dxa"/>
              <w:end w:w="90" w:type="dxa"/>
            </w:tcMar>
          </w:tcPr>
          <w:p>
            <w:r>
              <w:rPr>
                <w:rFonts w:ascii="Arial" w:hAnsi="Arial" w:eastAsia="Arial"/>
                <w:b w:val="0"/>
                <w:sz w:val="16"/>
              </w:rPr>
              <w:t>Typed subject–relation–object records with PMID, evidence span and validation status</w:t>
            </w:r>
          </w:p>
        </w:tc>
        <w:tc>
          <w:tcPr>
            <w:tcW w:type="dxa" w:w="3118"/>
            <w:vAlign w:val="center"/>
            <w:tcMar>
              <w:top w:w="80" w:type="dxa"/>
              <w:start w:w="90" w:type="dxa"/>
              <w:bottom w:w="80" w:type="dxa"/>
              <w:end w:w="90" w:type="dxa"/>
            </w:tcMar>
          </w:tcPr>
          <w:p>
            <w:r>
              <w:rPr>
                <w:rFonts w:ascii="Arial" w:hAnsi="Arial" w:eastAsia="Arial"/>
                <w:b w:val="0"/>
                <w:sz w:val="16"/>
              </w:rPr>
              <w:t>Canonical JSONL and rejected-record log</w:t>
            </w:r>
          </w:p>
        </w:tc>
      </w:tr>
      <w:tr>
        <w:tc>
          <w:tcPr>
            <w:tcW w:type="dxa" w:w="2098"/>
            <w:vAlign w:val="center"/>
            <w:shd w:fill="F3F6F8"/>
            <w:tcMar>
              <w:top w:w="80" w:type="dxa"/>
              <w:start w:w="90" w:type="dxa"/>
              <w:bottom w:w="80" w:type="dxa"/>
              <w:end w:w="90" w:type="dxa"/>
            </w:tcMar>
          </w:tcPr>
          <w:p>
            <w:r>
              <w:rPr>
                <w:rFonts w:ascii="Arial" w:hAnsi="Arial" w:eastAsia="Arial"/>
                <w:b w:val="0"/>
                <w:sz w:val="16"/>
              </w:rPr>
              <w:t>Fusion and graph</w:t>
            </w:r>
          </w:p>
        </w:tc>
        <w:tc>
          <w:tcPr>
            <w:tcW w:type="dxa" w:w="4592"/>
            <w:vAlign w:val="center"/>
            <w:shd w:fill="F3F6F8"/>
            <w:tcMar>
              <w:top w:w="80" w:type="dxa"/>
              <w:start w:w="90" w:type="dxa"/>
              <w:bottom w:w="80" w:type="dxa"/>
              <w:end w:w="90" w:type="dxa"/>
            </w:tcMar>
          </w:tcPr>
          <w:p>
            <w:r>
              <w:rPr>
                <w:rFonts w:ascii="Arial" w:hAnsi="Arial" w:eastAsia="Arial"/>
                <w:b w:val="0"/>
                <w:sz w:val="16"/>
              </w:rPr>
              <w:t>Typed identity, source-specific relations and complete provenance; current online graph reconciled against inputs</w:t>
            </w:r>
          </w:p>
        </w:tc>
        <w:tc>
          <w:tcPr>
            <w:tcW w:type="dxa" w:w="3118"/>
            <w:vAlign w:val="center"/>
            <w:shd w:fill="F3F6F8"/>
            <w:tcMar>
              <w:top w:w="80" w:type="dxa"/>
              <w:start w:w="90" w:type="dxa"/>
              <w:bottom w:w="80" w:type="dxa"/>
              <w:end w:w="90" w:type="dxa"/>
            </w:tcMar>
          </w:tcPr>
          <w:p>
            <w:r>
              <w:rPr>
                <w:rFonts w:ascii="Arial" w:hAnsi="Arial" w:eastAsia="Arial"/>
                <w:b w:val="0"/>
                <w:sz w:val="16"/>
              </w:rPr>
              <w:t>Versioned Neo4j graph, acceptance JSON, typed metrics and source explorer</w:t>
            </w:r>
          </w:p>
        </w:tc>
      </w:tr>
      <w:tr>
        <w:tc>
          <w:tcPr>
            <w:tcW w:type="dxa" w:w="2098"/>
            <w:vAlign w:val="center"/>
            <w:tcMar>
              <w:top w:w="80" w:type="dxa"/>
              <w:start w:w="90" w:type="dxa"/>
              <w:bottom w:w="80" w:type="dxa"/>
              <w:end w:w="90" w:type="dxa"/>
            </w:tcMar>
          </w:tcPr>
          <w:p>
            <w:r>
              <w:rPr>
                <w:rFonts w:ascii="Arial" w:hAnsi="Arial" w:eastAsia="Arial"/>
                <w:b w:val="0"/>
                <w:sz w:val="16"/>
              </w:rPr>
              <w:t>Human evaluation</w:t>
            </w:r>
          </w:p>
        </w:tc>
        <w:tc>
          <w:tcPr>
            <w:tcW w:type="dxa" w:w="4592"/>
            <w:vAlign w:val="center"/>
            <w:tcMar>
              <w:top w:w="80" w:type="dxa"/>
              <w:start w:w="90" w:type="dxa"/>
              <w:bottom w:w="80" w:type="dxa"/>
              <w:end w:w="90" w:type="dxa"/>
            </w:tcMar>
          </w:tcPr>
          <w:p>
            <w:r>
              <w:rPr>
                <w:rFonts w:ascii="Arial" w:hAnsi="Arial" w:eastAsia="Arial"/>
                <w:b w:val="0"/>
                <w:sz w:val="16"/>
              </w:rPr>
              <w:t>400 human-labelled original predictions: 300 random + 100 challenge; integrated support/span checks; no second-review agreement supplied</w:t>
            </w:r>
          </w:p>
        </w:tc>
        <w:tc>
          <w:tcPr>
            <w:tcW w:type="dxa" w:w="3118"/>
            <w:vAlign w:val="center"/>
            <w:tcMar>
              <w:top w:w="80" w:type="dxa"/>
              <w:start w:w="90" w:type="dxa"/>
              <w:bottom w:w="80" w:type="dxa"/>
              <w:end w:w="90" w:type="dxa"/>
            </w:tcMar>
          </w:tcPr>
          <w:p>
            <w:r>
              <w:rPr>
                <w:rFonts w:ascii="Arial" w:hAnsi="Arial" w:eastAsia="Arial"/>
                <w:b w:val="0"/>
                <w:sz w:val="16"/>
              </w:rPr>
              <w:t>Preserved workbook, support intervals, error analysis and explicit measurement limits</w:t>
            </w:r>
          </w:p>
        </w:tc>
      </w:tr>
      <w:tr>
        <w:tc>
          <w:tcPr>
            <w:tcW w:type="dxa" w:w="2098"/>
            <w:vAlign w:val="center"/>
            <w:shd w:fill="F3F6F8"/>
            <w:tcMar>
              <w:top w:w="80" w:type="dxa"/>
              <w:start w:w="90" w:type="dxa"/>
              <w:bottom w:w="80" w:type="dxa"/>
              <w:end w:w="90" w:type="dxa"/>
            </w:tcMar>
          </w:tcPr>
          <w:p>
            <w:r>
              <w:rPr>
                <w:rFonts w:ascii="Arial" w:hAnsi="Arial" w:eastAsia="Arial"/>
                <w:b w:val="0"/>
                <w:sz w:val="16"/>
              </w:rPr>
              <w:t>Controlled quality improvement</w:t>
            </w:r>
          </w:p>
        </w:tc>
        <w:tc>
          <w:tcPr>
            <w:tcW w:type="dxa" w:w="4592"/>
            <w:vAlign w:val="center"/>
            <w:shd w:fill="F3F6F8"/>
            <w:tcMar>
              <w:top w:w="80" w:type="dxa"/>
              <w:start w:w="90" w:type="dxa"/>
              <w:bottom w:w="80" w:type="dxa"/>
              <w:end w:w="90" w:type="dxa"/>
            </w:tcMar>
          </w:tcPr>
          <w:p>
            <w:r>
              <w:rPr>
                <w:rFonts w:ascii="Arial" w:hAnsi="Arial" w:eastAsia="Arial"/>
                <w:b w:val="0"/>
                <w:sz w:val="16"/>
              </w:rPr>
              <w:t>Evidence, context/type and model-assisted screens compared on unchanged original predictions; precision and retention reported together</w:t>
            </w:r>
          </w:p>
        </w:tc>
        <w:tc>
          <w:tcPr>
            <w:tcW w:type="dxa" w:w="3118"/>
            <w:vAlign w:val="center"/>
            <w:shd w:fill="F3F6F8"/>
            <w:tcMar>
              <w:top w:w="80" w:type="dxa"/>
              <w:start w:w="90" w:type="dxa"/>
              <w:bottom w:w="80" w:type="dxa"/>
              <w:end w:w="90" w:type="dxa"/>
            </w:tcMar>
          </w:tcPr>
          <w:p>
            <w:r>
              <w:rPr>
                <w:rFonts w:ascii="Arial" w:hAnsi="Arial" w:eastAsia="Arial"/>
                <w:b w:val="0"/>
                <w:sz w:val="16"/>
              </w:rPr>
              <w:t>Frozen protocol, label-blind requests, decisions, tests and paired comparison tables</w:t>
            </w:r>
          </w:p>
        </w:tc>
      </w:tr>
    </w:tbl>
    <w:p>
      <w:pPr>
        <w:spacing w:after="80"/>
      </w:pPr>
      <w:r>
        <w:rPr>
          <w:rFonts w:ascii="Arial" w:hAnsi="Arial" w:eastAsia="Arial"/>
          <w:b w:val="0"/>
          <w:sz w:val="18"/>
        </w:rPr>
        <w:t>The project is a software and experimental research output. Success is assessed through reproducibility, source support, provenance preservation, typed graph integrity and controlled screening results. Strict support, partial support and evidence-span adequacy are separate measures. Graph size and heuristic confidence do not measure factual accuracy.</w:t>
      </w:r>
    </w:p>
    <w:p>
      <w:r>
        <w:br w:type="page"/>
      </w:r>
    </w:p>
    <w:p>
      <w:pPr>
        <w:pStyle w:val="1"/>
      </w:pPr>
      <w:r>
        <w:t>3. Technical Background</w:t>
      </w:r>
    </w:p>
    <w:p>
      <w:pPr>
        <w:pStyle w:val="2"/>
      </w:pPr>
      <w:r>
        <w:t>3.1 Topic Basis and Significance</w:t>
      </w:r>
    </w:p>
    <w:p>
      <w:pPr>
        <w:spacing w:after="80"/>
      </w:pPr>
      <w:r>
        <w:rPr>
          <w:rFonts w:ascii="Arial" w:hAnsi="Arial" w:eastAsia="Arial"/>
          <w:b w:val="0"/>
          <w:sz w:val="19"/>
        </w:rPr>
        <w:t>SMA was linked to the survival motor neuron (SMN) gene region by Lefebvre et al. [1]. Subsequent therapeutic development has produced mechanistically distinct interventions: nusinersen modifies SMN2 splicing [2], onasemnogene abeparvovec supplies a functional SMN1 transgene [3], and risdiplam is an oral SMN2 splicing modifier [4]. The field therefore contains relations among genes, variants, molecular functions, drugs, phenotypes, patient subgroups and measured outcomes. These relations are precisely the kind of heterogeneous evidence that benefits from an explicit graph representation.</w:t>
      </w:r>
    </w:p>
    <w:p>
      <w:pPr>
        <w:spacing w:after="80"/>
      </w:pPr>
      <w:r>
        <w:rPr>
          <w:rFonts w:ascii="Arial" w:hAnsi="Arial" w:eastAsia="Arial"/>
          <w:b w:val="0"/>
          <w:sz w:val="19"/>
        </w:rPr>
        <w:t>The integration problem is to identify which typed entities and relations occur in the stored literature, expose their supporting PMIDs and source sentences, and distinguish conflicting or conditional statements. A keyword search returns documents; this graph exposes directed relationships while retaining original predictions and their provenance. Generated-answer validation is outside the core evaluation.</w:t>
      </w:r>
    </w:p>
    <w:p>
      <w:pPr>
        <w:spacing w:after="80"/>
      </w:pPr>
      <w:r>
        <w:rPr>
          <w:rFonts w:ascii="Arial" w:hAnsi="Arial" w:eastAsia="Arial"/>
          <w:b w:val="0"/>
          <w:sz w:val="19"/>
        </w:rPr>
        <w:t>Open Targets provides public, systematically integrated target–disease evidence and programmatic access, making it a suitable structured complement to PubMed text [5]. PubMed supplies breadth and explicit bibliographic identifiers, whereas Open Targets provides curated/scored association records. Combining them allows the project to compare literature-derived relations with an external structured source without using private patient data.</w:t>
      </w:r>
    </w:p>
    <w:p>
      <w:pPr>
        <w:pStyle w:val="2"/>
      </w:pPr>
      <w:r>
        <w:t>3.2 Why a knowledge graph</w:t>
      </w:r>
    </w:p>
    <w:p>
      <w:pPr>
        <w:spacing w:after="80"/>
      </w:pPr>
      <w:r>
        <w:rPr>
          <w:rFonts w:ascii="Arial" w:hAnsi="Arial" w:eastAsia="Arial"/>
          <w:b w:val="0"/>
          <w:sz w:val="19"/>
        </w:rPr>
        <w:t>A knowledge graph represents entities as nodes and typed relations as edges, supporting neighbourhood exploration and provenance-aware aggregation [6]. The implemented schema contains Disease, Gene, Protein, Drug, Phenotype and Variant. Pathway is not currently an accepted entity type. Neo4j stores typed identities, evidence records and review status; public structured associations retain their source identifiers separately.</w:t>
      </w:r>
    </w:p>
    <w:p>
      <w:pPr>
        <w:spacing w:after="80"/>
      </w:pPr>
      <w:r>
        <w:rPr>
          <w:rFonts w:ascii="Arial" w:hAnsi="Arial" w:eastAsia="Arial"/>
          <w:b w:val="0"/>
          <w:sz w:val="19"/>
        </w:rPr>
        <w:t>Graph construction nevertheless creates risks. Entity names are ambiguous; the same concept may appear under multiple forms; relation polarity may conflict; and high-confidence model output can still be unsupported. The design must therefore treat schema validation, normalisation, provenance and human review as first-class components rather than post-processing conveniences.</w:t>
      </w:r>
    </w:p>
    <w:p>
      <w:r>
        <w:br w:type="page"/>
      </w:r>
    </w:p>
    <w:p>
      <w:pPr>
        <w:pStyle w:val="2"/>
      </w:pPr>
      <w:r>
        <w:t>3.3 Literature Review: From text to structured evidence</w:t>
      </w:r>
    </w:p>
    <w:p>
      <w:pPr>
        <w:spacing w:after="80"/>
      </w:pPr>
      <w:r>
        <w:rPr>
          <w:rFonts w:ascii="Arial" w:hAnsi="Arial" w:eastAsia="Arial"/>
          <w:b w:val="0"/>
          <w:sz w:val="18"/>
        </w:rPr>
        <w:t>Biomedical relation extraction converts unstructured sentences into semantic links between entities. Earlier systems relied on patterns and syntactic rules; neural and transformer-based approaches improved contextual representation but still face overlapping relations, long-range context, domain terminology and limited labelled data. Literature-scale systems such as SemRep demonstrate the value of interpretable semantic relations, while also illustrating a precision–recall trade-off [7]. More recent graph and attention models address cross-sentence dependencies, but measured performance remains task- and corpus-dependent.</w:t>
      </w:r>
    </w:p>
    <w:p>
      <w:pPr>
        <w:spacing w:after="80"/>
      </w:pPr>
      <w:r>
        <w:rPr>
          <w:rFonts w:ascii="Arial" w:hAnsi="Arial" w:eastAsia="Arial"/>
          <w:b w:val="0"/>
          <w:sz w:val="18"/>
        </w:rPr>
        <w:t>Biomedical pre-training provides useful domain representations [8], but sentence similarity cannot establish entity identity. The historical PubMedBERT embedding alignment merged distinct genes and clinical subtypes. The repaired design uses type plus name throughout and automatically normalises only equivalent case/spacing forms after guarded dictionary mapping. Embedding similarity is reserved for review proposals. Different official gene identifiers and subtype qualifiers must remain distinct.</w:t>
      </w:r>
    </w:p>
    <w:p>
      <w:pPr>
        <w:spacing w:after="80"/>
      </w:pPr>
      <w:r>
        <w:rPr>
          <w:rFonts w:ascii="Arial" w:hAnsi="Arial" w:eastAsia="Arial"/>
          <w:b w:val="0"/>
          <w:sz w:val="18"/>
        </w:rPr>
        <w:t>BERTopic embeds documents, clusters them and derives interpretable topic descriptors using class-based TF–IDF [9]. It can reveal dominant themes in a large SMA corpus and support topic-aware inspection, but its clusters are sensitive to the embedding model, dimensionality reduction and density parameters. The project will therefore preserve parameters and seeds, inspect representative abstracts and treat topics as exploratory structure rather than ground truth.</w:t>
      </w:r>
    </w:p>
    <w:p>
      <w:pPr>
        <w:spacing w:after="80"/>
      </w:pPr>
      <w:r>
        <w:rPr>
          <w:rFonts w:ascii="Arial" w:hAnsi="Arial" w:eastAsia="Arial"/>
          <w:b w:val="0"/>
          <w:sz w:val="18"/>
        </w:rPr>
        <w:t>LLMs can extract flexible typed relations with less task-specific training data, but they may generate nonexistent entities, reverse relation direction, overgeneralise evidence or output invalid structures. A restricted biomedical schema, JSON validation, confidence decomposition, exact source retention and rejected-record logs are necessary controls. Crucially, automated confidence scores cannot replace a human-reviewed evaluation set.</w:t>
      </w:r>
    </w:p>
    <w:p>
      <w:pPr>
        <w:pStyle w:val="2"/>
      </w:pPr>
      <w:r>
        <w:t>3.4 Evaluation requirement</w:t>
      </w:r>
    </w:p>
    <w:p>
      <w:pPr>
        <w:spacing w:after="80"/>
      </w:pPr>
      <w:r>
        <w:rPr>
          <w:rFonts w:ascii="Arial" w:hAnsi="Arial" w:eastAsia="Arial"/>
          <w:b w:val="0"/>
          <w:sz w:val="18"/>
        </w:rPr>
        <w:t>The supplied 400-item set has been completed: 300 random predictions for the main support estimate and 100 challenge cases reported separately. The student confirmed that all labels were human-assigned and ChatGPT only assembled the workbook. Integrated support and evidence adequacy are available; component type/direction fields and independent second reviews are empty. No agreement statistic is claimed. Prediction sampling cannot establish extraction recall or F1. Further independent review is optional additional evidence, not a completed commitment.</w:t>
      </w:r>
    </w:p>
    <w:p>
      <w:r>
        <w:br w:type="page"/>
      </w:r>
    </w:p>
    <w:p>
      <w:pPr>
        <w:pStyle w:val="2"/>
      </w:pPr>
      <w:r>
        <w:t>3.5 Proposed System Architecture</w:t>
      </w:r>
    </w:p>
    <w:p>
      <w:pPr>
        <w:spacing w:after="40"/>
        <w:ind w:left="340" w:hanging="255"/>
      </w:pPr>
      <w:r>
        <w:rPr>
          <w:rFonts w:ascii="Arial" w:hAnsi="Arial" w:eastAsia="Arial"/>
          <w:b w:val="0"/>
          <w:sz w:val="18"/>
        </w:rPr>
        <w:t>1. Acquisition and versioning. Query PubMed for SMA literature and retrieve Open Targets SMA associations. Store immutable raw files, retrieval dates, query strings, counts, hashes and validation summaries.</w:t>
      </w:r>
    </w:p>
    <w:p>
      <w:pPr>
        <w:spacing w:after="40"/>
        <w:ind w:left="340" w:hanging="255"/>
      </w:pPr>
      <w:r>
        <w:rPr>
          <w:rFonts w:ascii="Arial" w:hAnsi="Arial" w:eastAsia="Arial"/>
          <w:b w:val="0"/>
          <w:sz w:val="18"/>
        </w:rPr>
        <w:t>2. Topic modelling. Generate PubMedBERT-based document embeddings and BERTopic clusters. Review topic words and representative abstracts to identify coverage gaps and guide analysis.</w:t>
      </w:r>
    </w:p>
    <w:p>
      <w:pPr>
        <w:spacing w:after="40"/>
        <w:ind w:left="340" w:hanging="255"/>
      </w:pPr>
      <w:r>
        <w:rPr>
          <w:rFonts w:ascii="Arial" w:hAnsi="Arial" w:eastAsia="Arial"/>
          <w:b w:val="0"/>
          <w:sz w:val="18"/>
        </w:rPr>
        <w:t>3. LLM extraction. Retain model parameters, checkpointed predictions, PMID and original evidence. The revised prompt requires complete exact source sentences, distinguishes genes/proteins/variants and prohibits dropping material conditions. Prompt revisions are not credited with an accuracy gain until newly extracted predictions receive appropriate evaluation.</w:t>
      </w:r>
    </w:p>
    <w:p>
      <w:pPr>
        <w:spacing w:after="40"/>
        <w:ind w:left="340" w:hanging="255"/>
      </w:pPr>
      <w:r>
        <w:rPr>
          <w:rFonts w:ascii="Arial" w:hAnsi="Arial" w:eastAsia="Arial"/>
          <w:b w:val="0"/>
          <w:sz w:val="18"/>
        </w:rPr>
        <w:t>4. Evidence and assertion screening. Check source offsets, complete context, type contradictions, directed relation and retained conditions. Exact quotes do not prove entailment. A separate model-assisted screen receives the original assertion and source text without human labels; invalid, ambiguous and incomplete outputs fail closed and remain reviewable.</w:t>
      </w:r>
    </w:p>
    <w:p>
      <w:pPr>
        <w:spacing w:after="40"/>
        <w:ind w:left="340" w:hanging="255"/>
      </w:pPr>
      <w:r>
        <w:rPr>
          <w:rFonts w:ascii="Arial" w:hAnsi="Arial" w:eastAsia="Arial"/>
          <w:b w:val="0"/>
          <w:sz w:val="18"/>
        </w:rPr>
        <w:t>5. Entity and relation fusion. Apply guarded curated aliases and typed orthographic identity. Preserve digits, variants and subtype qualifiers; semantic similarity does not automatically merge entities. Aggregate repeated evidence and mark potential polarity conflicts. Compare raw, dictionary, repaired identity and the preserved historical semantic baseline.</w:t>
      </w:r>
    </w:p>
    <w:p>
      <w:pPr>
        <w:spacing w:after="40"/>
        <w:ind w:left="340" w:hanging="255"/>
      </w:pPr>
      <w:r>
        <w:rPr>
          <w:rFonts w:ascii="Arial" w:hAnsi="Arial" w:eastAsia="Arial"/>
          <w:b w:val="0"/>
          <w:sz w:val="18"/>
        </w:rPr>
        <w:t>6. Graph construction and analysis. Import a versioned typed graph without clearing the historical graph. Keep literature and Open Targets identities and relation sources separate. Reconcile every node, relationship and evidence property with the validated inputs; verify repeat-import idempotence, topology and the offline source explorer.</w:t>
      </w:r>
    </w:p>
    <w:p>
      <w:pPr>
        <w:spacing w:after="40"/>
        <w:ind w:left="340" w:hanging="255"/>
      </w:pPr>
      <w:r>
        <w:rPr>
          <w:rFonts w:ascii="Arial" w:hAnsi="Arial" w:eastAsia="Arial"/>
          <w:b w:val="0"/>
          <w:sz w:val="18"/>
        </w:rPr>
        <w:t>7. Evaluation and discussion. Report human strict/partial support, errors, controlled fusion results and paired evidence/context screening. Present selective support precision beside retention, false acceptance and strictly supported candidates routed to review. Use the viewer for inspection; do not claim a completed GraphRAG QA system.</w:t>
      </w:r>
    </w:p>
    <w:p>
      <w:pPr>
        <w:pStyle w:val="2"/>
      </w:pPr>
      <w:r>
        <w:t>3.6 Engineering controls and reproducibility</w:t>
      </w:r>
    </w:p>
    <w:p>
      <w:pPr>
        <w:spacing w:after="80"/>
      </w:pPr>
      <w:r>
        <w:rPr>
          <w:rFonts w:ascii="Arial" w:hAnsi="Arial" w:eastAsia="Arial"/>
          <w:b w:val="0"/>
          <w:sz w:val="18"/>
        </w:rPr>
        <w:t>Each pipeline stage will write to a dated run directory before promotion to a canonical output. A manifest will record inputs, outputs, counts, hashes, configuration and validation status. API keys and database credentials will remain in ignored local environment files. Automated tests will cover schema normalisation, unsafe graph labels, deterministic aggregation and validation gates. A stage will be reported as complete only when source code, tests, a reproducible run artefact and measured output all exist.</w:t>
      </w:r>
    </w:p>
    <w:p>
      <w:pPr>
        <w:spacing w:after="80"/>
      </w:pPr>
      <w:r>
        <w:rPr>
          <w:rFonts w:ascii="Arial" w:hAnsi="Arial" w:eastAsia="Arial"/>
          <w:b w:val="0"/>
          <w:sz w:val="18"/>
        </w:rPr>
        <w:t>Potential failure modes include API outages, rate limits, malformed model output, model drift, embedding download failure, destructive graph re-imports and hidden data leakage. Mitigations are small pilot runs, retries with bounded budgets, checkpointing, pinned model names, local caches, backups, explicit database scope and validation before promotion. These controls make the methodology defensible even if individual model calls are nondeterministic.</w:t>
      </w:r>
    </w:p>
    <w:p>
      <w:pPr>
        <w:pStyle w:val="2"/>
      </w:pPr>
      <w:r>
        <w:t>3.7 Data protection, ethics and scope</w:t>
      </w:r>
    </w:p>
    <w:p>
      <w:pPr>
        <w:spacing w:after="80"/>
      </w:pPr>
      <w:r>
        <w:rPr>
          <w:rFonts w:ascii="Arial" w:hAnsi="Arial" w:eastAsia="Arial"/>
          <w:b w:val="0"/>
          <w:sz w:val="18"/>
        </w:rPr>
        <w:t>Only public titles, abstracts and public association records are planned. No participant recruitment, patient record, biological sample or intervention is involved. The graph is a research artefact and must not be presented as clinical advice. Source licences and attribution will be respected, full copyrighted papers will not be redistributed, and any permitted generative-AI assistance in writing or code will be disclosed and verified by the student.</w:t>
      </w:r>
    </w:p>
    <w:p>
      <w:r>
        <w:br w:type="page"/>
      </w:r>
    </w:p>
    <w:p>
      <w:pPr>
        <w:pStyle w:val="2"/>
      </w:pPr>
      <w:r>
        <w:t>3.8 Research Status, Development Trend and Gap</w:t>
      </w:r>
    </w:p>
    <w:p>
      <w:pPr>
        <w:spacing w:after="80"/>
      </w:pPr>
      <w:r>
        <w:rPr>
          <w:rFonts w:ascii="Arial" w:hAnsi="Arial" w:eastAsia="Arial"/>
          <w:b w:val="0"/>
          <w:sz w:val="18"/>
        </w:rPr>
        <w:t>The development trend is moving from isolated extraction models toward systems that integrate heterogeneous sources, retain provenance and connect retrieval to generation. Retrieval-augmented generation (RAG) combines a language model with explicit external memory and can improve factuality and provenance compared with a purely parametric model [10]. GraphRAG extends retrieval by organising entities and evidence as a graph, enabling local neighbourhood questions and global corpus-level synthesis [11].</w:t>
      </w:r>
    </w:p>
    <w:p>
      <w:pPr>
        <w:spacing w:after="80"/>
      </w:pPr>
      <w:r>
        <w:rPr>
          <w:rFonts w:ascii="Arial" w:hAnsi="Arial" w:eastAsia="Arial"/>
          <w:b w:val="0"/>
          <w:sz w:val="18"/>
        </w:rPr>
        <w:t>The core gap addressed here is auditable construction rather than generated-answer grounding: original predictions must remain linked to saved source spans; identity normalisation must preserve medically distinct entities; and screening must reveal conditions without silently treating candidates as verified facts. RAG and GraphRAG [10,11] motivate future extensions, but generated-answer citation checking and atomic claim validation are not current deliverables.</w:t>
      </w:r>
    </w:p>
    <w:p>
      <w:pPr>
        <w:pStyle w:val="2"/>
      </w:pPr>
      <w:r>
        <w:t>3.9 Original Contributions and Current Evidence</w:t>
      </w:r>
    </w:p>
    <w:p>
      <w:pPr>
        <w:spacing w:after="60"/>
      </w:pPr>
      <w:r>
        <w:rPr>
          <w:rFonts w:ascii="Arial" w:hAnsi="Arial" w:eastAsia="Arial"/>
          <w:b/>
          <w:color w:val="C00000"/>
          <w:sz w:val="18"/>
        </w:rPr>
        <w:t>Contribution 1 - Typed identity repair and controlled fusion. Correct the name-only mapping overwrite, preserve SMN1/SMN2 and SMA subtypes, retain all 18,288 evidence records, and compare structural effects against the historical unsafe baseline. The repaired graph contains 13,001 literature edges. Compression is not mapping accuracy; separate mapping review remains available.</w:t>
      </w:r>
      <w:r>
        <w:rPr>
          <w:rFonts w:ascii="Arial" w:hAnsi="Arial" w:eastAsia="Arial"/>
          <w:b w:val="0"/>
          <w:sz w:val="18"/>
        </w:rPr>
      </w:r>
    </w:p>
    <w:p>
      <w:pPr>
        <w:spacing w:after="60"/>
      </w:pPr>
      <w:r>
        <w:rPr>
          <w:rFonts w:ascii="Arial" w:hAnsi="Arial" w:eastAsia="Arial"/>
          <w:b/>
          <w:color w:val="C00000"/>
          <w:sz w:val="18"/>
        </w:rPr>
        <w:t>Contribution 2 - Evidence traceability and assertion screening. Locate spans with source offsets; retain complete contexts and review reasons; compare the previous evidence gate with type/context rules, label-blind model screening and their combination. Fuzzy suggestions are review-only. Original candidates and human labels are never rewritten or replaced.</w:t>
      </w:r>
      <w:r>
        <w:rPr>
          <w:rFonts w:ascii="Arial" w:hAnsi="Arial" w:eastAsia="Arial"/>
          <w:b w:val="0"/>
          <w:sz w:val="18"/>
        </w:rPr>
      </w:r>
    </w:p>
    <w:p>
      <w:pPr>
        <w:spacing w:after="60"/>
      </w:pPr>
      <w:r>
        <w:rPr>
          <w:rFonts w:ascii="Arial" w:hAnsi="Arial" w:eastAsia="Arial"/>
          <w:b/>
          <w:color w:val="C00000"/>
          <w:sz w:val="18"/>
        </w:rPr>
        <w:t>Measured limitation - On the 202-prediction random internal test, combined screening retains 30 candidates with 46.7% strict support, versus 40.7% for the previous gate. It retains only 14 of 55 strict positives. The rule-only screen performs poorly. These retrospective results support review prioritisation, not sufficient extraction quality or a full-graph accuracy claim.</w:t>
      </w:r>
      <w:r>
        <w:rPr>
          <w:rFonts w:ascii="Arial" w:hAnsi="Arial" w:eastAsia="Arial"/>
          <w:b w:val="0"/>
          <w:sz w:val="18"/>
        </w:rPr>
      </w:r>
    </w:p>
    <w:p>
      <w:pPr>
        <w:spacing w:after="60"/>
      </w:pPr>
      <w:r>
        <w:rPr>
          <w:rFonts w:ascii="Arial" w:hAnsi="Arial" w:eastAsia="Arial"/>
          <w:b/>
          <w:color w:val="C00000"/>
          <w:sz w:val="18"/>
        </w:rPr>
        <w:t>Future work - GraphRAG answer generation, generated-answer citation validation and atomic claim-to-evidence validation remain unimplemented extensions. The limited original-assertion model screen above does not complete those answer-level modules. Their scope requires a separate QA dataset and evaluation design.</w:t>
      </w:r>
      <w:r>
        <w:rPr>
          <w:rFonts w:ascii="Arial" w:hAnsi="Arial" w:eastAsia="Arial"/>
          <w:b w:val="0"/>
          <w:sz w:val="18"/>
        </w:rPr>
      </w:r>
    </w:p>
    <w:tbl>
      <w:tblPr>
        <w:tblW w:type="auto" w:w="0"/>
        <w:jc w:val="center"/>
        <w:tblLook w:firstColumn="1" w:firstRow="1" w:lastColumn="0" w:lastRow="0" w:noHBand="0" w:noVBand="1" w:val="04A0"/>
      </w:tblPr>
      <w:tblGrid>
        <w:gridCol w:w="10148"/>
      </w:tblGrid>
      <w:tr>
        <w:tc>
          <w:tcPr>
            <w:tcW w:type="dxa" w:w="10148"/>
            <w:shd w:fill="FCE4D6"/>
            <w:tcMar>
              <w:top w:w="90" w:type="dxa"/>
              <w:start w:w="90" w:type="dxa"/>
              <w:bottom w:w="90" w:type="dxa"/>
              <w:end w:w="90" w:type="dxa"/>
            </w:tcMar>
          </w:tcPr>
          <w:p>
            <w:pPr>
              <w:jc w:val="center"/>
            </w:pPr>
            <w:r>
              <w:rPr>
                <w:rFonts w:ascii="Arial" w:hAnsi="Arial" w:eastAsia="Arial"/>
                <w:b/>
                <w:color w:val="9C3F1C"/>
                <w:sz w:val="20"/>
              </w:rPr>
              <w:t>Status rule: measured contributions require code, regression checks, dated artifacts and evaluation. GraphRAG and answer-level citation/claim validation are future work. No model decision is relabelled as human verification.</w:t>
            </w:r>
          </w:p>
        </w:tc>
      </w:tr>
    </w:tbl>
    <w:p>
      <w:pPr>
        <w:pStyle w:val="2"/>
      </w:pPr>
      <w:r>
        <w:t>3.10 Research Questions</w:t>
      </w:r>
    </w:p>
    <w:p>
      <w:pPr>
        <w:spacing w:after="40"/>
        <w:ind w:left="312" w:hanging="198"/>
      </w:pPr>
      <w:r>
        <w:rPr>
          <w:rFonts w:ascii="Arial" w:hAnsi="Arial" w:eastAsia="Arial"/>
          <w:b w:val="0"/>
          <w:sz w:val="18"/>
        </w:rPr>
        <w:t>RQ1: What strict and partial source support do the original schema-constrained SMA predictions achieve, and which condition, type and evidence errors recur?</w:t>
      </w:r>
    </w:p>
    <w:p>
      <w:pPr>
        <w:spacing w:after="40"/>
        <w:ind w:left="312" w:hanging="198"/>
      </w:pPr>
      <w:r>
        <w:rPr>
          <w:rFonts w:ascii="Arial" w:hAnsi="Arial" w:eastAsia="Arial"/>
          <w:b w:val="0"/>
          <w:sz w:val="18"/>
        </w:rPr>
        <w:t>RQ2: How do raw naming, dictionary normalisation and repaired typed identity affect graph structure and provenance, compared with historical semantic fusion?</w:t>
      </w:r>
    </w:p>
    <w:p>
      <w:pPr>
        <w:spacing w:after="40"/>
        <w:ind w:left="312" w:hanging="198"/>
      </w:pPr>
      <w:r>
        <w:rPr>
          <w:rFonts w:ascii="Arial" w:hAnsi="Arial" w:eastAsia="Arial"/>
          <w:b w:val="0"/>
          <w:sz w:val="18"/>
        </w:rPr>
        <w:t>RQ3: Can evidence/context/type screening enrich strict support among retained original predictions, and what retention, false-acceptance and strict-positive-loss trade-offs arise?</w:t>
      </w:r>
    </w:p>
    <w:p>
      <w:pPr>
        <w:spacing w:after="40"/>
        <w:ind w:left="312" w:hanging="198"/>
      </w:pPr>
      <w:r>
        <w:rPr>
          <w:rFonts w:ascii="Arial" w:hAnsi="Arial" w:eastAsia="Arial"/>
          <w:b w:val="0"/>
          <w:sz w:val="18"/>
        </w:rPr>
        <w:t>Evaluation boundary: keep random and challenge samples separate; distinguish source location from entailment; report the internal retrospective design and absent independent agreement or exhaustive recall.</w:t>
      </w:r>
    </w:p>
    <w:p>
      <w:r>
        <w:br w:type="page"/>
      </w:r>
    </w:p>
    <w:p>
      <w:pPr>
        <w:pStyle w:val="1"/>
      </w:pPr>
      <w:r>
        <w:t>4. References</w:t>
      </w:r>
    </w:p>
    <w:p>
      <w:pPr>
        <w:spacing w:after="40"/>
        <w:ind w:left="227" w:hanging="227"/>
      </w:pPr>
      <w:r>
        <w:rPr>
          <w:rFonts w:ascii="Arial" w:hAnsi="Arial" w:eastAsia="Arial"/>
          <w:b w:val="0"/>
          <w:sz w:val="16"/>
        </w:rPr>
        <w:t>[1] S. Lefebvre et al., “Identification and characterization of a spinal muscular atrophy-determining gene,” Cell, vol. 80, no. 1, pp. 155–165, 1995. doi:10.1016/0092-8674(95)90460-3.</w:t>
      </w:r>
    </w:p>
    <w:p>
      <w:pPr>
        <w:spacing w:after="40"/>
        <w:ind w:left="227" w:hanging="227"/>
      </w:pPr>
      <w:r>
        <w:rPr>
          <w:rFonts w:ascii="Arial" w:hAnsi="Arial" w:eastAsia="Arial"/>
          <w:b w:val="0"/>
          <w:sz w:val="16"/>
        </w:rPr>
        <w:t>[2] R. S. Finkel et al., “Nusinersen versus sham control in infantile-onset spinal muscular atrophy,” N. Engl. J. Med., vol. 377, no. 18, pp. 1723–1732, 2017. doi:10.1056/NEJMoa1702752.</w:t>
      </w:r>
    </w:p>
    <w:p>
      <w:pPr>
        <w:spacing w:after="40"/>
        <w:ind w:left="227" w:hanging="227"/>
      </w:pPr>
      <w:r>
        <w:rPr>
          <w:rFonts w:ascii="Arial" w:hAnsi="Arial" w:eastAsia="Arial"/>
          <w:b w:val="0"/>
          <w:sz w:val="16"/>
        </w:rPr>
        <w:t>[3] J. W. Day et al., “Onasemnogene abeparvovec gene therapy for symptomatic infantile-onset spinal muscular atrophy … (STR1VE),” Lancet Neurol., vol. 20, no. 4, pp. 284–293, 2021. doi:10.1016/S1474-4422(21)00001-6.</w:t>
      </w:r>
    </w:p>
    <w:p>
      <w:pPr>
        <w:spacing w:after="40"/>
        <w:ind w:left="227" w:hanging="227"/>
      </w:pPr>
      <w:r>
        <w:rPr>
          <w:rFonts w:ascii="Arial" w:hAnsi="Arial" w:eastAsia="Arial"/>
          <w:b w:val="0"/>
          <w:sz w:val="16"/>
        </w:rPr>
        <w:t>[4] E. Mercuri et al., “Safety and efficacy of once-daily risdiplam in type 2 and non-ambulant type 3 spinal muscular atrophy (SUNFISH part 2),” Lancet Neurol., vol. 21, no. 1, pp. 42–52, 2022. doi:10.1016/S1474-4422(21)00367-7.</w:t>
      </w:r>
    </w:p>
    <w:p>
      <w:pPr>
        <w:spacing w:after="40"/>
        <w:ind w:left="227" w:hanging="227"/>
      </w:pPr>
      <w:r>
        <w:rPr>
          <w:rFonts w:ascii="Arial" w:hAnsi="Arial" w:eastAsia="Arial"/>
          <w:b w:val="0"/>
          <w:sz w:val="16"/>
        </w:rPr>
        <w:t>[5] D. Ochoa et al., “Open Targets Platform: supporting systematic drug–target identification and prioritisation,” Nucleic Acids Res., vol. 49, no. D1, pp. D1302–D1310, 2021. doi:10.1093/nar/gkaa1027.</w:t>
      </w:r>
    </w:p>
    <w:p>
      <w:pPr>
        <w:spacing w:after="40"/>
        <w:ind w:left="227" w:hanging="227"/>
      </w:pPr>
      <w:r>
        <w:rPr>
          <w:rFonts w:ascii="Arial" w:hAnsi="Arial" w:eastAsia="Arial"/>
          <w:b w:val="0"/>
          <w:sz w:val="16"/>
        </w:rPr>
        <w:t>[6] C. Nicholson and C. S. Greene, “Constructing knowledge graphs and their biomedical applications,” Comput. Struct. Biotechnol. J., vol. 18, pp. 1414–1428, 2020. doi:10.1016/j.csbj.2020.05.017.</w:t>
      </w:r>
    </w:p>
    <w:p>
      <w:pPr>
        <w:spacing w:after="40"/>
        <w:ind w:left="227" w:hanging="227"/>
      </w:pPr>
      <w:r>
        <w:rPr>
          <w:rFonts w:ascii="Arial" w:hAnsi="Arial" w:eastAsia="Arial"/>
          <w:b w:val="0"/>
          <w:sz w:val="16"/>
        </w:rPr>
        <w:t>[7] H. Kilicoglu et al., “Broad-coverage biomedical relation extraction with SemRep,” BMC Bioinformatics, vol. 21, 2020. PMID:32410573.</w:t>
      </w:r>
    </w:p>
    <w:p>
      <w:pPr>
        <w:spacing w:after="40"/>
        <w:ind w:left="227" w:hanging="227"/>
      </w:pPr>
      <w:r>
        <w:rPr>
          <w:rFonts w:ascii="Arial" w:hAnsi="Arial" w:eastAsia="Arial"/>
          <w:b w:val="0"/>
          <w:sz w:val="16"/>
        </w:rPr>
        <w:t>[8] Y. Gu et al., “Domain-specific language model pretraining for biomedical natural language processing,” ACM Trans. Comput. Healthcare, vol. 3, no. 1, pp. 1–23, 2021. doi:10.1145/3458754.</w:t>
      </w:r>
    </w:p>
    <w:p>
      <w:pPr>
        <w:spacing w:after="40"/>
        <w:ind w:left="227" w:hanging="227"/>
      </w:pPr>
      <w:r>
        <w:rPr>
          <w:rFonts w:ascii="Arial" w:hAnsi="Arial" w:eastAsia="Arial"/>
          <w:b w:val="0"/>
          <w:sz w:val="16"/>
        </w:rPr>
        <w:t>[9] M. Grootendorst, “BERTopic: Neural topic modeling with a class-based TF-IDF procedure,” arXiv:2203.05794, 2022. doi:10.48550/arXiv.2203.05794.</w:t>
      </w:r>
    </w:p>
    <w:p>
      <w:pPr>
        <w:spacing w:after="40"/>
        <w:ind w:left="227" w:hanging="227"/>
      </w:pPr>
      <w:r>
        <w:rPr>
          <w:rFonts w:ascii="Arial" w:hAnsi="Arial" w:eastAsia="Arial"/>
          <w:b w:val="0"/>
          <w:sz w:val="16"/>
        </w:rPr>
        <w:t>[10] P. Lewis et al., “Retrieval-augmented generation for knowledge-intensive NLP tasks,” Adv. Neural Inf. Process. Syst., vol. 33, 2020.</w:t>
      </w:r>
    </w:p>
    <w:p>
      <w:pPr>
        <w:spacing w:after="40"/>
        <w:ind w:left="227" w:hanging="227"/>
      </w:pPr>
      <w:r>
        <w:rPr>
          <w:rFonts w:ascii="Arial" w:hAnsi="Arial" w:eastAsia="Arial"/>
          <w:b w:val="0"/>
          <w:sz w:val="16"/>
        </w:rPr>
        <w:t>[11] D. Edge et al., “From local to global: A graph RAG approach to query-focused summarization,” arXiv:2404.16130, 2024. doi:10.48550/arXiv.2404.16130.</w:t>
      </w:r>
    </w:p>
    <w:p>
      <w:pPr>
        <w:pStyle w:val="2"/>
      </w:pPr>
      <w:r>
        <w:t>Reference selection note</w:t>
      </w:r>
    </w:p>
    <w:p>
      <w:pPr>
        <w:spacing w:after="80"/>
      </w:pPr>
      <w:r>
        <w:rPr>
          <w:rFonts w:ascii="Arial" w:hAnsi="Arial" w:eastAsia="Arial"/>
          <w:b w:val="0"/>
          <w:sz w:val="17"/>
        </w:rPr>
        <w:t>The final literature review will expand this preliminary list through a documented database search and will verify all bibliographic metadata against PubMed, Crossref or the publisher record. Web pages will be used only where a stable primary technical source is unavailable.</w:t>
      </w:r>
    </w:p>
    <w:p>
      <w:r>
        <w:br w:type="page"/>
      </w:r>
    </w:p>
    <w:p>
      <w:pPr>
        <w:pStyle w:val="1"/>
      </w:pPr>
      <w:r>
        <w:t>5. Work Plan</w:t>
      </w:r>
    </w:p>
    <w:p>
      <w:pPr>
        <w:spacing w:after="80"/>
      </w:pPr>
      <w:r>
        <w:rPr>
          <w:rFonts w:ascii="Arial" w:hAnsi="Arial" w:eastAsia="Arial"/>
          <w:b w:val="0"/>
          <w:sz w:val="18"/>
        </w:rPr>
        <w:t>The schedule starts from the verified engineering state on 2 October 2026. Existing artifacts are evidence of completed automated work, not a reconstructed account of personal study or supervisor meetings. Future tasks concentrate on interpretation, reproducibility, literature critique and assessed writing; signatures and authentic logbook entries remain the student's responsibility.</w:t>
      </w:r>
    </w:p>
    <w:tbl>
      <w:tblPr>
        <w:tblStyle w:val="af7"/>
        <w:tblW w:type="auto" w:w="0"/>
        <w:jc w:val="center"/>
        <w:tblLook w:firstColumn="1" w:firstRow="1" w:lastColumn="0" w:lastRow="0" w:noHBand="0" w:noVBand="1" w:val="04A0"/>
      </w:tblPr>
      <w:tblGrid>
        <w:gridCol w:w="3383"/>
        <w:gridCol w:w="3383"/>
        <w:gridCol w:w="3383"/>
      </w:tblGrid>
      <w:tr>
        <w:trPr>
          <w:tblHeader w:val="true"/>
        </w:trPr>
        <w:tc>
          <w:tcPr>
            <w:tcW w:type="dxa" w:w="1757"/>
            <w:shd w:fill="2F5E85"/>
            <w:vAlign w:val="center"/>
          </w:tcPr>
          <w:p>
            <w:pPr>
              <w:jc w:val="center"/>
            </w:pPr>
            <w:r>
              <w:rPr>
                <w:rFonts w:ascii="Arial" w:hAnsi="Arial" w:eastAsia="Arial"/>
                <w:b/>
                <w:color w:val="FFFFFF"/>
                <w:sz w:val="16"/>
              </w:rPr>
              <w:t>Period</w:t>
            </w:r>
          </w:p>
        </w:tc>
        <w:tc>
          <w:tcPr>
            <w:tcW w:type="dxa" w:w="4932"/>
            <w:shd w:fill="2F5E85"/>
            <w:vAlign w:val="center"/>
          </w:tcPr>
          <w:p>
            <w:pPr>
              <w:jc w:val="center"/>
            </w:pPr>
            <w:r>
              <w:rPr>
                <w:rFonts w:ascii="Arial" w:hAnsi="Arial" w:eastAsia="Arial"/>
                <w:b/>
                <w:color w:val="FFFFFF"/>
                <w:sz w:val="16"/>
              </w:rPr>
              <w:t>Planned work</w:t>
            </w:r>
          </w:p>
        </w:tc>
        <w:tc>
          <w:tcPr>
            <w:tcW w:type="dxa" w:w="3231"/>
            <w:shd w:fill="2F5E85"/>
            <w:vAlign w:val="center"/>
          </w:tcPr>
          <w:p>
            <w:pPr>
              <w:jc w:val="center"/>
            </w:pPr>
            <w:r>
              <w:rPr>
                <w:rFonts w:ascii="Arial" w:hAnsi="Arial" w:eastAsia="Arial"/>
                <w:b/>
                <w:color w:val="FFFFFF"/>
                <w:sz w:val="16"/>
              </w:rPr>
              <w:t>Milestone / evidence</w:t>
            </w:r>
          </w:p>
        </w:tc>
      </w:tr>
      <w:tr>
        <w:tc>
          <w:tcPr>
            <w:tcW w:type="dxa" w:w="1757"/>
            <w:vAlign w:val="center"/>
            <w:tcMar>
              <w:top w:w="80" w:type="dxa"/>
              <w:start w:w="90" w:type="dxa"/>
              <w:bottom w:w="80" w:type="dxa"/>
              <w:end w:w="90" w:type="dxa"/>
            </w:tcMar>
          </w:tcPr>
          <w:p>
            <w:r>
              <w:rPr>
                <w:rFonts w:ascii="Arial" w:hAnsi="Arial" w:eastAsia="Arial"/>
                <w:b w:val="0"/>
                <w:sz w:val="16"/>
              </w:rPr>
              <w:t>01-30 Oct 2026</w:t>
            </w:r>
          </w:p>
        </w:tc>
        <w:tc>
          <w:tcPr>
            <w:tcW w:type="dxa" w:w="4932"/>
            <w:vAlign w:val="center"/>
            <w:tcMar>
              <w:top w:w="80" w:type="dxa"/>
              <w:start w:w="90" w:type="dxa"/>
              <w:bottom w:w="80" w:type="dxa"/>
              <w:end w:w="90" w:type="dxa"/>
            </w:tcMar>
          </w:tcPr>
          <w:p>
            <w:r>
              <w:rPr>
                <w:rFonts w:ascii="Arial" w:hAnsi="Arial" w:eastAsia="Arial"/>
                <w:b w:val="0"/>
                <w:sz w:val="16"/>
              </w:rPr>
              <w:t>Review repaired pipeline and measured limits; refine literature, scope, ethics/risk and preliminary report</w:t>
            </w:r>
          </w:p>
        </w:tc>
        <w:tc>
          <w:tcPr>
            <w:tcW w:type="dxa" w:w="3231"/>
            <w:vAlign w:val="center"/>
            <w:tcMar>
              <w:top w:w="80" w:type="dxa"/>
              <w:start w:w="90" w:type="dxa"/>
              <w:bottom w:w="80" w:type="dxa"/>
              <w:end w:w="90" w:type="dxa"/>
            </w:tcMar>
          </w:tcPr>
          <w:p>
            <w:r>
              <w:rPr>
                <w:rFonts w:ascii="Arial" w:hAnsi="Arial" w:eastAsia="Arial"/>
                <w:b w:val="0"/>
                <w:sz w:val="16"/>
              </w:rPr>
              <w:t>Repaired run artifacts; current specification; signed forms and genuine logbook</w:t>
            </w:r>
          </w:p>
        </w:tc>
      </w:tr>
      <w:tr>
        <w:tc>
          <w:tcPr>
            <w:tcW w:type="dxa" w:w="1757"/>
            <w:vAlign w:val="center"/>
            <w:shd w:fill="F3F6F8"/>
            <w:tcMar>
              <w:top w:w="80" w:type="dxa"/>
              <w:start w:w="90" w:type="dxa"/>
              <w:bottom w:w="80" w:type="dxa"/>
              <w:end w:w="90" w:type="dxa"/>
            </w:tcMar>
          </w:tcPr>
          <w:p>
            <w:r>
              <w:rPr>
                <w:rFonts w:ascii="Arial" w:hAnsi="Arial" w:eastAsia="Arial"/>
                <w:b w:val="0"/>
                <w:sz w:val="16"/>
              </w:rPr>
              <w:t>Nov 2026</w:t>
            </w:r>
          </w:p>
        </w:tc>
        <w:tc>
          <w:tcPr>
            <w:tcW w:type="dxa" w:w="4932"/>
            <w:vAlign w:val="center"/>
            <w:shd w:fill="F3F6F8"/>
            <w:tcMar>
              <w:top w:w="80" w:type="dxa"/>
              <w:start w:w="90" w:type="dxa"/>
              <w:bottom w:w="80" w:type="dxa"/>
              <w:end w:w="90" w:type="dxa"/>
            </w:tcMar>
          </w:tcPr>
          <w:p>
            <w:r>
              <w:rPr>
                <w:rFonts w:ascii="Arial" w:hAnsi="Arial" w:eastAsia="Arial"/>
                <w:b w:val="0"/>
                <w:sz w:val="16"/>
              </w:rPr>
              <w:t>Reproduce controlled fusion/screening; examine failure cases and source/type ambiguity</w:t>
            </w:r>
          </w:p>
        </w:tc>
        <w:tc>
          <w:tcPr>
            <w:tcW w:type="dxa" w:w="3231"/>
            <w:vAlign w:val="center"/>
            <w:shd w:fill="F3F6F8"/>
            <w:tcMar>
              <w:top w:w="80" w:type="dxa"/>
              <w:start w:w="90" w:type="dxa"/>
              <w:bottom w:w="80" w:type="dxa"/>
              <w:end w:w="90" w:type="dxa"/>
            </w:tcMar>
          </w:tcPr>
          <w:p>
            <w:r>
              <w:rPr>
                <w:rFonts w:ascii="Arial" w:hAnsi="Arial" w:eastAsia="Arial"/>
                <w:b w:val="0"/>
                <w:sz w:val="16"/>
              </w:rPr>
              <w:t>Hash-checked rerun; paired tables; critical case analysis</w:t>
            </w:r>
          </w:p>
        </w:tc>
      </w:tr>
      <w:tr>
        <w:tc>
          <w:tcPr>
            <w:tcW w:type="dxa" w:w="1757"/>
            <w:vAlign w:val="center"/>
            <w:tcMar>
              <w:top w:w="80" w:type="dxa"/>
              <w:start w:w="90" w:type="dxa"/>
              <w:bottom w:w="80" w:type="dxa"/>
              <w:end w:w="90" w:type="dxa"/>
            </w:tcMar>
          </w:tcPr>
          <w:p>
            <w:r>
              <w:rPr>
                <w:rFonts w:ascii="Arial" w:hAnsi="Arial" w:eastAsia="Arial"/>
                <w:b w:val="0"/>
                <w:sz w:val="16"/>
              </w:rPr>
              <w:t>Dec 2026</w:t>
            </w:r>
          </w:p>
        </w:tc>
        <w:tc>
          <w:tcPr>
            <w:tcW w:type="dxa" w:w="4932"/>
            <w:vAlign w:val="center"/>
            <w:tcMar>
              <w:top w:w="80" w:type="dxa"/>
              <w:start w:w="90" w:type="dxa"/>
              <w:bottom w:w="80" w:type="dxa"/>
              <w:end w:w="90" w:type="dxa"/>
            </w:tcMar>
          </w:tcPr>
          <w:p>
            <w:r>
              <w:rPr>
                <w:rFonts w:ascii="Arial" w:hAnsi="Arial" w:eastAsia="Arial"/>
                <w:b w:val="0"/>
                <w:sz w:val="16"/>
              </w:rPr>
              <w:t>Verify demonstration and database queries; integrate methods and interim results</w:t>
            </w:r>
          </w:p>
        </w:tc>
        <w:tc>
          <w:tcPr>
            <w:tcW w:type="dxa" w:w="3231"/>
            <w:vAlign w:val="center"/>
            <w:tcMar>
              <w:top w:w="80" w:type="dxa"/>
              <w:start w:w="90" w:type="dxa"/>
              <w:bottom w:w="80" w:type="dxa"/>
              <w:end w:w="90" w:type="dxa"/>
            </w:tcMar>
          </w:tcPr>
          <w:p>
            <w:r>
              <w:rPr>
                <w:rFonts w:ascii="Arial" w:hAnsi="Arial" w:eastAsia="Arial"/>
                <w:b w:val="0"/>
                <w:sz w:val="16"/>
              </w:rPr>
              <w:t>Typed graph acceptance; viewer checks; interim draft</w:t>
            </w:r>
          </w:p>
        </w:tc>
      </w:tr>
      <w:tr>
        <w:tc>
          <w:tcPr>
            <w:tcW w:type="dxa" w:w="1757"/>
            <w:vAlign w:val="center"/>
            <w:shd w:fill="F3F6F8"/>
            <w:tcMar>
              <w:top w:w="80" w:type="dxa"/>
              <w:start w:w="90" w:type="dxa"/>
              <w:bottom w:w="80" w:type="dxa"/>
              <w:end w:w="90" w:type="dxa"/>
            </w:tcMar>
          </w:tcPr>
          <w:p>
            <w:r>
              <w:rPr>
                <w:rFonts w:ascii="Arial" w:hAnsi="Arial" w:eastAsia="Arial"/>
                <w:b w:val="0"/>
                <w:sz w:val="16"/>
              </w:rPr>
              <w:t>01-08 Jan 2027</w:t>
            </w:r>
          </w:p>
        </w:tc>
        <w:tc>
          <w:tcPr>
            <w:tcW w:type="dxa" w:w="4932"/>
            <w:vAlign w:val="center"/>
            <w:shd w:fill="F3F6F8"/>
            <w:tcMar>
              <w:top w:w="80" w:type="dxa"/>
              <w:start w:w="90" w:type="dxa"/>
              <w:bottom w:w="80" w:type="dxa"/>
              <w:end w:w="90" w:type="dxa"/>
            </w:tcMar>
          </w:tcPr>
          <w:p>
            <w:r>
              <w:rPr>
                <w:rFonts w:ascii="Arial" w:hAnsi="Arial" w:eastAsia="Arial"/>
                <w:b w:val="0"/>
                <w:sz w:val="16"/>
              </w:rPr>
              <w:t>Submit interim report and second logbook; revise schedule from actual progress</w:t>
            </w:r>
          </w:p>
        </w:tc>
        <w:tc>
          <w:tcPr>
            <w:tcW w:type="dxa" w:w="3231"/>
            <w:vAlign w:val="center"/>
            <w:shd w:fill="F3F6F8"/>
            <w:tcMar>
              <w:top w:w="80" w:type="dxa"/>
              <w:start w:w="90" w:type="dxa"/>
              <w:bottom w:w="80" w:type="dxa"/>
              <w:end w:w="90" w:type="dxa"/>
            </w:tcMar>
          </w:tcPr>
          <w:p>
            <w:r>
              <w:rPr>
                <w:rFonts w:ascii="Arial" w:hAnsi="Arial" w:eastAsia="Arial"/>
                <w:b w:val="0"/>
                <w:sz w:val="16"/>
              </w:rPr>
              <w:t>Interim package and revised Gantt</w:t>
            </w:r>
          </w:p>
        </w:tc>
      </w:tr>
      <w:tr>
        <w:tc>
          <w:tcPr>
            <w:tcW w:type="dxa" w:w="1757"/>
            <w:vAlign w:val="center"/>
            <w:tcMar>
              <w:top w:w="80" w:type="dxa"/>
              <w:start w:w="90" w:type="dxa"/>
              <w:bottom w:w="80" w:type="dxa"/>
              <w:end w:w="90" w:type="dxa"/>
            </w:tcMar>
          </w:tcPr>
          <w:p>
            <w:r>
              <w:rPr>
                <w:rFonts w:ascii="Arial" w:hAnsi="Arial" w:eastAsia="Arial"/>
                <w:b w:val="0"/>
                <w:sz w:val="16"/>
              </w:rPr>
              <w:t>11-22 Jan 2027</w:t>
            </w:r>
          </w:p>
        </w:tc>
        <w:tc>
          <w:tcPr>
            <w:tcW w:type="dxa" w:w="4932"/>
            <w:vAlign w:val="center"/>
            <w:tcMar>
              <w:top w:w="80" w:type="dxa"/>
              <w:start w:w="90" w:type="dxa"/>
              <w:bottom w:w="80" w:type="dxa"/>
              <w:end w:w="90" w:type="dxa"/>
            </w:tcMar>
          </w:tcPr>
          <w:p>
            <w:r>
              <w:rPr>
                <w:rFonts w:ascii="Arial" w:hAnsi="Arial" w:eastAsia="Arial"/>
                <w:b w:val="0"/>
                <w:sz w:val="16"/>
              </w:rPr>
              <w:t>Interim presentation and response to actual feedback</w:t>
            </w:r>
          </w:p>
        </w:tc>
        <w:tc>
          <w:tcPr>
            <w:tcW w:type="dxa" w:w="3231"/>
            <w:vAlign w:val="center"/>
            <w:tcMar>
              <w:top w:w="80" w:type="dxa"/>
              <w:start w:w="90" w:type="dxa"/>
              <w:bottom w:w="80" w:type="dxa"/>
              <w:end w:w="90" w:type="dxa"/>
            </w:tcMar>
          </w:tcPr>
          <w:p>
            <w:r>
              <w:rPr>
                <w:rFonts w:ascii="Arial" w:hAnsi="Arial" w:eastAsia="Arial"/>
                <w:b w:val="0"/>
                <w:sz w:val="16"/>
              </w:rPr>
              <w:t>Presentation and genuine feedback/action record</w:t>
            </w:r>
          </w:p>
        </w:tc>
      </w:tr>
      <w:tr>
        <w:tc>
          <w:tcPr>
            <w:tcW w:type="dxa" w:w="1757"/>
            <w:vAlign w:val="center"/>
            <w:shd w:fill="F3F6F8"/>
            <w:tcMar>
              <w:top w:w="80" w:type="dxa"/>
              <w:start w:w="90" w:type="dxa"/>
              <w:bottom w:w="80" w:type="dxa"/>
              <w:end w:w="90" w:type="dxa"/>
            </w:tcMar>
          </w:tcPr>
          <w:p>
            <w:r>
              <w:rPr>
                <w:rFonts w:ascii="Arial" w:hAnsi="Arial" w:eastAsia="Arial"/>
                <w:b w:val="0"/>
                <w:sz w:val="16"/>
              </w:rPr>
              <w:t>23 Jan-14 Feb</w:t>
            </w:r>
          </w:p>
        </w:tc>
        <w:tc>
          <w:tcPr>
            <w:tcW w:type="dxa" w:w="4932"/>
            <w:vAlign w:val="center"/>
            <w:shd w:fill="F3F6F8"/>
            <w:tcMar>
              <w:top w:w="80" w:type="dxa"/>
              <w:start w:w="90" w:type="dxa"/>
              <w:bottom w:w="80" w:type="dxa"/>
              <w:end w:w="90" w:type="dxa"/>
            </w:tcMar>
          </w:tcPr>
          <w:p>
            <w:r>
              <w:rPr>
                <w:rFonts w:ascii="Arial" w:hAnsi="Arial" w:eastAsia="Arial"/>
                <w:b w:val="0"/>
                <w:sz w:val="16"/>
              </w:rPr>
              <w:t>Analyse existing 400 labels; optionally review the fixed 30 mappings</w:t>
            </w:r>
          </w:p>
        </w:tc>
        <w:tc>
          <w:tcPr>
            <w:tcW w:type="dxa" w:w="3231"/>
            <w:vAlign w:val="center"/>
            <w:shd w:fill="F3F6F8"/>
            <w:tcMar>
              <w:top w:w="80" w:type="dxa"/>
              <w:start w:w="90" w:type="dxa"/>
              <w:bottom w:w="80" w:type="dxa"/>
              <w:end w:w="90" w:type="dxa"/>
            </w:tcMar>
          </w:tcPr>
          <w:p>
            <w:r>
              <w:rPr>
                <w:rFonts w:ascii="Arial" w:hAnsi="Arial" w:eastAsia="Arial"/>
                <w:b w:val="0"/>
                <w:sz w:val="16"/>
              </w:rPr>
              <w:t>Support/error analysis; mapping quality only if new judgments supplied</w:t>
            </w:r>
          </w:p>
        </w:tc>
      </w:tr>
      <w:tr>
        <w:tc>
          <w:tcPr>
            <w:tcW w:type="dxa" w:w="1757"/>
            <w:vAlign w:val="center"/>
            <w:tcMar>
              <w:top w:w="80" w:type="dxa"/>
              <w:start w:w="90" w:type="dxa"/>
              <w:bottom w:w="80" w:type="dxa"/>
              <w:end w:w="90" w:type="dxa"/>
            </w:tcMar>
          </w:tcPr>
          <w:p>
            <w:r>
              <w:rPr>
                <w:rFonts w:ascii="Arial" w:hAnsi="Arial" w:eastAsia="Arial"/>
                <w:b w:val="0"/>
                <w:sz w:val="16"/>
              </w:rPr>
              <w:t>15 Feb-07 Mar</w:t>
            </w:r>
          </w:p>
        </w:tc>
        <w:tc>
          <w:tcPr>
            <w:tcW w:type="dxa" w:w="4932"/>
            <w:vAlign w:val="center"/>
            <w:tcMar>
              <w:top w:w="80" w:type="dxa"/>
              <w:start w:w="90" w:type="dxa"/>
              <w:bottom w:w="80" w:type="dxa"/>
              <w:end w:w="90" w:type="dxa"/>
            </w:tcMar>
          </w:tcPr>
          <w:p>
            <w:r>
              <w:rPr>
                <w:rFonts w:ascii="Arial" w:hAnsi="Arial" w:eastAsia="Arial"/>
                <w:b w:val="0"/>
                <w:sz w:val="16"/>
              </w:rPr>
              <w:t>Strengthen discussion of screening failures, coverage loss and uncertainty</w:t>
            </w:r>
          </w:p>
        </w:tc>
        <w:tc>
          <w:tcPr>
            <w:tcW w:type="dxa" w:w="3231"/>
            <w:vAlign w:val="center"/>
            <w:tcMar>
              <w:top w:w="80" w:type="dxa"/>
              <w:start w:w="90" w:type="dxa"/>
              <w:bottom w:w="80" w:type="dxa"/>
              <w:end w:w="90" w:type="dxa"/>
            </w:tcMar>
          </w:tcPr>
          <w:p>
            <w:r>
              <w:rPr>
                <w:rFonts w:ascii="Arial" w:hAnsi="Arial" w:eastAsia="Arial"/>
                <w:b w:val="0"/>
                <w:sz w:val="16"/>
              </w:rPr>
              <w:t>Case analysis and precision/retention figures</w:t>
            </w:r>
          </w:p>
        </w:tc>
      </w:tr>
      <w:tr>
        <w:tc>
          <w:tcPr>
            <w:tcW w:type="dxa" w:w="1757"/>
            <w:vAlign w:val="center"/>
            <w:shd w:fill="F3F6F8"/>
            <w:tcMar>
              <w:top w:w="80" w:type="dxa"/>
              <w:start w:w="90" w:type="dxa"/>
              <w:bottom w:w="80" w:type="dxa"/>
              <w:end w:w="90" w:type="dxa"/>
            </w:tcMar>
          </w:tcPr>
          <w:p>
            <w:r>
              <w:rPr>
                <w:rFonts w:ascii="Arial" w:hAnsi="Arial" w:eastAsia="Arial"/>
                <w:b w:val="0"/>
                <w:sz w:val="16"/>
              </w:rPr>
              <w:t>08-21 Mar</w:t>
            </w:r>
          </w:p>
        </w:tc>
        <w:tc>
          <w:tcPr>
            <w:tcW w:type="dxa" w:w="4932"/>
            <w:vAlign w:val="center"/>
            <w:shd w:fill="F3F6F8"/>
            <w:tcMar>
              <w:top w:w="80" w:type="dxa"/>
              <w:start w:w="90" w:type="dxa"/>
              <w:bottom w:w="80" w:type="dxa"/>
              <w:end w:w="90" w:type="dxa"/>
            </w:tcMar>
          </w:tcPr>
          <w:p>
            <w:r>
              <w:rPr>
                <w:rFonts w:ascii="Arial" w:hAnsi="Arial" w:eastAsia="Arial"/>
                <w:b w:val="0"/>
                <w:sz w:val="16"/>
              </w:rPr>
              <w:t>Complete literature critique, methods and results integration</w:t>
            </w:r>
          </w:p>
        </w:tc>
        <w:tc>
          <w:tcPr>
            <w:tcW w:type="dxa" w:w="3231"/>
            <w:vAlign w:val="center"/>
            <w:shd w:fill="F3F6F8"/>
            <w:tcMar>
              <w:top w:w="80" w:type="dxa"/>
              <w:start w:w="90" w:type="dxa"/>
              <w:bottom w:w="80" w:type="dxa"/>
              <w:end w:w="90" w:type="dxa"/>
            </w:tcMar>
          </w:tcPr>
          <w:p>
            <w:r>
              <w:rPr>
                <w:rFonts w:ascii="Arial" w:hAnsi="Arial" w:eastAsia="Arial"/>
                <w:b w:val="0"/>
                <w:sz w:val="16"/>
              </w:rPr>
              <w:t>Dissertation chapters and reproducibility appendix</w:t>
            </w:r>
          </w:p>
        </w:tc>
      </w:tr>
      <w:tr>
        <w:tc>
          <w:tcPr>
            <w:tcW w:type="dxa" w:w="1757"/>
            <w:vAlign w:val="center"/>
            <w:tcMar>
              <w:top w:w="80" w:type="dxa"/>
              <w:start w:w="90" w:type="dxa"/>
              <w:bottom w:w="80" w:type="dxa"/>
              <w:end w:w="90" w:type="dxa"/>
            </w:tcMar>
          </w:tcPr>
          <w:p>
            <w:r>
              <w:rPr>
                <w:rFonts w:ascii="Arial" w:hAnsi="Arial" w:eastAsia="Arial"/>
                <w:b w:val="0"/>
                <w:sz w:val="16"/>
              </w:rPr>
              <w:t>22 Mar-04 Apr</w:t>
            </w:r>
          </w:p>
        </w:tc>
        <w:tc>
          <w:tcPr>
            <w:tcW w:type="dxa" w:w="4932"/>
            <w:vAlign w:val="center"/>
            <w:tcMar>
              <w:top w:w="80" w:type="dxa"/>
              <w:start w:w="90" w:type="dxa"/>
              <w:bottom w:w="80" w:type="dxa"/>
              <w:end w:w="90" w:type="dxa"/>
            </w:tcMar>
          </w:tcPr>
          <w:p>
            <w:r>
              <w:rPr>
                <w:rFonts w:ascii="Arial" w:hAnsi="Arial" w:eastAsia="Arial"/>
                <w:b w:val="0"/>
                <w:sz w:val="16"/>
              </w:rPr>
              <w:t>Check conclusions against objectives; audit references, limits and source attribution</w:t>
            </w:r>
          </w:p>
        </w:tc>
        <w:tc>
          <w:tcPr>
            <w:tcW w:type="dxa" w:w="3231"/>
            <w:vAlign w:val="center"/>
            <w:tcMar>
              <w:top w:w="80" w:type="dxa"/>
              <w:start w:w="90" w:type="dxa"/>
              <w:bottom w:w="80" w:type="dxa"/>
              <w:end w:w="90" w:type="dxa"/>
            </w:tcMar>
          </w:tcPr>
          <w:p>
            <w:r>
              <w:rPr>
                <w:rFonts w:ascii="Arial" w:hAnsi="Arial" w:eastAsia="Arial"/>
                <w:b w:val="0"/>
                <w:sz w:val="16"/>
              </w:rPr>
              <w:t>Complete draft and traceable claims</w:t>
            </w:r>
          </w:p>
        </w:tc>
      </w:tr>
      <w:tr>
        <w:tc>
          <w:tcPr>
            <w:tcW w:type="dxa" w:w="1757"/>
            <w:vAlign w:val="center"/>
            <w:shd w:fill="F3F6F8"/>
            <w:tcMar>
              <w:top w:w="80" w:type="dxa"/>
              <w:start w:w="90" w:type="dxa"/>
              <w:bottom w:w="80" w:type="dxa"/>
              <w:end w:w="90" w:type="dxa"/>
            </w:tcMar>
          </w:tcPr>
          <w:p>
            <w:r>
              <w:rPr>
                <w:rFonts w:ascii="Arial" w:hAnsi="Arial" w:eastAsia="Arial"/>
                <w:b w:val="0"/>
                <w:sz w:val="16"/>
              </w:rPr>
              <w:t>05-16 Apr</w:t>
            </w:r>
          </w:p>
        </w:tc>
        <w:tc>
          <w:tcPr>
            <w:tcW w:type="dxa" w:w="4932"/>
            <w:vAlign w:val="center"/>
            <w:shd w:fill="F3F6F8"/>
            <w:tcMar>
              <w:top w:w="80" w:type="dxa"/>
              <w:start w:w="90" w:type="dxa"/>
              <w:bottom w:w="80" w:type="dxa"/>
              <w:end w:w="90" w:type="dxa"/>
            </w:tcMar>
          </w:tcPr>
          <w:p>
            <w:r>
              <w:rPr>
                <w:rFonts w:ascii="Arial" w:hAnsi="Arial" w:eastAsia="Arial"/>
                <w:b w:val="0"/>
                <w:sz w:val="16"/>
              </w:rPr>
              <w:t>Freeze results, prepare poster and oral rehearsal</w:t>
            </w:r>
          </w:p>
        </w:tc>
        <w:tc>
          <w:tcPr>
            <w:tcW w:type="dxa" w:w="3231"/>
            <w:vAlign w:val="center"/>
            <w:shd w:fill="F3F6F8"/>
            <w:tcMar>
              <w:top w:w="80" w:type="dxa"/>
              <w:start w:w="90" w:type="dxa"/>
              <w:bottom w:w="80" w:type="dxa"/>
              <w:end w:w="90" w:type="dxa"/>
            </w:tcMar>
          </w:tcPr>
          <w:p>
            <w:r>
              <w:rPr>
                <w:rFonts w:ascii="Arial" w:hAnsi="Arial" w:eastAsia="Arial"/>
                <w:b w:val="0"/>
                <w:sz w:val="16"/>
              </w:rPr>
              <w:t>Final figures and poster submission</w:t>
            </w:r>
          </w:p>
        </w:tc>
      </w:tr>
      <w:tr>
        <w:tc>
          <w:tcPr>
            <w:tcW w:type="dxa" w:w="1757"/>
            <w:vAlign w:val="center"/>
            <w:tcMar>
              <w:top w:w="80" w:type="dxa"/>
              <w:start w:w="90" w:type="dxa"/>
              <w:bottom w:w="80" w:type="dxa"/>
              <w:end w:w="90" w:type="dxa"/>
            </w:tcMar>
          </w:tcPr>
          <w:p>
            <w:r>
              <w:rPr>
                <w:rFonts w:ascii="Arial" w:hAnsi="Arial" w:eastAsia="Arial"/>
                <w:b w:val="0"/>
                <w:sz w:val="16"/>
              </w:rPr>
              <w:t>19-21 Apr</w:t>
            </w:r>
          </w:p>
        </w:tc>
        <w:tc>
          <w:tcPr>
            <w:tcW w:type="dxa" w:w="4932"/>
            <w:vAlign w:val="center"/>
            <w:tcMar>
              <w:top w:w="80" w:type="dxa"/>
              <w:start w:w="90" w:type="dxa"/>
              <w:bottom w:w="80" w:type="dxa"/>
              <w:end w:w="90" w:type="dxa"/>
            </w:tcMar>
          </w:tcPr>
          <w:p>
            <w:r>
              <w:rPr>
                <w:rFonts w:ascii="Arial" w:hAnsi="Arial" w:eastAsia="Arial"/>
                <w:b w:val="0"/>
                <w:sz w:val="16"/>
              </w:rPr>
              <w:t>Poster-based oral assessment</w:t>
            </w:r>
          </w:p>
        </w:tc>
        <w:tc>
          <w:tcPr>
            <w:tcW w:type="dxa" w:w="3231"/>
            <w:vAlign w:val="center"/>
            <w:tcMar>
              <w:top w:w="80" w:type="dxa"/>
              <w:start w:w="90" w:type="dxa"/>
              <w:bottom w:w="80" w:type="dxa"/>
              <w:end w:w="90" w:type="dxa"/>
            </w:tcMar>
          </w:tcPr>
          <w:p>
            <w:r>
              <w:rPr>
                <w:rFonts w:ascii="Arial" w:hAnsi="Arial" w:eastAsia="Arial"/>
                <w:b w:val="0"/>
                <w:sz w:val="16"/>
              </w:rPr>
              <w:t>Actual panel feedback and report actions</w:t>
            </w:r>
          </w:p>
        </w:tc>
      </w:tr>
      <w:tr>
        <w:tc>
          <w:tcPr>
            <w:tcW w:type="dxa" w:w="1757"/>
            <w:vAlign w:val="center"/>
            <w:shd w:fill="F3F6F8"/>
            <w:tcMar>
              <w:top w:w="80" w:type="dxa"/>
              <w:start w:w="90" w:type="dxa"/>
              <w:bottom w:w="80" w:type="dxa"/>
              <w:end w:w="90" w:type="dxa"/>
            </w:tcMar>
          </w:tcPr>
          <w:p>
            <w:r>
              <w:rPr>
                <w:rFonts w:ascii="Arial" w:hAnsi="Arial" w:eastAsia="Arial"/>
                <w:b w:val="0"/>
                <w:sz w:val="16"/>
              </w:rPr>
              <w:t>22-28 Apr</w:t>
            </w:r>
          </w:p>
        </w:tc>
        <w:tc>
          <w:tcPr>
            <w:tcW w:type="dxa" w:w="4932"/>
            <w:vAlign w:val="center"/>
            <w:shd w:fill="F3F6F8"/>
            <w:tcMar>
              <w:top w:w="80" w:type="dxa"/>
              <w:start w:w="90" w:type="dxa"/>
              <w:bottom w:w="80" w:type="dxa"/>
              <w:end w:w="90" w:type="dxa"/>
            </w:tcMar>
          </w:tcPr>
          <w:p>
            <w:r>
              <w:rPr>
                <w:rFonts w:ascii="Arial" w:hAnsi="Arial" w:eastAsia="Arial"/>
                <w:b w:val="0"/>
                <w:sz w:val="16"/>
              </w:rPr>
              <w:t>Final dissertation, third logbook and code archive; internal deadline</w:t>
            </w:r>
          </w:p>
        </w:tc>
        <w:tc>
          <w:tcPr>
            <w:tcW w:type="dxa" w:w="3231"/>
            <w:vAlign w:val="center"/>
            <w:shd w:fill="F3F6F8"/>
            <w:tcMar>
              <w:top w:w="80" w:type="dxa"/>
              <w:start w:w="90" w:type="dxa"/>
              <w:bottom w:w="80" w:type="dxa"/>
              <w:end w:w="90" w:type="dxa"/>
            </w:tcMar>
          </w:tcPr>
          <w:p>
            <w:r>
              <w:rPr>
                <w:rFonts w:ascii="Arial" w:hAnsi="Arial" w:eastAsia="Arial"/>
                <w:b w:val="0"/>
                <w:sz w:val="16"/>
              </w:rPr>
              <w:t>Complete submission package by 28 April</w:t>
            </w:r>
          </w:p>
        </w:tc>
      </w:tr>
      <w:tr>
        <w:tc>
          <w:tcPr>
            <w:tcW w:type="dxa" w:w="1757"/>
            <w:vAlign w:val="center"/>
            <w:tcMar>
              <w:top w:w="80" w:type="dxa"/>
              <w:start w:w="90" w:type="dxa"/>
              <w:bottom w:w="80" w:type="dxa"/>
              <w:end w:w="90" w:type="dxa"/>
            </w:tcMar>
          </w:tcPr>
          <w:p>
            <w:r>
              <w:rPr>
                <w:rFonts w:ascii="Arial" w:hAnsi="Arial" w:eastAsia="Arial"/>
                <w:b w:val="0"/>
                <w:sz w:val="16"/>
              </w:rPr>
              <w:t>29-30 Apr</w:t>
            </w:r>
          </w:p>
        </w:tc>
        <w:tc>
          <w:tcPr>
            <w:tcW w:type="dxa" w:w="4932"/>
            <w:vAlign w:val="center"/>
            <w:tcMar>
              <w:top w:w="80" w:type="dxa"/>
              <w:start w:w="90" w:type="dxa"/>
              <w:bottom w:w="80" w:type="dxa"/>
              <w:end w:w="90" w:type="dxa"/>
            </w:tcMar>
          </w:tcPr>
          <w:p>
            <w:r>
              <w:rPr>
                <w:rFonts w:ascii="Arial" w:hAnsi="Arial" w:eastAsia="Arial"/>
                <w:b w:val="0"/>
                <w:sz w:val="16"/>
              </w:rPr>
              <w:t>Contingency only if official systems confirm 30 April</w:t>
            </w:r>
          </w:p>
        </w:tc>
        <w:tc>
          <w:tcPr>
            <w:tcW w:type="dxa" w:w="3231"/>
            <w:vAlign w:val="center"/>
            <w:tcMar>
              <w:top w:w="80" w:type="dxa"/>
              <w:start w:w="90" w:type="dxa"/>
              <w:bottom w:w="80" w:type="dxa"/>
              <w:end w:w="90" w:type="dxa"/>
            </w:tcMar>
          </w:tcPr>
          <w:p>
            <w:r>
              <w:rPr>
                <w:rFonts w:ascii="Arial" w:hAnsi="Arial" w:eastAsia="Arial"/>
                <w:b w:val="0"/>
                <w:sz w:val="16"/>
              </w:rPr>
              <w:t>Upload receipt and archive</w:t>
            </w:r>
          </w:p>
        </w:tc>
      </w:tr>
    </w:tbl>
    <w:p>
      <w:pPr>
        <w:pStyle w:val="2"/>
      </w:pPr>
      <w:r>
        <w:t>Project Outline</w:t>
      </w:r>
    </w:p>
    <w:p>
      <w:pPr>
        <w:spacing w:after="80"/>
      </w:pPr>
      <w:r>
        <w:rPr>
          <w:rFonts w:ascii="Arial" w:hAnsi="Arial" w:eastAsia="Arial"/>
          <w:b w:val="0"/>
          <w:sz w:val="18"/>
        </w:rPr>
        <w:t>The critical path is fixed scope and metrics -&gt; completed human-label integration -&gt; controlled fusion -&gt; evaluated evidence/assertion screening -&gt; results and discussion. The four requested engineering/reporting repairs now have dated evidence. Remaining work deepens analysis and presentation; GraphRAG and answer citation/claim modules are future work. The internal final deadline remains 28 April 2027, subject to the current Moodle/FYP System notice.</w:t>
      </w:r>
    </w:p>
    <w:p>
      <w:r>
        <w:rPr>
          <w:rFonts w:ascii="Arial" w:hAnsi="Arial" w:eastAsia="Arial"/>
          <w:b/>
          <w:sz w:val="18"/>
        </w:rPr>
        <w:t xml:space="preserve">Resources: </w:t>
      </w:r>
      <w:r>
        <w:rPr>
          <w:rFonts w:ascii="Arial" w:hAnsi="Arial" w:eastAsia="Arial"/>
          <w:b w:val="0"/>
          <w:sz w:val="18"/>
        </w:rPr>
        <w:t>Existing computer, Python/Conda environment, public data, Neo4j and approved API access. No component purchase or reimbursement request is currently required.</w:t>
      </w:r>
    </w:p>
    <w:p>
      <w:r>
        <w:rPr>
          <w:rFonts w:ascii="Arial" w:hAnsi="Arial" w:eastAsia="Arial"/>
          <w:b/>
          <w:sz w:val="18"/>
        </w:rPr>
        <w:t xml:space="preserve">Risk Assessment: </w:t>
      </w:r>
      <w:r>
        <w:rPr>
          <w:rFonts w:ascii="Arial" w:hAnsi="Arial" w:eastAsia="Arial"/>
          <w:b w:val="0"/>
          <w:sz w:val="18"/>
        </w:rPr>
        <w:t>A completed draft is supplied separately and must be checked and signed by the student and first supervisor before submission.</w:t>
      </w:r>
    </w:p>
    <w:sectPr w:rsidR="00041BE9" w:rsidSect="00A0441B">
      <w:headerReference w:type="default" r:id="rId7"/>
      <w:footerReference w:type="default" r:id="rId8"/>
      <w:pgSz w:w="11906" w:h="16838" w:code="9"/>
      <w:pgMar w:top="879" w:right="879" w:bottom="822" w:left="879" w:header="851"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2A06A" w14:textId="77777777" w:rsidR="00551780" w:rsidRDefault="00551780">
      <w:r>
        <w:separator/>
      </w:r>
    </w:p>
  </w:endnote>
  <w:endnote w:type="continuationSeparator" w:id="0">
    <w:p w14:paraId="695B4F46" w14:textId="77777777" w:rsidR="00551780" w:rsidRDefault="00551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Malgun Gothic"/>
    <w:charset w:val="00"/>
    <w:family w:val="auto"/>
    <w:pitch w:val="variable"/>
    <w:sig w:usb0="00000003"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89B73" w14:textId="77777777" w:rsidR="008B4FDD" w:rsidRPr="00D91BF6" w:rsidRDefault="008B4FDD">
    <w:pPr>
      <w:pStyle w:val="a4"/>
      <w:jc w:val="center"/>
      <w:rPr>
        <w:rFonts w:ascii="Arial" w:hAnsi="Arial" w:cs="Arial"/>
      </w:rPr>
    </w:pPr>
    <w:r w:rsidRPr="00D91BF6">
      <w:rPr>
        <w:rFonts w:ascii="Arial" w:hAnsi="Arial" w:cs="Arial"/>
      </w:rPr>
      <w:t xml:space="preserve">Page </w:t>
    </w:r>
    <w:r w:rsidRPr="00D91BF6">
      <w:rPr>
        <w:rFonts w:ascii="Arial" w:hAnsi="Arial" w:cs="Arial"/>
      </w:rPr>
      <w:fldChar w:fldCharType="begin"/>
    </w:r>
    <w:r w:rsidRPr="00D91BF6">
      <w:rPr>
        <w:rFonts w:ascii="Arial" w:hAnsi="Arial" w:cs="Arial"/>
      </w:rPr>
      <w:instrText xml:space="preserve"> PAGE   \* MERGEFORMAT </w:instrText>
    </w:r>
    <w:r w:rsidRPr="00D91BF6">
      <w:rPr>
        <w:rFonts w:ascii="Arial" w:hAnsi="Arial" w:cs="Arial"/>
      </w:rPr>
      <w:fldChar w:fldCharType="separate"/>
    </w:r>
    <w:r w:rsidR="0041599F">
      <w:rPr>
        <w:rFonts w:ascii="Arial" w:hAnsi="Arial" w:cs="Arial"/>
        <w:noProof/>
      </w:rPr>
      <w:t>1</w:t>
    </w:r>
    <w:r w:rsidRPr="00D91BF6">
      <w:rPr>
        <w:rFonts w:ascii="Arial" w:hAnsi="Arial" w:cs="Arial"/>
      </w:rPr>
      <w:fldChar w:fldCharType="end"/>
    </w:r>
  </w:p>
  <w:p w14:paraId="25307D92" w14:textId="77777777" w:rsidR="008B4FDD" w:rsidRDefault="008B4FDD" w:rsidP="000D50B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BECCC" w14:textId="77777777" w:rsidR="00551780" w:rsidRDefault="00551780">
      <w:r>
        <w:separator/>
      </w:r>
    </w:p>
  </w:footnote>
  <w:footnote w:type="continuationSeparator" w:id="0">
    <w:p w14:paraId="7CFFA531" w14:textId="77777777" w:rsidR="00551780" w:rsidRDefault="005517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F271B" w14:textId="77777777" w:rsidR="008F2F59" w:rsidRPr="0097780B" w:rsidRDefault="00007B9F" w:rsidP="006A14C1">
    <w:pPr>
      <w:pStyle w:val="a3"/>
      <w:pBdr>
        <w:bottom w:val="single" w:sz="4" w:space="10" w:color="auto"/>
      </w:pBdr>
      <w:jc w:val="left"/>
      <w:rPr>
        <w:rFonts w:ascii="Arial Narrow" w:hAnsi="Arial Narrow"/>
        <w:sz w:val="44"/>
        <w:szCs w:val="44"/>
      </w:rPr>
    </w:pPr>
    <w:r w:rsidRPr="0097780B">
      <w:rPr>
        <w:rFonts w:ascii="Arial Narrow" w:hAnsi="Arial Narrow"/>
        <w:sz w:val="44"/>
        <w:szCs w:val="44"/>
      </w:rPr>
      <w:t>Glasgow College</w:t>
    </w:r>
    <w:r w:rsidR="00D6744E">
      <w:rPr>
        <w:rFonts w:ascii="Arial Narrow" w:hAnsi="Arial Narrow"/>
        <w:sz w:val="44"/>
        <w:szCs w:val="44"/>
      </w:rPr>
      <w:t xml:space="preserve"> H</w:t>
    </w:r>
    <w:r w:rsidR="00D6744E" w:rsidRPr="00D6744E">
      <w:rPr>
        <w:rFonts w:ascii="Arial Narrow" w:hAnsi="Arial Narrow" w:hint="eastAsia"/>
        <w:sz w:val="44"/>
        <w:szCs w:val="44"/>
      </w:rPr>
      <w:t>ainan</w:t>
    </w:r>
    <w:r w:rsidRPr="0097780B">
      <w:rPr>
        <w:rFonts w:ascii="Arial Narrow" w:hAnsi="Arial Narrow"/>
        <w:sz w:val="44"/>
        <w:szCs w:val="44"/>
      </w:rPr>
      <w:t>, UESTC</w:t>
    </w:r>
    <w:r w:rsidR="00F40A45" w:rsidRPr="0097780B">
      <w:rPr>
        <w:rFonts w:ascii="Arial Narrow" w:hAnsi="Arial Narrow"/>
        <w:b/>
        <w:sz w:val="44"/>
        <w:szCs w:val="44"/>
      </w:rPr>
      <w:t xml:space="preserve"> </w:t>
    </w:r>
    <w:r w:rsidR="00D6744E">
      <w:rPr>
        <w:rFonts w:ascii="Arial Narrow" w:hAnsi="Arial Narrow"/>
        <w:sz w:val="44"/>
        <w:szCs w:val="4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55pt;height:70pt">
          <v:imagedata r:id="rId1" o:title=""/>
        </v:shape>
      </w:pict>
    </w:r>
    <w:r w:rsidR="00F40A45" w:rsidRPr="0097780B">
      <w:rPr>
        <w:rFonts w:ascii="Arial Narrow" w:hAnsi="Arial Narrow"/>
        <w:b/>
        <w:sz w:val="44"/>
        <w:szCs w:val="44"/>
      </w:rPr>
      <w:t xml:space="preserve">    </w:t>
    </w:r>
    <w:r w:rsidR="00F40A45" w:rsidRPr="0097780B">
      <w:rPr>
        <w:b/>
        <w:color w:val="0000FF"/>
        <w:sz w:val="44"/>
        <w:szCs w:val="44"/>
      </w:rPr>
      <w:t xml:space="preserve">                                                                  </w:t>
    </w:r>
  </w:p>
  <w:p w14:paraId="176BE2F2" w14:textId="77777777" w:rsidR="008F2F59" w:rsidRPr="008F2F59" w:rsidRDefault="008F2F59" w:rsidP="006A14C1">
    <w:pPr>
      <w:pStyle w:val="a3"/>
      <w:pBdr>
        <w:bottom w:val="single" w:sz="4" w:space="10" w:color="auto"/>
      </w:pBdr>
      <w:jc w:val="left"/>
      <w:rPr>
        <w:rFonts w:ascii="Arial Narrow" w:hAnsi="Arial Narrow"/>
      </w:rPr>
    </w:pPr>
  </w:p>
  <w:p w14:paraId="20EE10DF" w14:textId="77777777" w:rsidR="008B4FDD" w:rsidRPr="0097780B" w:rsidRDefault="0097780B" w:rsidP="008F2F59">
    <w:pPr>
      <w:pStyle w:val="a3"/>
      <w:pBdr>
        <w:bottom w:val="single" w:sz="4" w:space="10" w:color="auto"/>
      </w:pBdr>
      <w:jc w:val="left"/>
      <w:rPr>
        <w:rFonts w:ascii="Arial Narrow" w:hAnsi="Arial Narrow"/>
        <w:color w:val="0000FF"/>
        <w:sz w:val="28"/>
        <w:szCs w:val="28"/>
      </w:rPr>
    </w:pPr>
    <w:r w:rsidRPr="0097780B">
      <w:rPr>
        <w:rFonts w:ascii="Arial Narrow" w:hAnsi="Arial Narrow"/>
        <w:sz w:val="28"/>
        <w:szCs w:val="28"/>
      </w:rPr>
      <w:t xml:space="preserve">Project </w:t>
    </w:r>
    <w:r w:rsidR="0054020D" w:rsidRPr="0097780B">
      <w:rPr>
        <w:rFonts w:ascii="Arial Narrow" w:hAnsi="Arial Narrow"/>
        <w:sz w:val="28"/>
        <w:szCs w:val="28"/>
      </w:rPr>
      <w:t>Specification</w:t>
    </w:r>
    <w:r w:rsidRPr="0097780B">
      <w:rPr>
        <w:rFonts w:ascii="Arial Narrow" w:hAnsi="Arial Narrow"/>
        <w:sz w:val="28"/>
        <w:szCs w:val="28"/>
      </w:rPr>
      <w:t>s and Preliminary</w:t>
    </w:r>
    <w:r w:rsidR="008F2F59" w:rsidRPr="0097780B">
      <w:rPr>
        <w:rFonts w:ascii="Arial Narrow" w:hAnsi="Arial Narrow"/>
        <w:sz w:val="28"/>
        <w:szCs w:val="28"/>
      </w:rPr>
      <w:t xml:space="preserve"> Report on </w:t>
    </w:r>
    <w:r w:rsidR="00007B9F" w:rsidRPr="0097780B">
      <w:rPr>
        <w:rFonts w:ascii="Arial Narrow" w:hAnsi="Arial Narrow"/>
        <w:sz w:val="28"/>
        <w:szCs w:val="28"/>
      </w:rPr>
      <w:t>UESTC</w:t>
    </w:r>
    <w:r w:rsidR="00D6744E">
      <w:rPr>
        <w:rFonts w:ascii="Arial Narrow" w:hAnsi="Arial Narrow"/>
        <w:sz w:val="28"/>
        <w:szCs w:val="28"/>
      </w:rPr>
      <w:t>HN</w:t>
    </w:r>
    <w:r w:rsidR="00007B9F" w:rsidRPr="0097780B">
      <w:rPr>
        <w:rFonts w:ascii="Arial Narrow" w:hAnsi="Arial Narrow"/>
        <w:sz w:val="28"/>
        <w:szCs w:val="28"/>
      </w:rPr>
      <w:t>400</w:t>
    </w:r>
    <w:r w:rsidR="00D6744E">
      <w:rPr>
        <w:rFonts w:ascii="Arial Narrow" w:hAnsi="Arial Narrow"/>
        <w:sz w:val="28"/>
        <w:szCs w:val="28"/>
      </w:rPr>
      <w:t>8</w:t>
    </w:r>
    <w:r w:rsidR="00007B9F" w:rsidRPr="0097780B">
      <w:rPr>
        <w:rFonts w:ascii="Arial Narrow" w:hAnsi="Arial Narrow"/>
        <w:sz w:val="28"/>
        <w:szCs w:val="28"/>
      </w:rPr>
      <w:t xml:space="preserve">P(BEng) </w:t>
    </w:r>
    <w:r w:rsidR="008F2F59" w:rsidRPr="0097780B">
      <w:rPr>
        <w:rFonts w:ascii="Arial Narrow" w:hAnsi="Arial Narrow"/>
        <w:sz w:val="28"/>
        <w:szCs w:val="28"/>
      </w:rPr>
      <w:t>Final Year Project</w:t>
    </w:r>
    <w:r w:rsidR="008B4FDD" w:rsidRPr="0097780B">
      <w:rPr>
        <w:rStyle w:val="a6"/>
        <w:sz w:val="28"/>
        <w:szCs w:val="28"/>
      </w:rPr>
      <w:tab/>
    </w:r>
    <w:r w:rsidR="008B4FDD" w:rsidRPr="0097780B">
      <w:rPr>
        <w:rStyle w:val="a6"/>
        <w:sz w:val="28"/>
        <w:szCs w:val="28"/>
      </w:rPr>
      <w:fldChar w:fldCharType="begin"/>
    </w:r>
    <w:r w:rsidR="008B4FDD" w:rsidRPr="0097780B">
      <w:rPr>
        <w:rStyle w:val="a6"/>
        <w:sz w:val="28"/>
        <w:szCs w:val="28"/>
      </w:rPr>
      <w:instrText xml:space="preserve"> SUBJECT  \* MERGEFORMAT </w:instrText>
    </w:r>
    <w:r w:rsidR="008B4FDD" w:rsidRPr="0097780B">
      <w:rPr>
        <w:rStyle w:val="a6"/>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27A"/>
      </v:shape>
    </w:pict>
  </w:numPicBullet>
  <w:abstractNum w:abstractNumId="0" w15:restartNumberingAfterBreak="0">
    <w:nsid w:val="FFFFFF1D"/>
    <w:multiLevelType w:val="multilevel"/>
    <w:tmpl w:val="2D3CCAF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056821"/>
    <w:multiLevelType w:val="hybridMultilevel"/>
    <w:tmpl w:val="5DB098A0"/>
    <w:lvl w:ilvl="0" w:tplc="BB683230">
      <w:start w:val="1"/>
      <w:numFmt w:val="decimal"/>
      <w:lvlText w:val="%1."/>
      <w:lvlJc w:val="left"/>
      <w:pPr>
        <w:tabs>
          <w:tab w:val="num" w:pos="360"/>
        </w:tabs>
        <w:ind w:left="360" w:hanging="360"/>
      </w:pPr>
      <w:rPr>
        <w:b/>
      </w:rPr>
    </w:lvl>
    <w:lvl w:ilvl="1" w:tplc="0409000F">
      <w:start w:val="1"/>
      <w:numFmt w:val="decimal"/>
      <w:lvlText w:val="%2."/>
      <w:lvlJc w:val="left"/>
      <w:pPr>
        <w:tabs>
          <w:tab w:val="num" w:pos="360"/>
        </w:tabs>
        <w:ind w:left="36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AF678D3"/>
    <w:multiLevelType w:val="hybridMultilevel"/>
    <w:tmpl w:val="F2462346"/>
    <w:lvl w:ilvl="0" w:tplc="AFBC38C2">
      <w:numFmt w:val="bullet"/>
      <w:lvlText w:val=""/>
      <w:lvlJc w:val="left"/>
      <w:pPr>
        <w:ind w:left="720" w:hanging="360"/>
      </w:pPr>
      <w:rPr>
        <w:rFonts w:ascii="Symbol" w:eastAsia="Times New Roman" w:hAnsi="Symbol" w:cs="Helvetica Neue"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27CED"/>
    <w:multiLevelType w:val="hybridMultilevel"/>
    <w:tmpl w:val="E6BEB9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90173C"/>
    <w:multiLevelType w:val="hybridMultilevel"/>
    <w:tmpl w:val="3244E84C"/>
    <w:lvl w:ilvl="0" w:tplc="B6600FB6">
      <w:start w:val="1"/>
      <w:numFmt w:val="bullet"/>
      <w:lvlText w:val=""/>
      <w:lvlJc w:val="left"/>
      <w:pPr>
        <w:tabs>
          <w:tab w:val="num" w:pos="357"/>
        </w:tabs>
        <w:ind w:left="567" w:hanging="207"/>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D539A5"/>
    <w:multiLevelType w:val="hybridMultilevel"/>
    <w:tmpl w:val="59DE1594"/>
    <w:lvl w:ilvl="0" w:tplc="B6600FB6">
      <w:start w:val="1"/>
      <w:numFmt w:val="bullet"/>
      <w:lvlText w:val=""/>
      <w:lvlJc w:val="left"/>
      <w:pPr>
        <w:tabs>
          <w:tab w:val="num" w:pos="357"/>
        </w:tabs>
        <w:ind w:left="567" w:hanging="207"/>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A57321"/>
    <w:multiLevelType w:val="hybridMultilevel"/>
    <w:tmpl w:val="ECA642C4"/>
    <w:lvl w:ilvl="0" w:tplc="BD92FE1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1DD0E63"/>
    <w:multiLevelType w:val="hybridMultilevel"/>
    <w:tmpl w:val="C8DACE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CEF31B4"/>
    <w:multiLevelType w:val="hybridMultilevel"/>
    <w:tmpl w:val="9136577A"/>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9" w15:restartNumberingAfterBreak="0">
    <w:nsid w:val="4D1D1A12"/>
    <w:multiLevelType w:val="hybridMultilevel"/>
    <w:tmpl w:val="C51C3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53762B"/>
    <w:multiLevelType w:val="hybridMultilevel"/>
    <w:tmpl w:val="398C2DA2"/>
    <w:lvl w:ilvl="0" w:tplc="BD92FE1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8963A47"/>
    <w:multiLevelType w:val="hybridMultilevel"/>
    <w:tmpl w:val="D2B63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3642AC"/>
    <w:multiLevelType w:val="hybridMultilevel"/>
    <w:tmpl w:val="EDDCBA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E7A4007"/>
    <w:multiLevelType w:val="hybridMultilevel"/>
    <w:tmpl w:val="1A6E3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062333"/>
    <w:multiLevelType w:val="hybridMultilevel"/>
    <w:tmpl w:val="3CB8C5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17C233E"/>
    <w:multiLevelType w:val="hybridMultilevel"/>
    <w:tmpl w:val="6E10F208"/>
    <w:lvl w:ilvl="0" w:tplc="B052CD5A">
      <w:start w:val="1"/>
      <w:numFmt w:val="decimal"/>
      <w:lvlText w:val="%1."/>
      <w:lvlJc w:val="left"/>
      <w:pPr>
        <w:ind w:left="360" w:hanging="360"/>
      </w:pPr>
      <w:rPr>
        <w:rFonts w:hint="default"/>
        <w:b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2162D12"/>
    <w:multiLevelType w:val="hybridMultilevel"/>
    <w:tmpl w:val="890634DA"/>
    <w:lvl w:ilvl="0" w:tplc="AAC85954">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4A131B2"/>
    <w:multiLevelType w:val="hybridMultilevel"/>
    <w:tmpl w:val="881AF700"/>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8" w15:restartNumberingAfterBreak="0">
    <w:nsid w:val="6C8442A5"/>
    <w:multiLevelType w:val="hybridMultilevel"/>
    <w:tmpl w:val="0914B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F392D5F"/>
    <w:multiLevelType w:val="hybridMultilevel"/>
    <w:tmpl w:val="85C8C1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B4304F0"/>
    <w:multiLevelType w:val="hybridMultilevel"/>
    <w:tmpl w:val="352C67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E1D62EF"/>
    <w:multiLevelType w:val="hybridMultilevel"/>
    <w:tmpl w:val="5BDEE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9924620">
    <w:abstractNumId w:val="1"/>
  </w:num>
  <w:num w:numId="2" w16cid:durableId="624698074">
    <w:abstractNumId w:val="7"/>
  </w:num>
  <w:num w:numId="3" w16cid:durableId="793910477">
    <w:abstractNumId w:val="9"/>
  </w:num>
  <w:num w:numId="4" w16cid:durableId="367805556">
    <w:abstractNumId w:val="13"/>
  </w:num>
  <w:num w:numId="5" w16cid:durableId="1363282107">
    <w:abstractNumId w:val="15"/>
  </w:num>
  <w:num w:numId="6" w16cid:durableId="392626509">
    <w:abstractNumId w:val="11"/>
  </w:num>
  <w:num w:numId="7" w16cid:durableId="170339932">
    <w:abstractNumId w:val="4"/>
  </w:num>
  <w:num w:numId="8" w16cid:durableId="1046107118">
    <w:abstractNumId w:val="8"/>
  </w:num>
  <w:num w:numId="9" w16cid:durableId="458498964">
    <w:abstractNumId w:val="18"/>
  </w:num>
  <w:num w:numId="10" w16cid:durableId="710421953">
    <w:abstractNumId w:val="21"/>
  </w:num>
  <w:num w:numId="11" w16cid:durableId="176390115">
    <w:abstractNumId w:val="14"/>
  </w:num>
  <w:num w:numId="12" w16cid:durableId="1905408752">
    <w:abstractNumId w:val="12"/>
  </w:num>
  <w:num w:numId="13" w16cid:durableId="1512451901">
    <w:abstractNumId w:val="19"/>
  </w:num>
  <w:num w:numId="14" w16cid:durableId="2006471199">
    <w:abstractNumId w:val="20"/>
  </w:num>
  <w:num w:numId="15" w16cid:durableId="951520493">
    <w:abstractNumId w:val="17"/>
  </w:num>
  <w:num w:numId="16" w16cid:durableId="544214538">
    <w:abstractNumId w:val="6"/>
  </w:num>
  <w:num w:numId="17" w16cid:durableId="1491214417">
    <w:abstractNumId w:val="10"/>
  </w:num>
  <w:num w:numId="18" w16cid:durableId="1760786301">
    <w:abstractNumId w:val="5"/>
  </w:num>
  <w:num w:numId="19" w16cid:durableId="983192320">
    <w:abstractNumId w:val="3"/>
  </w:num>
  <w:num w:numId="20" w16cid:durableId="1829131862">
    <w:abstractNumId w:val="0"/>
  </w:num>
  <w:num w:numId="21" w16cid:durableId="1564441326">
    <w:abstractNumId w:val="16"/>
  </w:num>
  <w:num w:numId="22" w16cid:durableId="146076454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3074" fillcolor="#009" strokecolor="#009">
      <v:fill color="#009" opacity="19661f" rotate="t"/>
      <v:stroke color="#009"/>
      <v:textbox inset="2.29236mm,1.1462mm,2.29236mm,1.1462mm"/>
      <o:colormru v:ext="edit" colors="#009,#33f,#f5f5f5,#ffc,#ffd,#bbe0e3,#f90,#006"/>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zMjYwMzWxMDI0MjBU0lEKTi0uzszPAykwrAUAI16PYSwAAAA="/>
  </w:docVars>
  <w:rsids>
    <w:rsidRoot w:val="006F1E9D"/>
    <w:rsid w:val="00000E1E"/>
    <w:rsid w:val="00003AC7"/>
    <w:rsid w:val="00003EEC"/>
    <w:rsid w:val="000066C4"/>
    <w:rsid w:val="00006C45"/>
    <w:rsid w:val="00007B9F"/>
    <w:rsid w:val="00015027"/>
    <w:rsid w:val="0001562B"/>
    <w:rsid w:val="000233C0"/>
    <w:rsid w:val="00026412"/>
    <w:rsid w:val="000272B2"/>
    <w:rsid w:val="00035089"/>
    <w:rsid w:val="00041BE9"/>
    <w:rsid w:val="00042E40"/>
    <w:rsid w:val="00047343"/>
    <w:rsid w:val="00053E5D"/>
    <w:rsid w:val="00066849"/>
    <w:rsid w:val="00071D7C"/>
    <w:rsid w:val="00080BEE"/>
    <w:rsid w:val="00093988"/>
    <w:rsid w:val="000A4235"/>
    <w:rsid w:val="000A47CA"/>
    <w:rsid w:val="000A5E48"/>
    <w:rsid w:val="000A6F83"/>
    <w:rsid w:val="000B2A50"/>
    <w:rsid w:val="000B2D76"/>
    <w:rsid w:val="000B65E6"/>
    <w:rsid w:val="000C32C6"/>
    <w:rsid w:val="000C3B79"/>
    <w:rsid w:val="000C4517"/>
    <w:rsid w:val="000C7013"/>
    <w:rsid w:val="000D180A"/>
    <w:rsid w:val="000D50BE"/>
    <w:rsid w:val="000D6F82"/>
    <w:rsid w:val="000E3723"/>
    <w:rsid w:val="000E7914"/>
    <w:rsid w:val="000F41AA"/>
    <w:rsid w:val="00100E80"/>
    <w:rsid w:val="00103B00"/>
    <w:rsid w:val="0010403D"/>
    <w:rsid w:val="00105CEF"/>
    <w:rsid w:val="0010631E"/>
    <w:rsid w:val="001132C1"/>
    <w:rsid w:val="00114000"/>
    <w:rsid w:val="00114059"/>
    <w:rsid w:val="00132DF6"/>
    <w:rsid w:val="001331FF"/>
    <w:rsid w:val="00135692"/>
    <w:rsid w:val="00135B72"/>
    <w:rsid w:val="0013636E"/>
    <w:rsid w:val="00136761"/>
    <w:rsid w:val="00140BFC"/>
    <w:rsid w:val="00145079"/>
    <w:rsid w:val="00150ECA"/>
    <w:rsid w:val="0015533C"/>
    <w:rsid w:val="00155F16"/>
    <w:rsid w:val="0016052B"/>
    <w:rsid w:val="00160D9E"/>
    <w:rsid w:val="00162815"/>
    <w:rsid w:val="00165FCA"/>
    <w:rsid w:val="00167387"/>
    <w:rsid w:val="00172B29"/>
    <w:rsid w:val="00175D01"/>
    <w:rsid w:val="001A7244"/>
    <w:rsid w:val="001A7C3F"/>
    <w:rsid w:val="001B258E"/>
    <w:rsid w:val="001B2F0C"/>
    <w:rsid w:val="001B3C75"/>
    <w:rsid w:val="001B4F60"/>
    <w:rsid w:val="001B52CC"/>
    <w:rsid w:val="001C27F6"/>
    <w:rsid w:val="001C4234"/>
    <w:rsid w:val="001D00F6"/>
    <w:rsid w:val="001D6AD2"/>
    <w:rsid w:val="001F68C4"/>
    <w:rsid w:val="002016A5"/>
    <w:rsid w:val="00203C0B"/>
    <w:rsid w:val="0020540B"/>
    <w:rsid w:val="00213E34"/>
    <w:rsid w:val="00221F06"/>
    <w:rsid w:val="00226C99"/>
    <w:rsid w:val="002336A5"/>
    <w:rsid w:val="00233F7A"/>
    <w:rsid w:val="002341EB"/>
    <w:rsid w:val="00244381"/>
    <w:rsid w:val="00245214"/>
    <w:rsid w:val="00246A2A"/>
    <w:rsid w:val="00255DD0"/>
    <w:rsid w:val="00256747"/>
    <w:rsid w:val="002568AC"/>
    <w:rsid w:val="00262014"/>
    <w:rsid w:val="00263166"/>
    <w:rsid w:val="0026452F"/>
    <w:rsid w:val="00274A1E"/>
    <w:rsid w:val="00281CA5"/>
    <w:rsid w:val="00282A96"/>
    <w:rsid w:val="00285367"/>
    <w:rsid w:val="002865C0"/>
    <w:rsid w:val="00291D7E"/>
    <w:rsid w:val="00292C56"/>
    <w:rsid w:val="00294E90"/>
    <w:rsid w:val="002A2150"/>
    <w:rsid w:val="002A3D94"/>
    <w:rsid w:val="002A4714"/>
    <w:rsid w:val="002B1A82"/>
    <w:rsid w:val="002B2D41"/>
    <w:rsid w:val="002B4A6A"/>
    <w:rsid w:val="002B4C5C"/>
    <w:rsid w:val="002C69CD"/>
    <w:rsid w:val="002D6AAD"/>
    <w:rsid w:val="002E6DB2"/>
    <w:rsid w:val="002E75CF"/>
    <w:rsid w:val="002E7DB7"/>
    <w:rsid w:val="002F0DC8"/>
    <w:rsid w:val="002F0F79"/>
    <w:rsid w:val="002F2CC8"/>
    <w:rsid w:val="002F4A69"/>
    <w:rsid w:val="00300BC8"/>
    <w:rsid w:val="00306320"/>
    <w:rsid w:val="00307F6D"/>
    <w:rsid w:val="00311054"/>
    <w:rsid w:val="00320359"/>
    <w:rsid w:val="00330245"/>
    <w:rsid w:val="00337371"/>
    <w:rsid w:val="00342406"/>
    <w:rsid w:val="00346572"/>
    <w:rsid w:val="003468DE"/>
    <w:rsid w:val="00346D7C"/>
    <w:rsid w:val="00347221"/>
    <w:rsid w:val="00350F47"/>
    <w:rsid w:val="00354A23"/>
    <w:rsid w:val="00354B85"/>
    <w:rsid w:val="00355F31"/>
    <w:rsid w:val="00365A59"/>
    <w:rsid w:val="003754A5"/>
    <w:rsid w:val="00382885"/>
    <w:rsid w:val="003A1314"/>
    <w:rsid w:val="003A1578"/>
    <w:rsid w:val="003B003F"/>
    <w:rsid w:val="003B4FE9"/>
    <w:rsid w:val="003B62D7"/>
    <w:rsid w:val="003C091D"/>
    <w:rsid w:val="003C4172"/>
    <w:rsid w:val="003C6120"/>
    <w:rsid w:val="003D4AC4"/>
    <w:rsid w:val="003D5661"/>
    <w:rsid w:val="003E1575"/>
    <w:rsid w:val="003E6EEB"/>
    <w:rsid w:val="003E7750"/>
    <w:rsid w:val="003F05AA"/>
    <w:rsid w:val="003F331A"/>
    <w:rsid w:val="003F34ED"/>
    <w:rsid w:val="003F4420"/>
    <w:rsid w:val="0041599F"/>
    <w:rsid w:val="00416147"/>
    <w:rsid w:val="00421065"/>
    <w:rsid w:val="004220B2"/>
    <w:rsid w:val="00422B50"/>
    <w:rsid w:val="0043024E"/>
    <w:rsid w:val="0043375C"/>
    <w:rsid w:val="004374D9"/>
    <w:rsid w:val="00437EAB"/>
    <w:rsid w:val="00441B1D"/>
    <w:rsid w:val="00442328"/>
    <w:rsid w:val="004428FD"/>
    <w:rsid w:val="00443208"/>
    <w:rsid w:val="00444D75"/>
    <w:rsid w:val="00445D0F"/>
    <w:rsid w:val="00446EEB"/>
    <w:rsid w:val="00460E54"/>
    <w:rsid w:val="00462021"/>
    <w:rsid w:val="00467052"/>
    <w:rsid w:val="004714B7"/>
    <w:rsid w:val="00474A65"/>
    <w:rsid w:val="00482519"/>
    <w:rsid w:val="00482EAE"/>
    <w:rsid w:val="0048558D"/>
    <w:rsid w:val="00486F4B"/>
    <w:rsid w:val="00491CD0"/>
    <w:rsid w:val="004924DC"/>
    <w:rsid w:val="00492E25"/>
    <w:rsid w:val="004942DF"/>
    <w:rsid w:val="00494308"/>
    <w:rsid w:val="004A43E4"/>
    <w:rsid w:val="004A49D3"/>
    <w:rsid w:val="004A6BCE"/>
    <w:rsid w:val="004B1126"/>
    <w:rsid w:val="004B6D9E"/>
    <w:rsid w:val="004C0DC7"/>
    <w:rsid w:val="004C2680"/>
    <w:rsid w:val="004C35DE"/>
    <w:rsid w:val="004C7501"/>
    <w:rsid w:val="004D04C1"/>
    <w:rsid w:val="004D33B4"/>
    <w:rsid w:val="004D703F"/>
    <w:rsid w:val="004F4381"/>
    <w:rsid w:val="004F4528"/>
    <w:rsid w:val="004F7558"/>
    <w:rsid w:val="005020AD"/>
    <w:rsid w:val="00502E91"/>
    <w:rsid w:val="005107D7"/>
    <w:rsid w:val="005117B7"/>
    <w:rsid w:val="00516EBC"/>
    <w:rsid w:val="00517DB0"/>
    <w:rsid w:val="00521D90"/>
    <w:rsid w:val="005233D6"/>
    <w:rsid w:val="00525FC7"/>
    <w:rsid w:val="00533248"/>
    <w:rsid w:val="0053600E"/>
    <w:rsid w:val="00536C11"/>
    <w:rsid w:val="0054020D"/>
    <w:rsid w:val="00551780"/>
    <w:rsid w:val="0055249B"/>
    <w:rsid w:val="00552DF5"/>
    <w:rsid w:val="005533C4"/>
    <w:rsid w:val="00555BC9"/>
    <w:rsid w:val="00560459"/>
    <w:rsid w:val="00561AD9"/>
    <w:rsid w:val="00581639"/>
    <w:rsid w:val="00582608"/>
    <w:rsid w:val="00591219"/>
    <w:rsid w:val="00594028"/>
    <w:rsid w:val="0059497A"/>
    <w:rsid w:val="00595932"/>
    <w:rsid w:val="005A482A"/>
    <w:rsid w:val="005A51B2"/>
    <w:rsid w:val="005B4292"/>
    <w:rsid w:val="005B5FBC"/>
    <w:rsid w:val="005C1B3A"/>
    <w:rsid w:val="005C1EAB"/>
    <w:rsid w:val="005C4261"/>
    <w:rsid w:val="005C70A4"/>
    <w:rsid w:val="005D015E"/>
    <w:rsid w:val="005D2A83"/>
    <w:rsid w:val="005E01B2"/>
    <w:rsid w:val="005F43B2"/>
    <w:rsid w:val="00606468"/>
    <w:rsid w:val="006150A4"/>
    <w:rsid w:val="006242F0"/>
    <w:rsid w:val="00624687"/>
    <w:rsid w:val="00624781"/>
    <w:rsid w:val="00627ECF"/>
    <w:rsid w:val="00631C3C"/>
    <w:rsid w:val="0063398F"/>
    <w:rsid w:val="00633BA2"/>
    <w:rsid w:val="00636132"/>
    <w:rsid w:val="00637FF7"/>
    <w:rsid w:val="00641E06"/>
    <w:rsid w:val="006423E0"/>
    <w:rsid w:val="0064611E"/>
    <w:rsid w:val="006514E6"/>
    <w:rsid w:val="00656EE9"/>
    <w:rsid w:val="006657F3"/>
    <w:rsid w:val="00666331"/>
    <w:rsid w:val="00670E3C"/>
    <w:rsid w:val="006739AC"/>
    <w:rsid w:val="0068054F"/>
    <w:rsid w:val="00683570"/>
    <w:rsid w:val="00685734"/>
    <w:rsid w:val="0069186F"/>
    <w:rsid w:val="00695C94"/>
    <w:rsid w:val="0069781D"/>
    <w:rsid w:val="006979F1"/>
    <w:rsid w:val="006A14C1"/>
    <w:rsid w:val="006A1A3A"/>
    <w:rsid w:val="006A41F0"/>
    <w:rsid w:val="006A5B31"/>
    <w:rsid w:val="006B19D3"/>
    <w:rsid w:val="006B4E72"/>
    <w:rsid w:val="006B51E3"/>
    <w:rsid w:val="006C0C7E"/>
    <w:rsid w:val="006D0480"/>
    <w:rsid w:val="006D2306"/>
    <w:rsid w:val="006D7011"/>
    <w:rsid w:val="006E0E0C"/>
    <w:rsid w:val="006E0EE6"/>
    <w:rsid w:val="006E1E85"/>
    <w:rsid w:val="006E2136"/>
    <w:rsid w:val="006E35EF"/>
    <w:rsid w:val="006E3E2A"/>
    <w:rsid w:val="006F0ACD"/>
    <w:rsid w:val="006F0E2F"/>
    <w:rsid w:val="006F19E6"/>
    <w:rsid w:val="006F1E9D"/>
    <w:rsid w:val="006F36A2"/>
    <w:rsid w:val="006F51A3"/>
    <w:rsid w:val="006F7BE8"/>
    <w:rsid w:val="00710D57"/>
    <w:rsid w:val="007209E9"/>
    <w:rsid w:val="00723783"/>
    <w:rsid w:val="00724C75"/>
    <w:rsid w:val="00741386"/>
    <w:rsid w:val="00745990"/>
    <w:rsid w:val="0074705C"/>
    <w:rsid w:val="00765B25"/>
    <w:rsid w:val="0076661C"/>
    <w:rsid w:val="00773D06"/>
    <w:rsid w:val="00781365"/>
    <w:rsid w:val="00787ED0"/>
    <w:rsid w:val="00791DB0"/>
    <w:rsid w:val="0079480A"/>
    <w:rsid w:val="00794BEC"/>
    <w:rsid w:val="007A2CFF"/>
    <w:rsid w:val="007B183E"/>
    <w:rsid w:val="007C02FC"/>
    <w:rsid w:val="007C1196"/>
    <w:rsid w:val="007C5C81"/>
    <w:rsid w:val="007C73BD"/>
    <w:rsid w:val="007D0494"/>
    <w:rsid w:val="007D24C0"/>
    <w:rsid w:val="007D2954"/>
    <w:rsid w:val="007D3177"/>
    <w:rsid w:val="007E1880"/>
    <w:rsid w:val="007E2F8A"/>
    <w:rsid w:val="007E5513"/>
    <w:rsid w:val="007E5D3A"/>
    <w:rsid w:val="007E6EC3"/>
    <w:rsid w:val="007F2AD7"/>
    <w:rsid w:val="007F5AB7"/>
    <w:rsid w:val="00806C4F"/>
    <w:rsid w:val="00806C5A"/>
    <w:rsid w:val="00810581"/>
    <w:rsid w:val="0081376D"/>
    <w:rsid w:val="008203D3"/>
    <w:rsid w:val="00823D60"/>
    <w:rsid w:val="0082470D"/>
    <w:rsid w:val="008263DB"/>
    <w:rsid w:val="0083066D"/>
    <w:rsid w:val="00834044"/>
    <w:rsid w:val="00842E89"/>
    <w:rsid w:val="00850B41"/>
    <w:rsid w:val="00850C98"/>
    <w:rsid w:val="00852245"/>
    <w:rsid w:val="00853649"/>
    <w:rsid w:val="00855658"/>
    <w:rsid w:val="00860DD0"/>
    <w:rsid w:val="00863E3C"/>
    <w:rsid w:val="00865411"/>
    <w:rsid w:val="00865832"/>
    <w:rsid w:val="008713CA"/>
    <w:rsid w:val="0087349D"/>
    <w:rsid w:val="008962E7"/>
    <w:rsid w:val="008A3838"/>
    <w:rsid w:val="008A7BAB"/>
    <w:rsid w:val="008B24D5"/>
    <w:rsid w:val="008B359C"/>
    <w:rsid w:val="008B4EC6"/>
    <w:rsid w:val="008B4FDD"/>
    <w:rsid w:val="008B550D"/>
    <w:rsid w:val="008C0857"/>
    <w:rsid w:val="008D3F24"/>
    <w:rsid w:val="008E12C0"/>
    <w:rsid w:val="008E2D43"/>
    <w:rsid w:val="008F0271"/>
    <w:rsid w:val="008F0583"/>
    <w:rsid w:val="008F1C12"/>
    <w:rsid w:val="008F2648"/>
    <w:rsid w:val="008F2F59"/>
    <w:rsid w:val="00900B43"/>
    <w:rsid w:val="0090362E"/>
    <w:rsid w:val="00910E95"/>
    <w:rsid w:val="009116E0"/>
    <w:rsid w:val="00912876"/>
    <w:rsid w:val="00915A43"/>
    <w:rsid w:val="00916C14"/>
    <w:rsid w:val="00921873"/>
    <w:rsid w:val="00926DF2"/>
    <w:rsid w:val="009301AF"/>
    <w:rsid w:val="009327B5"/>
    <w:rsid w:val="00933473"/>
    <w:rsid w:val="00936F16"/>
    <w:rsid w:val="009374B5"/>
    <w:rsid w:val="009405BB"/>
    <w:rsid w:val="00940B86"/>
    <w:rsid w:val="00943919"/>
    <w:rsid w:val="00954BEE"/>
    <w:rsid w:val="00971DAB"/>
    <w:rsid w:val="00976D45"/>
    <w:rsid w:val="0097780B"/>
    <w:rsid w:val="00981346"/>
    <w:rsid w:val="00983D0F"/>
    <w:rsid w:val="00995C90"/>
    <w:rsid w:val="009A314B"/>
    <w:rsid w:val="009A4068"/>
    <w:rsid w:val="009A5B2D"/>
    <w:rsid w:val="009B6D39"/>
    <w:rsid w:val="009B7E01"/>
    <w:rsid w:val="009C0DEC"/>
    <w:rsid w:val="009C3250"/>
    <w:rsid w:val="009C460E"/>
    <w:rsid w:val="009C5118"/>
    <w:rsid w:val="009C5180"/>
    <w:rsid w:val="009D3319"/>
    <w:rsid w:val="009E1198"/>
    <w:rsid w:val="009E185A"/>
    <w:rsid w:val="009E2F7C"/>
    <w:rsid w:val="009E4F94"/>
    <w:rsid w:val="009E6AC8"/>
    <w:rsid w:val="009F0492"/>
    <w:rsid w:val="009F56DB"/>
    <w:rsid w:val="009F61A4"/>
    <w:rsid w:val="00A03E7C"/>
    <w:rsid w:val="00A0441B"/>
    <w:rsid w:val="00A10E38"/>
    <w:rsid w:val="00A11EC2"/>
    <w:rsid w:val="00A1448F"/>
    <w:rsid w:val="00A23C31"/>
    <w:rsid w:val="00A23C46"/>
    <w:rsid w:val="00A2439A"/>
    <w:rsid w:val="00A251F6"/>
    <w:rsid w:val="00A308C5"/>
    <w:rsid w:val="00A370D8"/>
    <w:rsid w:val="00A37F9A"/>
    <w:rsid w:val="00A40FAF"/>
    <w:rsid w:val="00A42D38"/>
    <w:rsid w:val="00A478EF"/>
    <w:rsid w:val="00A50F54"/>
    <w:rsid w:val="00A519AF"/>
    <w:rsid w:val="00A61B31"/>
    <w:rsid w:val="00A62EAE"/>
    <w:rsid w:val="00A6462E"/>
    <w:rsid w:val="00A65C31"/>
    <w:rsid w:val="00A66CA8"/>
    <w:rsid w:val="00A7288D"/>
    <w:rsid w:val="00A81628"/>
    <w:rsid w:val="00A82A84"/>
    <w:rsid w:val="00A83086"/>
    <w:rsid w:val="00A83E81"/>
    <w:rsid w:val="00A9273D"/>
    <w:rsid w:val="00A96C8D"/>
    <w:rsid w:val="00AA2ED0"/>
    <w:rsid w:val="00AA6C41"/>
    <w:rsid w:val="00AA7A2F"/>
    <w:rsid w:val="00AB4E10"/>
    <w:rsid w:val="00AC2D70"/>
    <w:rsid w:val="00AD2E4E"/>
    <w:rsid w:val="00AE3C99"/>
    <w:rsid w:val="00AF4263"/>
    <w:rsid w:val="00B00D63"/>
    <w:rsid w:val="00B051DE"/>
    <w:rsid w:val="00B1538D"/>
    <w:rsid w:val="00B21251"/>
    <w:rsid w:val="00B241A2"/>
    <w:rsid w:val="00B24A29"/>
    <w:rsid w:val="00B268A6"/>
    <w:rsid w:val="00B30D10"/>
    <w:rsid w:val="00B360AA"/>
    <w:rsid w:val="00B504C3"/>
    <w:rsid w:val="00B510C9"/>
    <w:rsid w:val="00B65012"/>
    <w:rsid w:val="00B7040A"/>
    <w:rsid w:val="00B71740"/>
    <w:rsid w:val="00B800F7"/>
    <w:rsid w:val="00B8741B"/>
    <w:rsid w:val="00B96094"/>
    <w:rsid w:val="00BA2063"/>
    <w:rsid w:val="00BA4633"/>
    <w:rsid w:val="00BA5FF0"/>
    <w:rsid w:val="00BA64F5"/>
    <w:rsid w:val="00BA7165"/>
    <w:rsid w:val="00BB323D"/>
    <w:rsid w:val="00BB4346"/>
    <w:rsid w:val="00BB639A"/>
    <w:rsid w:val="00BC36C0"/>
    <w:rsid w:val="00BC4E4E"/>
    <w:rsid w:val="00BD06CF"/>
    <w:rsid w:val="00BF5637"/>
    <w:rsid w:val="00BF5A94"/>
    <w:rsid w:val="00BF6604"/>
    <w:rsid w:val="00C010FB"/>
    <w:rsid w:val="00C014B4"/>
    <w:rsid w:val="00C02571"/>
    <w:rsid w:val="00C07136"/>
    <w:rsid w:val="00C071E3"/>
    <w:rsid w:val="00C1138C"/>
    <w:rsid w:val="00C138F9"/>
    <w:rsid w:val="00C14F86"/>
    <w:rsid w:val="00C160A9"/>
    <w:rsid w:val="00C22145"/>
    <w:rsid w:val="00C24112"/>
    <w:rsid w:val="00C27790"/>
    <w:rsid w:val="00C30EEC"/>
    <w:rsid w:val="00C315F2"/>
    <w:rsid w:val="00C32C91"/>
    <w:rsid w:val="00C330EE"/>
    <w:rsid w:val="00C36E8B"/>
    <w:rsid w:val="00C43F52"/>
    <w:rsid w:val="00C46A14"/>
    <w:rsid w:val="00C4714D"/>
    <w:rsid w:val="00C5041C"/>
    <w:rsid w:val="00C56F10"/>
    <w:rsid w:val="00C652E1"/>
    <w:rsid w:val="00C65AF6"/>
    <w:rsid w:val="00C77392"/>
    <w:rsid w:val="00C8102B"/>
    <w:rsid w:val="00C8698A"/>
    <w:rsid w:val="00C92590"/>
    <w:rsid w:val="00C93A45"/>
    <w:rsid w:val="00CA00D4"/>
    <w:rsid w:val="00CA185B"/>
    <w:rsid w:val="00CC29F9"/>
    <w:rsid w:val="00CC31C4"/>
    <w:rsid w:val="00CE6D7D"/>
    <w:rsid w:val="00CF1A46"/>
    <w:rsid w:val="00CF49A7"/>
    <w:rsid w:val="00D00812"/>
    <w:rsid w:val="00D02DD5"/>
    <w:rsid w:val="00D058D7"/>
    <w:rsid w:val="00D11DDF"/>
    <w:rsid w:val="00D173BB"/>
    <w:rsid w:val="00D2333E"/>
    <w:rsid w:val="00D24047"/>
    <w:rsid w:val="00D2628E"/>
    <w:rsid w:val="00D26A99"/>
    <w:rsid w:val="00D27232"/>
    <w:rsid w:val="00D4387A"/>
    <w:rsid w:val="00D45AF4"/>
    <w:rsid w:val="00D5026C"/>
    <w:rsid w:val="00D519A4"/>
    <w:rsid w:val="00D52D73"/>
    <w:rsid w:val="00D65927"/>
    <w:rsid w:val="00D66CFE"/>
    <w:rsid w:val="00D6744E"/>
    <w:rsid w:val="00D73B8E"/>
    <w:rsid w:val="00D75C3F"/>
    <w:rsid w:val="00D806AF"/>
    <w:rsid w:val="00D8097B"/>
    <w:rsid w:val="00D828C6"/>
    <w:rsid w:val="00D85785"/>
    <w:rsid w:val="00D86F65"/>
    <w:rsid w:val="00D86FC6"/>
    <w:rsid w:val="00D91BF6"/>
    <w:rsid w:val="00D93CDB"/>
    <w:rsid w:val="00D96BBD"/>
    <w:rsid w:val="00D96CE8"/>
    <w:rsid w:val="00DA1246"/>
    <w:rsid w:val="00DA3615"/>
    <w:rsid w:val="00DA6081"/>
    <w:rsid w:val="00DB0978"/>
    <w:rsid w:val="00DB3B43"/>
    <w:rsid w:val="00DB6E11"/>
    <w:rsid w:val="00DC4E3C"/>
    <w:rsid w:val="00DD138A"/>
    <w:rsid w:val="00DD1FFA"/>
    <w:rsid w:val="00DD7651"/>
    <w:rsid w:val="00DE2AB9"/>
    <w:rsid w:val="00DE529B"/>
    <w:rsid w:val="00DE6745"/>
    <w:rsid w:val="00DE758E"/>
    <w:rsid w:val="00DF40F8"/>
    <w:rsid w:val="00DF58F2"/>
    <w:rsid w:val="00DF7F2B"/>
    <w:rsid w:val="00E0107E"/>
    <w:rsid w:val="00E03233"/>
    <w:rsid w:val="00E0777D"/>
    <w:rsid w:val="00E13EE3"/>
    <w:rsid w:val="00E30750"/>
    <w:rsid w:val="00E354FE"/>
    <w:rsid w:val="00E40E3F"/>
    <w:rsid w:val="00E44DD3"/>
    <w:rsid w:val="00E5456D"/>
    <w:rsid w:val="00E54B2D"/>
    <w:rsid w:val="00E61014"/>
    <w:rsid w:val="00E669EA"/>
    <w:rsid w:val="00E8563A"/>
    <w:rsid w:val="00E8655A"/>
    <w:rsid w:val="00E86682"/>
    <w:rsid w:val="00E91A7A"/>
    <w:rsid w:val="00E924E9"/>
    <w:rsid w:val="00E95E7A"/>
    <w:rsid w:val="00EA3AD5"/>
    <w:rsid w:val="00EA43F9"/>
    <w:rsid w:val="00EA5D92"/>
    <w:rsid w:val="00EB5462"/>
    <w:rsid w:val="00EB5F74"/>
    <w:rsid w:val="00EC2348"/>
    <w:rsid w:val="00EC6A5B"/>
    <w:rsid w:val="00ED2F31"/>
    <w:rsid w:val="00ED35DF"/>
    <w:rsid w:val="00ED485A"/>
    <w:rsid w:val="00ED65B3"/>
    <w:rsid w:val="00EE1F16"/>
    <w:rsid w:val="00EE32B2"/>
    <w:rsid w:val="00EF4E6C"/>
    <w:rsid w:val="00EF5BD8"/>
    <w:rsid w:val="00EF67F4"/>
    <w:rsid w:val="00F01465"/>
    <w:rsid w:val="00F0785C"/>
    <w:rsid w:val="00F14821"/>
    <w:rsid w:val="00F15ABD"/>
    <w:rsid w:val="00F23E18"/>
    <w:rsid w:val="00F24431"/>
    <w:rsid w:val="00F27EB0"/>
    <w:rsid w:val="00F3574E"/>
    <w:rsid w:val="00F370DF"/>
    <w:rsid w:val="00F40A45"/>
    <w:rsid w:val="00F43547"/>
    <w:rsid w:val="00F46CAD"/>
    <w:rsid w:val="00F47E56"/>
    <w:rsid w:val="00F5217F"/>
    <w:rsid w:val="00F54A4E"/>
    <w:rsid w:val="00F54DC8"/>
    <w:rsid w:val="00F55592"/>
    <w:rsid w:val="00F608A8"/>
    <w:rsid w:val="00F61D44"/>
    <w:rsid w:val="00F66152"/>
    <w:rsid w:val="00F7041E"/>
    <w:rsid w:val="00F70988"/>
    <w:rsid w:val="00F716B7"/>
    <w:rsid w:val="00F7559E"/>
    <w:rsid w:val="00F81D4F"/>
    <w:rsid w:val="00F824DB"/>
    <w:rsid w:val="00F863CC"/>
    <w:rsid w:val="00F93F0A"/>
    <w:rsid w:val="00F96760"/>
    <w:rsid w:val="00FA6A37"/>
    <w:rsid w:val="00FA73E2"/>
    <w:rsid w:val="00FC25F6"/>
    <w:rsid w:val="00FC2944"/>
    <w:rsid w:val="00FC2F0B"/>
    <w:rsid w:val="00FC36BD"/>
    <w:rsid w:val="00FC3D33"/>
    <w:rsid w:val="00FC5848"/>
    <w:rsid w:val="00FD322C"/>
    <w:rsid w:val="00FD36EB"/>
    <w:rsid w:val="00FD44B6"/>
    <w:rsid w:val="00FD482B"/>
    <w:rsid w:val="00FD5186"/>
    <w:rsid w:val="00FD644B"/>
    <w:rsid w:val="00FD6ACA"/>
    <w:rsid w:val="00FE31A3"/>
    <w:rsid w:val="00FE353E"/>
    <w:rsid w:val="00FE57D0"/>
    <w:rsid w:val="00FF04AD"/>
    <w:rsid w:val="00FF34F0"/>
    <w:rsid w:val="00FF35BA"/>
    <w:rsid w:val="00FF7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009" strokecolor="#009">
      <v:fill color="#009" opacity="19661f" rotate="t"/>
      <v:stroke color="#009"/>
      <v:textbox inset="2.29236mm,1.1462mm,2.29236mm,1.1462mm"/>
      <o:colormru v:ext="edit" colors="#009,#33f,#f5f5f5,#ffc,#ffd,#bbe0e3,#f90,#006"/>
    </o:shapedefaults>
    <o:shapelayout v:ext="edit">
      <o:idmap v:ext="edit" data="1"/>
    </o:shapelayout>
  </w:shapeDefaults>
  <w:decimalSymbol w:val="."/>
  <w:listSeparator w:val=","/>
  <w14:docId w14:val="474A2B91"/>
  <w15:chartTrackingRefBased/>
  <w15:docId w15:val="{F7672A7B-5E29-4580-953C-336F0F0C6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80" w:line="245" w:lineRule="auto"/>
      <w:jc w:val="both"/>
    </w:pPr>
    <w:rPr>
      <w:rFonts w:ascii="Arial" w:hAnsi="Arial" w:eastAsia="Arial"/>
      <w:sz w:val="18"/>
      <w:lang w:val="en-GB" w:eastAsia="en-US"/>
    </w:rPr>
  </w:style>
  <w:style w:type="paragraph" w:styleId="1">
    <w:name w:val="heading 1"/>
    <w:basedOn w:val="a"/>
    <w:next w:val="a"/>
    <w:autoRedefine/>
    <w:qFormat/>
    <w:pPr>
      <w:keepNext/>
      <w:pBdr>
        <w:top w:val="single" w:sz="12" w:space="1" w:color="auto" w:shadow="1"/>
        <w:left w:val="single" w:sz="12" w:space="4" w:color="auto" w:shadow="1"/>
        <w:bottom w:val="single" w:sz="12" w:space="1" w:color="auto" w:shadow="1"/>
        <w:right w:val="single" w:sz="12" w:space="4" w:color="auto" w:shadow="1"/>
      </w:pBdr>
      <w:spacing w:before="120" w:after="80"/>
      <w:ind w:left="68"/>
      <w:jc w:val="center"/>
      <w:outlineLvl w:val="0"/>
      <w:shd w:fill="2F5E85"/>
    </w:pPr>
    <w:rPr>
      <w:rFonts w:ascii="Arial" w:hAnsi="Arial" w:eastAsia="Arial"/>
      <w:b/>
      <w:color w:val="FFFFFF"/>
      <w:sz w:val="30"/>
    </w:rPr>
  </w:style>
  <w:style w:type="paragraph" w:styleId="2">
    <w:name w:val="heading 2"/>
    <w:basedOn w:val="a"/>
    <w:next w:val="a"/>
    <w:autoRedefine/>
    <w:qFormat/>
    <w:rsid w:val="009E6AC8"/>
    <w:pPr>
      <w:keepNext/>
      <w:pBdr>
        <w:top w:val="single" w:sz="12" w:space="1" w:color="auto"/>
        <w:left w:val="single" w:sz="12" w:space="0" w:color="auto"/>
        <w:bottom w:val="single" w:sz="12" w:space="1" w:color="auto"/>
        <w:right w:val="single" w:sz="12" w:space="2" w:color="auto"/>
      </w:pBdr>
      <w:spacing w:before="100" w:after="60"/>
      <w:ind w:left="57"/>
      <w:jc w:val="left"/>
      <w:outlineLvl w:val="1"/>
      <w:shd w:fill="D9EAF7"/>
    </w:pPr>
    <w:rPr>
      <w:rFonts w:ascii="Arial" w:hAnsi="Arial" w:eastAsia="Arial"/>
      <w:b/>
      <w:color w:val="1F4E79"/>
      <w:sz w:val="24"/>
    </w:rPr>
  </w:style>
  <w:style w:type="paragraph" w:styleId="3">
    <w:name w:val="heading 3"/>
    <w:basedOn w:val="2"/>
    <w:next w:val="a"/>
    <w:qFormat/>
    <w:pPr>
      <w:pBdr>
        <w:top w:val="none" w:sz="0" w:space="0" w:color="auto"/>
        <w:left w:val="none" w:sz="0" w:space="0" w:color="auto"/>
        <w:bottom w:val="none" w:sz="0" w:space="0" w:color="auto"/>
        <w:right w:val="none" w:sz="0" w:space="0" w:color="auto"/>
      </w:pBdr>
      <w:spacing w:before="160" w:after="80"/>
      <w:outlineLvl w:val="2"/>
    </w:pPr>
    <w:rPr>
      <w:rFonts w:ascii="Arial" w:hAnsi="Arial" w:eastAsia="Arial"/>
      <w:b/>
      <w:color w:val="2F5475"/>
      <w:sz w:val="21"/>
    </w:rPr>
  </w:style>
  <w:style w:type="paragraph" w:styleId="4">
    <w:name w:val="heading 4"/>
    <w:basedOn w:val="a"/>
    <w:next w:val="a"/>
    <w:qFormat/>
    <w:pPr>
      <w:keepNext/>
      <w:jc w:val="center"/>
      <w:outlineLvl w:val="3"/>
    </w:pPr>
    <w:rPr>
      <w:b/>
      <w:sz w:val="72"/>
    </w:rPr>
  </w:style>
  <w:style w:type="paragraph" w:styleId="5">
    <w:name w:val="heading 5"/>
    <w:basedOn w:val="a"/>
    <w:next w:val="a"/>
    <w:qFormat/>
    <w:pPr>
      <w:keepNext/>
      <w:outlineLvl w:val="4"/>
    </w:pPr>
    <w:rPr>
      <w:sz w:val="72"/>
    </w:rPr>
  </w:style>
  <w:style w:type="paragraph" w:styleId="6">
    <w:name w:val="heading 6"/>
    <w:basedOn w:val="a"/>
    <w:next w:val="a"/>
    <w:qFormat/>
    <w:pPr>
      <w:keepNext/>
      <w:jc w:val="center"/>
      <w:outlineLvl w:val="5"/>
    </w:pPr>
    <w:rPr>
      <w:sz w:val="70"/>
    </w:rPr>
  </w:style>
  <w:style w:type="paragraph" w:styleId="7">
    <w:name w:val="heading 7"/>
    <w:basedOn w:val="a"/>
    <w:next w:val="a"/>
    <w:qFormat/>
    <w:pPr>
      <w:keepNext/>
      <w:jc w:val="center"/>
      <w:outlineLvl w:val="6"/>
    </w:pPr>
    <w:rPr>
      <w:b/>
    </w:rPr>
  </w:style>
  <w:style w:type="paragraph" w:styleId="8">
    <w:name w:val="heading 8"/>
    <w:basedOn w:val="a"/>
    <w:next w:val="a"/>
    <w:qFormat/>
    <w:pPr>
      <w:keepNext/>
      <w:outlineLvl w:val="7"/>
    </w:pPr>
    <w:rPr>
      <w:b/>
    </w:rPr>
  </w:style>
  <w:style w:type="paragraph" w:styleId="9">
    <w:name w:val="heading 9"/>
    <w:basedOn w:val="a"/>
    <w:next w:val="a"/>
    <w:qFormat/>
    <w:pPr>
      <w:keepNext/>
      <w:jc w:val="center"/>
      <w:outlineLvl w:val="8"/>
    </w:pPr>
    <w:rPr>
      <w:rFonts w:ascii="Arial" w:hAnsi="Arial"/>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pBdr>
        <w:bottom w:val="single" w:sz="4" w:space="1" w:color="auto"/>
      </w:pBdr>
      <w:tabs>
        <w:tab w:val="right" w:pos="14600"/>
      </w:tabs>
    </w:pPr>
  </w:style>
  <w:style w:type="paragraph" w:styleId="a4">
    <w:name w:val="footer"/>
    <w:basedOn w:val="a"/>
    <w:link w:val="a5"/>
    <w:uiPriority w:val="99"/>
    <w:pPr>
      <w:tabs>
        <w:tab w:val="center" w:pos="4536"/>
        <w:tab w:val="right" w:pos="9072"/>
      </w:tabs>
    </w:pPr>
    <w:rPr>
      <w:lang w:val="x-none"/>
    </w:rPr>
  </w:style>
  <w:style w:type="character" w:styleId="a6">
    <w:name w:val="page number"/>
    <w:basedOn w:val="a0"/>
  </w:style>
  <w:style w:type="paragraph" w:styleId="a7">
    <w:name w:val="Body Text Indent"/>
    <w:basedOn w:val="a"/>
    <w:pPr>
      <w:ind w:left="1701" w:hanging="1701"/>
    </w:pPr>
  </w:style>
  <w:style w:type="paragraph" w:customStyle="1" w:styleId="TabText">
    <w:name w:val="TabText"/>
    <w:basedOn w:val="a"/>
    <w:pPr>
      <w:spacing w:before="60" w:after="80"/>
    </w:pPr>
    <w:rPr>
      <w:sz w:val="18"/>
    </w:rPr>
  </w:style>
  <w:style w:type="paragraph" w:styleId="a8">
    <w:name w:val="footnote text"/>
    <w:basedOn w:val="a"/>
    <w:semiHidden/>
  </w:style>
  <w:style w:type="character" w:styleId="a9">
    <w:name w:val="footnote reference"/>
    <w:semiHidden/>
    <w:rPr>
      <w:vertAlign w:val="superscript"/>
    </w:rPr>
  </w:style>
  <w:style w:type="character" w:styleId="aa">
    <w:name w:val="annotation reference"/>
    <w:semiHidden/>
    <w:rPr>
      <w:sz w:val="16"/>
    </w:rPr>
  </w:style>
  <w:style w:type="paragraph" w:customStyle="1" w:styleId="TabTextCentre">
    <w:name w:val="TabTextCentre"/>
    <w:basedOn w:val="TabText"/>
    <w:pPr>
      <w:jc w:val="center"/>
    </w:pPr>
  </w:style>
  <w:style w:type="paragraph" w:customStyle="1" w:styleId="TabTextAgrComment">
    <w:name w:val="TabTextAgrComment"/>
    <w:basedOn w:val="TabText"/>
    <w:rPr>
      <w:i/>
    </w:rPr>
  </w:style>
  <w:style w:type="paragraph" w:styleId="ab">
    <w:name w:val="annotation text"/>
    <w:basedOn w:val="a"/>
    <w:semiHidden/>
  </w:style>
  <w:style w:type="paragraph" w:styleId="20">
    <w:name w:val="Body Text Indent 2"/>
    <w:basedOn w:val="a"/>
    <w:pPr>
      <w:ind w:left="709" w:hanging="709"/>
    </w:pPr>
  </w:style>
  <w:style w:type="paragraph" w:styleId="ac">
    <w:name w:val="Balloon Text"/>
    <w:basedOn w:val="a"/>
    <w:semiHidden/>
    <w:rPr>
      <w:rFonts w:ascii="Tahoma" w:hAnsi="Tahoma" w:cs="Courier New"/>
      <w:sz w:val="16"/>
      <w:szCs w:val="16"/>
    </w:rPr>
  </w:style>
  <w:style w:type="paragraph" w:styleId="ad">
    <w:name w:val="Body Text"/>
    <w:basedOn w:val="a"/>
    <w:pPr>
      <w:jc w:val="center"/>
    </w:pPr>
    <w:rPr>
      <w:b/>
      <w:sz w:val="48"/>
    </w:rPr>
  </w:style>
  <w:style w:type="paragraph" w:styleId="TOC1">
    <w:name w:val="toc 1"/>
    <w:basedOn w:val="a"/>
    <w:next w:val="a"/>
    <w:autoRedefine/>
    <w:uiPriority w:val="39"/>
    <w:pPr>
      <w:spacing w:before="120" w:after="120"/>
      <w:jc w:val="left"/>
    </w:pPr>
    <w:rPr>
      <w:rFonts w:ascii="Times New Roman" w:hAnsi="Times New Roman"/>
      <w:b/>
      <w:bCs/>
      <w:caps/>
      <w:szCs w:val="24"/>
    </w:rPr>
  </w:style>
  <w:style w:type="paragraph" w:styleId="TOC2">
    <w:name w:val="toc 2"/>
    <w:basedOn w:val="a"/>
    <w:next w:val="a"/>
    <w:autoRedefine/>
    <w:semiHidden/>
    <w:pPr>
      <w:ind w:left="200"/>
      <w:jc w:val="left"/>
    </w:pPr>
    <w:rPr>
      <w:rFonts w:ascii="Times New Roman" w:hAnsi="Times New Roman"/>
      <w:smallCaps/>
      <w:szCs w:val="24"/>
    </w:rPr>
  </w:style>
  <w:style w:type="paragraph" w:styleId="TOC3">
    <w:name w:val="toc 3"/>
    <w:basedOn w:val="a"/>
    <w:next w:val="a"/>
    <w:autoRedefine/>
    <w:semiHidden/>
    <w:pPr>
      <w:ind w:left="400"/>
      <w:jc w:val="left"/>
    </w:pPr>
    <w:rPr>
      <w:rFonts w:ascii="Times New Roman" w:hAnsi="Times New Roman"/>
      <w:i/>
      <w:iCs/>
      <w:szCs w:val="24"/>
    </w:rPr>
  </w:style>
  <w:style w:type="paragraph" w:styleId="TOC4">
    <w:name w:val="toc 4"/>
    <w:basedOn w:val="a"/>
    <w:next w:val="a"/>
    <w:autoRedefine/>
    <w:semiHidden/>
    <w:pPr>
      <w:ind w:left="600"/>
      <w:jc w:val="left"/>
    </w:pPr>
    <w:rPr>
      <w:rFonts w:ascii="Times New Roman" w:hAnsi="Times New Roman"/>
      <w:szCs w:val="21"/>
    </w:rPr>
  </w:style>
  <w:style w:type="paragraph" w:styleId="TOC5">
    <w:name w:val="toc 5"/>
    <w:basedOn w:val="a"/>
    <w:next w:val="a"/>
    <w:autoRedefine/>
    <w:semiHidden/>
    <w:pPr>
      <w:ind w:left="800"/>
      <w:jc w:val="left"/>
    </w:pPr>
    <w:rPr>
      <w:rFonts w:ascii="Times New Roman" w:hAnsi="Times New Roman"/>
      <w:szCs w:val="21"/>
    </w:rPr>
  </w:style>
  <w:style w:type="paragraph" w:styleId="TOC6">
    <w:name w:val="toc 6"/>
    <w:basedOn w:val="a"/>
    <w:next w:val="a"/>
    <w:autoRedefine/>
    <w:semiHidden/>
    <w:pPr>
      <w:ind w:left="1000"/>
      <w:jc w:val="left"/>
    </w:pPr>
    <w:rPr>
      <w:rFonts w:ascii="Times New Roman" w:hAnsi="Times New Roman"/>
      <w:szCs w:val="21"/>
    </w:rPr>
  </w:style>
  <w:style w:type="paragraph" w:styleId="TOC7">
    <w:name w:val="toc 7"/>
    <w:basedOn w:val="a"/>
    <w:next w:val="a"/>
    <w:autoRedefine/>
    <w:semiHidden/>
    <w:pPr>
      <w:ind w:left="1200"/>
      <w:jc w:val="left"/>
    </w:pPr>
    <w:rPr>
      <w:rFonts w:ascii="Times New Roman" w:hAnsi="Times New Roman"/>
      <w:szCs w:val="21"/>
    </w:rPr>
  </w:style>
  <w:style w:type="paragraph" w:styleId="TOC8">
    <w:name w:val="toc 8"/>
    <w:basedOn w:val="a"/>
    <w:next w:val="a"/>
    <w:autoRedefine/>
    <w:semiHidden/>
    <w:pPr>
      <w:ind w:left="1400"/>
      <w:jc w:val="left"/>
    </w:pPr>
    <w:rPr>
      <w:rFonts w:ascii="Times New Roman" w:hAnsi="Times New Roman"/>
      <w:szCs w:val="21"/>
    </w:rPr>
  </w:style>
  <w:style w:type="paragraph" w:styleId="TOC9">
    <w:name w:val="toc 9"/>
    <w:basedOn w:val="a"/>
    <w:next w:val="a"/>
    <w:autoRedefine/>
    <w:semiHidden/>
    <w:pPr>
      <w:ind w:left="1600"/>
      <w:jc w:val="left"/>
    </w:pPr>
    <w:rPr>
      <w:rFonts w:ascii="Times New Roman" w:hAnsi="Times New Roman"/>
      <w:szCs w:val="21"/>
    </w:rPr>
  </w:style>
  <w:style w:type="paragraph" w:styleId="ae">
    <w:name w:val="Document Map"/>
    <w:basedOn w:val="a"/>
    <w:semiHidden/>
    <w:pPr>
      <w:shd w:val="clear" w:color="auto" w:fill="000080"/>
    </w:pPr>
    <w:rPr>
      <w:rFonts w:ascii="Tahoma" w:hAnsi="Tahoma"/>
    </w:rPr>
  </w:style>
  <w:style w:type="paragraph" w:styleId="21">
    <w:name w:val="Body Text 2"/>
    <w:basedOn w:val="a"/>
    <w:rPr>
      <w:i/>
    </w:rPr>
  </w:style>
  <w:style w:type="paragraph" w:styleId="30">
    <w:name w:val="Body Text 3"/>
    <w:basedOn w:val="a"/>
    <w:rPr>
      <w:b/>
    </w:rPr>
  </w:style>
  <w:style w:type="paragraph" w:customStyle="1" w:styleId="Style1">
    <w:name w:val="Style1"/>
    <w:basedOn w:val="2"/>
    <w:pPr>
      <w:pBdr>
        <w:top w:val="none" w:sz="0" w:space="0" w:color="auto"/>
        <w:left w:val="none" w:sz="0" w:space="0" w:color="auto"/>
        <w:bottom w:val="none" w:sz="0" w:space="0" w:color="auto"/>
        <w:right w:val="none" w:sz="0" w:space="0" w:color="auto"/>
      </w:pBdr>
    </w:pPr>
  </w:style>
  <w:style w:type="paragraph" w:styleId="31">
    <w:name w:val="Body Text Indent 3"/>
    <w:basedOn w:val="a"/>
    <w:pPr>
      <w:ind w:left="1247" w:hanging="1247"/>
    </w:pPr>
  </w:style>
  <w:style w:type="paragraph" w:styleId="af">
    <w:name w:val="annotation subject"/>
    <w:basedOn w:val="ab"/>
    <w:next w:val="ab"/>
    <w:semiHidden/>
    <w:rPr>
      <w:b/>
      <w:bCs/>
    </w:rPr>
  </w:style>
  <w:style w:type="character" w:styleId="af0">
    <w:name w:val="Hyperlink"/>
    <w:uiPriority w:val="99"/>
    <w:rPr>
      <w:color w:val="0000FF"/>
      <w:u w:val="single"/>
    </w:rPr>
  </w:style>
  <w:style w:type="character" w:styleId="af1">
    <w:name w:val="FollowedHyperlink"/>
    <w:rsid w:val="006979F1"/>
    <w:rPr>
      <w:color w:val="606420"/>
      <w:u w:val="single"/>
    </w:rPr>
  </w:style>
  <w:style w:type="paragraph" w:styleId="af2">
    <w:name w:val="Normal (Web)"/>
    <w:basedOn w:val="a"/>
    <w:rsid w:val="006F36A2"/>
    <w:pPr>
      <w:spacing w:before="100" w:beforeAutospacing="1" w:after="100" w:afterAutospacing="1"/>
      <w:jc w:val="left"/>
    </w:pPr>
    <w:rPr>
      <w:rFonts w:ascii="Times New Roman" w:hAnsi="Times New Roman"/>
      <w:sz w:val="24"/>
      <w:szCs w:val="24"/>
      <w:lang w:eastAsia="en-GB"/>
    </w:rPr>
  </w:style>
  <w:style w:type="character" w:styleId="af3">
    <w:name w:val="Strong"/>
    <w:qFormat/>
    <w:rsid w:val="00150ECA"/>
    <w:rPr>
      <w:b/>
      <w:bCs/>
    </w:rPr>
  </w:style>
  <w:style w:type="paragraph" w:styleId="af4">
    <w:name w:val="Title"/>
    <w:basedOn w:val="a"/>
    <w:next w:val="a"/>
    <w:link w:val="af5"/>
    <w:qFormat/>
    <w:rsid w:val="003A1314"/>
    <w:pPr>
      <w:spacing w:before="160" w:after="80"/>
      <w:jc w:val="center"/>
      <w:outlineLvl w:val="0"/>
    </w:pPr>
    <w:rPr>
      <w:rFonts w:ascii="Arial" w:hAnsi="Arial" w:eastAsia="Arial"/>
      <w:b/>
      <w:bCs/>
      <w:color w:val="1F4E79"/>
      <w:kern w:val="28"/>
      <w:sz w:val="40"/>
      <w:szCs w:val="32"/>
      <w:lang w:eastAsia="x-none"/>
    </w:rPr>
  </w:style>
  <w:style w:type="character" w:customStyle="1" w:styleId="af5">
    <w:name w:val="标题 字符"/>
    <w:link w:val="af4"/>
    <w:rsid w:val="003A1314"/>
    <w:rPr>
      <w:rFonts w:ascii="Cambria" w:eastAsia="Times New Roman" w:hAnsi="Cambria" w:cs="Times New Roman"/>
      <w:b/>
      <w:bCs/>
      <w:kern w:val="28"/>
      <w:sz w:val="32"/>
      <w:szCs w:val="32"/>
      <w:lang w:val="en-GB"/>
    </w:rPr>
  </w:style>
  <w:style w:type="paragraph" w:styleId="af6">
    <w:name w:val="caption"/>
    <w:basedOn w:val="a"/>
    <w:next w:val="a"/>
    <w:qFormat/>
    <w:rsid w:val="00047343"/>
    <w:rPr>
      <w:b/>
      <w:bCs/>
    </w:rPr>
  </w:style>
  <w:style w:type="character" w:customStyle="1" w:styleId="a5">
    <w:name w:val="页脚 字符"/>
    <w:link w:val="a4"/>
    <w:uiPriority w:val="99"/>
    <w:rsid w:val="00D91BF6"/>
    <w:rPr>
      <w:rFonts w:ascii="Helvetica" w:hAnsi="Helvetica"/>
      <w:lang w:eastAsia="en-US"/>
    </w:rPr>
  </w:style>
  <w:style w:type="table" w:styleId="af7">
    <w:name w:val="Table Grid"/>
    <w:basedOn w:val="a1"/>
    <w:rsid w:val="00E9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Plain Text"/>
    <w:basedOn w:val="a"/>
    <w:link w:val="af9"/>
    <w:uiPriority w:val="99"/>
    <w:unhideWhenUsed/>
    <w:rsid w:val="0079480A"/>
    <w:pPr>
      <w:jc w:val="left"/>
    </w:pPr>
    <w:rPr>
      <w:rFonts w:ascii="Arial Narrow" w:eastAsia="Calibri" w:hAnsi="Arial Narrow"/>
      <w:sz w:val="24"/>
      <w:szCs w:val="24"/>
      <w:lang w:val="en-US"/>
    </w:rPr>
  </w:style>
  <w:style w:type="character" w:customStyle="1" w:styleId="af9">
    <w:name w:val="纯文本 字符"/>
    <w:link w:val="af8"/>
    <w:uiPriority w:val="99"/>
    <w:rsid w:val="0079480A"/>
    <w:rPr>
      <w:rFonts w:ascii="Arial Narrow" w:eastAsia="Calibri" w:hAnsi="Arial Narrow"/>
      <w:sz w:val="24"/>
      <w:szCs w:val="24"/>
      <w:lang w:val="en-US" w:eastAsia="en-US"/>
    </w:rPr>
  </w:style>
  <w:style w:type="table" w:customStyle="1" w:styleId="TableGrid">
    <w:name w:val="TableGrid"/>
    <w:rsid w:val="00E924E9"/>
    <w:rPr>
      <w:rFonts w:ascii="Calibri" w:eastAsia="等线" w:hAnsi="Calibri"/>
      <w:sz w:val="22"/>
      <w:szCs w:val="22"/>
      <w:lang w:val="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578087">
      <w:bodyDiv w:val="1"/>
      <w:marLeft w:val="0"/>
      <w:marRight w:val="0"/>
      <w:marTop w:val="0"/>
      <w:marBottom w:val="0"/>
      <w:divBdr>
        <w:top w:val="none" w:sz="0" w:space="0" w:color="auto"/>
        <w:left w:val="none" w:sz="0" w:space="0" w:color="auto"/>
        <w:bottom w:val="none" w:sz="0" w:space="0" w:color="auto"/>
        <w:right w:val="none" w:sz="0" w:space="0" w:color="auto"/>
      </w:divBdr>
    </w:div>
    <w:div w:id="1055082843">
      <w:bodyDiv w:val="1"/>
      <w:marLeft w:val="0"/>
      <w:marRight w:val="0"/>
      <w:marTop w:val="0"/>
      <w:marBottom w:val="0"/>
      <w:divBdr>
        <w:top w:val="none" w:sz="0" w:space="0" w:color="auto"/>
        <w:left w:val="none" w:sz="0" w:space="0" w:color="auto"/>
        <w:bottom w:val="none" w:sz="0" w:space="0" w:color="auto"/>
        <w:right w:val="none" w:sz="0" w:space="0" w:color="auto"/>
      </w:divBdr>
    </w:div>
    <w:div w:id="1605839751">
      <w:bodyDiv w:val="1"/>
      <w:marLeft w:val="0"/>
      <w:marRight w:val="0"/>
      <w:marTop w:val="0"/>
      <w:marBottom w:val="0"/>
      <w:divBdr>
        <w:top w:val="none" w:sz="0" w:space="0" w:color="auto"/>
        <w:left w:val="none" w:sz="0" w:space="0" w:color="auto"/>
        <w:bottom w:val="none" w:sz="0" w:space="0" w:color="auto"/>
        <w:right w:val="none" w:sz="0" w:space="0" w:color="auto"/>
      </w:divBdr>
    </w:div>
    <w:div w:id="213536903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1293</Characters>
  <Application>Microsoft Office Word</Application>
  <DocSecurity>4</DocSecurity>
  <Lines>55</Lines>
  <Paragraphs>23</Paragraphs>
  <ScaleCrop>false</ScaleCrop>
  <HeadingPairs>
    <vt:vector size="2" baseType="variant">
      <vt:variant>
        <vt:lpstr>Title</vt:lpstr>
      </vt:variant>
      <vt:variant>
        <vt:i4>1</vt:i4>
      </vt:variant>
    </vt:vector>
  </HeadingPairs>
  <TitlesOfParts>
    <vt:vector size="1" baseType="lpstr">
      <vt:lpstr>Agresso Implementation</vt:lpstr>
    </vt:vector>
  </TitlesOfParts>
  <Company>LGC</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Agresso Implementation</dc:title>
  <dc:subject/>
  <dc:creator>david.hewitt</dc:creator>
  <cp:keywords/>
  <cp:lastModifiedBy>Ouni Jia (student)</cp:lastModifiedBy>
  <cp:revision>2</cp:revision>
  <cp:lastPrinted>2012-07-27T06:52:00Z</cp:lastPrinted>
  <dcterms:created xsi:type="dcterms:W3CDTF">2026-10-01T08:31:00Z</dcterms:created>
  <dcterms:modified xsi:type="dcterms:W3CDTF">2026-10-01T08:31:00Z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0957f886-74c6-41a3-a446-1e65de860a30</vt:lpwstr>
  </property>
</Properties>
</file>