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rPr>
        <w:t>HARBOUR TERRACE BODY CORPORATE</w:t>
      </w:r>
    </w:p>
    <w:p w14:paraId="6B74BD4C" w14:textId="0BF116E4" w:rsidR="00F11380" w:rsidRDefault="00DA0439" w:rsidP="00C97ACC">
      <w:pPr>
        <w:tabs>
          <w:tab w:val="left" w:pos="7005"/>
        </w:tabs>
        <w:spacing w:after="240"/>
        <w:rPr>
          <w:color w:val="FF0000"/>
          <w:sz w:val="22"/>
          <w:szCs w:val="22"/>
          <w:lang w:val="en-ZA"/>
        </w:rPr>
      </w:pPr>
      <w:r>
        <w:rPr>
          <w:color w:val="FF0000"/>
          <w:sz w:val="22"/>
        </w:rPr>
        <w:t>9 Boundary Road</w:t>
        <w:br/>
        <w:t>Green Point</w:t>
        <w:br/>
        <w:t>Cape Town</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rPr>
        <w:t>15 July 2024</w:t>
      </w:r>
    </w:p>
    <w:p w14:paraId="30542E73" w14:textId="01EF40D3" w:rsidR="00953D87" w:rsidRDefault="00F11380" w:rsidP="00C97ACC">
      <w:pPr>
        <w:tabs>
          <w:tab w:val="left" w:pos="7005"/>
        </w:tabs>
        <w:spacing w:after="240"/>
        <w:rPr>
          <w:i/>
          <w:sz w:val="22"/>
          <w:szCs w:val="22"/>
          <w:lang w:val="en-ZA"/>
        </w:rPr>
      </w:pPr>
      <w:r>
        <w:rPr>
          <w:i/>
          <w:sz w:val="22"/>
        </w:rPr>
        <w:t xml:space="preserve">Via e-mail: </w:t>
      </w:r>
      <w:r>
        <w:rPr>
          <w:i/>
          <w:color w:val="0070C0"/>
        </w:rPr>
        <w:t>foxmoss@isoft.co.za</w:t>
      </w:r>
    </w:p>
    <w:p w14:paraId="4DAEA8DB" w14:textId="52037624" w:rsidR="00953D87" w:rsidRDefault="00F11380" w:rsidP="00C97ACC">
      <w:pPr>
        <w:tabs>
          <w:tab w:val="left" w:pos="7005"/>
        </w:tabs>
        <w:spacing w:after="240"/>
        <w:rPr>
          <w:color w:val="FF0000"/>
          <w:sz w:val="22"/>
          <w:szCs w:val="22"/>
          <w:lang w:val="en-ZA"/>
        </w:rPr>
      </w:pPr>
      <w:r>
        <w:rPr>
          <w:sz w:val="22"/>
        </w:rPr>
        <w:t xml:space="preserve">Attention: </w:t>
      </w:r>
      <w:r>
        <w:rPr>
          <w:color w:val="FF0000"/>
          <w:sz w:val="22"/>
        </w:rPr>
        <w:t>Maon Moss</w:t>
      </w:r>
    </w:p>
    <w:p w14:paraId="351E44D3" w14:textId="6218697D" w:rsidR="008B69D0" w:rsidRDefault="00F11380" w:rsidP="00C97ACC">
      <w:pPr>
        <w:tabs>
          <w:tab w:val="left" w:pos="7005"/>
        </w:tabs>
        <w:spacing w:after="240"/>
        <w:rPr>
          <w:color w:val="FF0000"/>
          <w:sz w:val="22"/>
          <w:szCs w:val="22"/>
          <w:lang w:val="en-ZA"/>
        </w:rPr>
      </w:pPr>
      <w:r>
        <w:rPr>
          <w:sz w:val="22"/>
        </w:rPr>
        <w:t xml:space="preserve">Dear </w:t>
      </w:r>
      <w:r>
        <w:rPr>
          <w:color w:val="FF0000"/>
          <w:sz w:val="22"/>
        </w:rPr>
        <w:t>Maon Moss</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Pr>
          <w:b/>
          <w:sz w:val="22"/>
        </w:rPr>
        <w:t>RE:</w:t>
        <w:tab/>
        <w:t>SITE HEALTH AND SAFETY MANAGEMENT IN RESPECT OF</w:t>
      </w:r>
      <w:r>
        <w:rPr>
          <w:b/>
          <w:color w:val="FF0000"/>
          <w:sz w:val="22"/>
        </w:rPr>
        <w:t xml:space="preserve"> HARBOUR TERRACE BODY CORPORATE – HARBOUR TERRACE</w:t>
      </w:r>
    </w:p>
    <w:p w14:paraId="6074E937" w14:textId="00A872B0" w:rsidR="00F11380" w:rsidRDefault="00F11380" w:rsidP="001725C8">
      <w:pPr>
        <w:tabs>
          <w:tab w:val="left" w:pos="7005"/>
        </w:tabs>
        <w:spacing w:after="240"/>
        <w:jc w:val="both"/>
        <w:rPr>
          <w:sz w:val="22"/>
          <w:szCs w:val="22"/>
          <w:lang w:val="en-ZA"/>
        </w:rPr>
      </w:pPr>
      <w:r>
        <w:rPr>
          <w:sz w:val="22"/>
        </w:rPr>
        <w:t>Further to the recent discussions which took place, we wish to thank you for your interest in our company and are pleased to submit our proposal in respect of the above for your approval.  Furthermore,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rPr>
        <w:t xml:space="preserve">Upon confirmation that </w:t>
      </w:r>
      <w:r>
        <w:rPr>
          <w:color w:val="FF0000"/>
          <w:sz w:val="22"/>
        </w:rPr>
        <w:t>Comprac Energy (Pty) Ltd</w:t>
      </w:r>
      <w:r>
        <w:rPr>
          <w:sz w:val="22"/>
        </w:rPr>
        <w:t xml:space="preserve"> has been appointed to act as the Safety Agent for </w:t>
      </w:r>
      <w:r>
        <w:rPr>
          <w:color w:val="FF0000"/>
          <w:sz w:val="22"/>
        </w:rPr>
        <w:t xml:space="preserve">Harbour Terrace Body Corporate </w:t>
      </w:r>
      <w:r>
        <w:rPr>
          <w:sz w:val="22"/>
        </w:rPr>
        <w:t xml:space="preserve">for the abovementioned project, </w:t>
      </w:r>
      <w:r>
        <w:rPr>
          <w:color w:val="FF0000"/>
          <w:sz w:val="22"/>
        </w:rPr>
        <w:t xml:space="preserve">Comprac Energy (Pty) Ltd </w:t>
      </w:r>
      <w:r>
        <w:rPr>
          <w:sz w:val="22"/>
        </w:rPr>
        <w:t xml:space="preserve">will ensure that all the Health and Safety requirements are in place in order for </w:t>
      </w:r>
      <w:r>
        <w:rPr>
          <w:color w:val="FF0000"/>
          <w:sz w:val="22"/>
        </w:rPr>
        <w:t xml:space="preserve">Harbour Terrace Body Corporate </w:t>
      </w:r>
      <w:r>
        <w:rPr>
          <w:sz w:val="22"/>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Pr>
          <w:b/>
          <w:sz w:val="22"/>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Pr>
          <w:sz w:val="22"/>
        </w:rPr>
        <w:t xml:space="preserve">Upon receipt of notification from yourselves or the Project Manager as to which Principal Contractor is to be appointed and receipt of confirmation of the Professional Team members, </w:t>
      </w:r>
      <w:r>
        <w:rPr>
          <w:color w:val="FF0000"/>
          <w:sz w:val="22"/>
        </w:rPr>
        <w:t>Comprac Energy (Pty) Ltd</w:t>
      </w:r>
      <w:r>
        <w:rPr>
          <w:sz w:val="22"/>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Pr>
          <w:sz w:val="22"/>
        </w:rPr>
        <w:t>Issue our standard Contractors Pack together with our Contractors Pack Control Register to the Principal 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Pr>
          <w:sz w:val="22"/>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Pr>
          <w:sz w:val="22"/>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Pr>
          <w:sz w:val="22"/>
        </w:rPr>
        <w:t xml:space="preserve">The Principal Contractor will be required to return the following documentation to </w:t>
      </w:r>
      <w:r>
        <w:rPr>
          <w:color w:val="FF0000"/>
          <w:sz w:val="22"/>
        </w:rPr>
        <w:t>Comprac Energy (Pty) Ltd</w:t>
      </w:r>
      <w:r>
        <w:rPr>
          <w:sz w:val="22"/>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Pr>
          <w:sz w:val="22"/>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Pr>
          <w:sz w:val="22"/>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Pr>
          <w:sz w:val="22"/>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Pr>
          <w:sz w:val="22"/>
        </w:rPr>
        <w:t xml:space="preserve">The Professional Team members will be required to return the following documentation to </w:t>
      </w:r>
      <w:r>
        <w:rPr>
          <w:color w:val="FF0000"/>
          <w:sz w:val="22"/>
        </w:rPr>
        <w:t>Comprac Energy (Pty) Ltd</w:t>
      </w:r>
      <w:r>
        <w:rPr>
          <w:sz w:val="22"/>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Pr>
          <w:sz w:val="22"/>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Pr>
          <w:sz w:val="22"/>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Pr>
          <w:color w:val="FF0000"/>
          <w:sz w:val="22"/>
        </w:rPr>
        <w:t>Comprac Energy (Pty) Ltd</w:t>
      </w:r>
      <w:r>
        <w:rPr>
          <w:sz w:val="22"/>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Pr>
          <w:sz w:val="22"/>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Create a Master File for the </w:t>
      </w:r>
      <w:r>
        <w:rPr>
          <w:color w:val="FF0000"/>
          <w:sz w:val="22"/>
        </w:rPr>
        <w:t>Harbour Terrace</w:t>
      </w:r>
      <w:r>
        <w:rPr>
          <w:sz w:val="22"/>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Pr>
          <w:sz w:val="22"/>
        </w:rPr>
        <w:t xml:space="preserve">Where required, </w:t>
      </w:r>
      <w:r>
        <w:rPr>
          <w:color w:val="FF0000"/>
          <w:sz w:val="22"/>
        </w:rPr>
        <w:t>Comprac Energy (Pty) Ltd</w:t>
      </w:r>
      <w:r>
        <w:rPr>
          <w:sz w:val="22"/>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In addition to the above, </w:t>
      </w:r>
      <w:r>
        <w:rPr>
          <w:color w:val="FF0000"/>
          <w:sz w:val="22"/>
        </w:rPr>
        <w:t>Comprac Energy (Pty) Ltd</w:t>
      </w:r>
      <w:r>
        <w:rPr>
          <w:sz w:val="22"/>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Pr>
          <w:sz w:val="22"/>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Pr>
          <w:sz w:val="22"/>
        </w:rPr>
        <w:t xml:space="preserve">The Master File will be retained and maintained by </w:t>
      </w:r>
      <w:r>
        <w:rPr>
          <w:color w:val="FF0000"/>
          <w:sz w:val="22"/>
        </w:rPr>
        <w:t>Comprac Energy (Pty) Ltd</w:t>
      </w:r>
      <w:r>
        <w:rPr>
          <w:sz w:val="22"/>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Pr>
          <w:sz w:val="22"/>
        </w:rPr>
        <w:t xml:space="preserve">Prior to site establishment and, by arrangement, </w:t>
      </w:r>
      <w:r>
        <w:rPr>
          <w:color w:val="FF0000"/>
          <w:sz w:val="22"/>
        </w:rPr>
        <w:t>Comprac Energy (Pty) Ltd</w:t>
      </w:r>
      <w:r>
        <w:rPr>
          <w:sz w:val="22"/>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Pr>
          <w:i/>
          <w:sz w:val="22"/>
        </w:rPr>
        <w:t>It is to be noted that it will be incumbent on the Principal Contractor to affect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Pr>
          <w:sz w:val="22"/>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Pr>
          <w:i/>
          <w:sz w:val="22"/>
        </w:rPr>
        <w:t xml:space="preserve">It is to be noted that, should the Contractor’s Review Audit still not meet the Minimum standard of 90% any further intervention from </w:t>
      </w:r>
      <w:r>
        <w:rPr>
          <w:i/>
          <w:color w:val="FF0000"/>
          <w:sz w:val="22"/>
        </w:rPr>
        <w:t>Comprac Energy (Pty) Ltd</w:t>
      </w:r>
      <w:r>
        <w:rPr>
          <w:i/>
          <w:sz w:val="22"/>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Pr>
          <w:color w:val="FF0000"/>
          <w:sz w:val="22"/>
        </w:rPr>
        <w:t>Comprac Energy (Pty) Ltd</w:t>
      </w:r>
      <w:r>
        <w:rPr>
          <w:sz w:val="22"/>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Pr>
          <w:b/>
          <w:sz w:val="22"/>
        </w:rPr>
        <w:t xml:space="preserve">In order to accomplish the monitoring requirement </w:t>
      </w:r>
      <w:r>
        <w:rPr>
          <w:b/>
          <w:color w:val="FF0000"/>
          <w:sz w:val="22"/>
        </w:rPr>
        <w:t>Comprac Energy (Pty) Ltd</w:t>
      </w:r>
      <w:r>
        <w:rPr>
          <w:b/>
          <w:sz w:val="22"/>
        </w:rPr>
        <w:t xml:space="preserve"> will appoint a competent Safety Practitioner to inspect the site on a </w:t>
      </w:r>
      <w:r>
        <w:rPr>
          <w:b/>
          <w:color w:val="FF0000"/>
          <w:sz w:val="22"/>
        </w:rPr>
        <w:t>XXXX</w:t>
      </w:r>
      <w:r>
        <w:rPr>
          <w:b/>
          <w:sz w:val="22"/>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Pr>
          <w:sz w:val="22"/>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Pr>
          <w:b/>
          <w:sz w:val="22"/>
        </w:rPr>
        <w:t>Improvement Notifications, Contravention Notices and Prohibition Notices</w:t>
      </w:r>
      <w:r>
        <w:rPr>
          <w:sz w:val="22"/>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Pr>
          <w:color w:val="FF0000"/>
          <w:sz w:val="22"/>
        </w:rPr>
        <w:t>Comprac Energy (Pty) Ltd</w:t>
      </w:r>
      <w:r>
        <w:rPr>
          <w:sz w:val="22"/>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rPr>
        <w:t xml:space="preserve">Comprac Energy (Pty) Ltd </w:t>
      </w:r>
      <w:r>
        <w:rPr>
          <w:b/>
          <w:sz w:val="22"/>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Pr>
          <w:b/>
          <w:sz w:val="22"/>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Pr>
          <w:sz w:val="22"/>
        </w:rPr>
        <w:t>Provision for Health &amp; Safety Service:</w:t>
        <w:tab/>
        <w:t xml:space="preserve">R </w:t>
      </w:r>
      <w:r>
        <w:rPr>
          <w:color w:val="FF0000"/>
          <w:sz w:val="22"/>
        </w:rPr>
        <w:t>9110.0</w:t>
      </w:r>
      <w:r>
        <w:rPr>
          <w:sz w:val="22"/>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Pr>
          <w:b/>
          <w:sz w:val="22"/>
        </w:rPr>
        <w:t xml:space="preserve">Please note that all prices quoted exclude VAT and, are valid for a period of </w:t>
      </w:r>
      <w:r>
        <w:rPr>
          <w:b/>
          <w:color w:val="FF0000"/>
          <w:sz w:val="22"/>
        </w:rPr>
        <w:t>30</w:t>
      </w:r>
      <w:r>
        <w:rPr>
          <w:b/>
          <w:sz w:val="22"/>
        </w:rPr>
        <w:t xml:space="preserve"> days effective from the proposal date.  In addition, that all prices quoted will escalate annually by </w:t>
      </w:r>
      <w:r>
        <w:rPr>
          <w:b/>
          <w:color w:val="FF0000"/>
          <w:sz w:val="22"/>
        </w:rPr>
        <w:t>10</w:t>
      </w:r>
      <w:r>
        <w:rPr>
          <w:b/>
          <w:sz w:val="22"/>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w:t>
      </w:r>
      <w:r>
        <w:rPr>
          <w:i/>
          <w:sz w:val="22"/>
        </w:rPr>
        <w:t>Annexure A</w:t>
      </w:r>
      <w:r>
        <w:rPr>
          <w:sz w:val="22"/>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Any additional intervention by </w:t>
      </w:r>
      <w:r>
        <w:rPr>
          <w:color w:val="FF0000"/>
          <w:sz w:val="22"/>
        </w:rPr>
        <w:t>Comprac Energy (Pty) Ltd</w:t>
      </w:r>
      <w:r>
        <w:rPr>
          <w:sz w:val="22"/>
        </w:rPr>
        <w:t xml:space="preserve"> that falls outside of the scope of supply – such as repeat Review Audits </w:t>
      </w:r>
      <w:r>
        <w:rPr>
          <w:i/>
          <w:sz w:val="22"/>
        </w:rPr>
        <w:t>(refer paragraph 1.3 above)</w:t>
      </w:r>
      <w:r>
        <w:rPr>
          <w:sz w:val="22"/>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above figure </w:t>
      </w:r>
      <w:r>
        <w:rPr>
          <w:b/>
          <w:sz w:val="22"/>
        </w:rPr>
        <w:t>excludes overtime</w:t>
      </w:r>
      <w:r>
        <w:rPr>
          <w:sz w:val="22"/>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Above cost is based on normal working hours as defined in the </w:t>
      </w:r>
      <w:r>
        <w:rPr>
          <w:b/>
          <w:sz w:val="22"/>
        </w:rPr>
        <w:t>Basic Conditions of Employment Act</w:t>
      </w:r>
      <w:r>
        <w:rPr>
          <w:sz w:val="22"/>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Pr>
          <w:sz w:val="22"/>
        </w:rPr>
        <w:t>Please be advised that a Construction Permit is required, should a project start on 7th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Pr>
          <w:sz w:val="22"/>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Pr>
          <w:sz w:val="22"/>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Pr>
          <w:b/>
          <w:sz w:val="22"/>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18956FD7" w:rsidR="000259F5" w:rsidRPr="000259F5" w:rsidRDefault="000259F5" w:rsidP="000830BC">
      <w:pPr>
        <w:tabs>
          <w:tab w:val="left" w:pos="7005"/>
        </w:tabs>
        <w:ind w:left="851"/>
        <w:jc w:val="both"/>
        <w:rPr>
          <w:bCs/>
          <w:sz w:val="22"/>
          <w:szCs w:val="22"/>
          <w:lang w:val="en-ZA"/>
        </w:rPr>
      </w:pPr>
      <w:r>
        <w:rPr>
          <w:sz w:val="22"/>
        </w:rPr>
        <w:t xml:space="preserve">Should a Construction Permit be required as per the requirements set out above, a once off Construction Permit fee of </w:t>
      </w:r>
      <w:r>
        <w:rPr>
          <w:color w:val="FF0000"/>
          <w:sz w:val="22"/>
        </w:rPr>
        <w:t>RXX XXX-XX</w:t>
      </w:r>
      <w:r>
        <w:rPr>
          <w:sz w:val="22"/>
        </w:rPr>
        <w:t xml:space="preserve"> excl. VAT will be applicable and invoiced separately. </w:t>
      </w:r>
      <w:r>
        <w:rPr>
          <w:color w:val="FF0000"/>
          <w:sz w:val="22"/>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Proposal fee does not include the purchase of PROCSA Agreements. PROCSA Agreements are for the account of the Client and should a PROCSA Agreement be required, a separate invoice will be issued. </w:t>
      </w:r>
      <w:r>
        <w:rPr>
          <w:color w:val="FF0000"/>
          <w:sz w:val="22"/>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Indirect / variables such as accommodation and live out allowance are for the direct account of </w:t>
      </w:r>
      <w:r>
        <w:rPr>
          <w:color w:val="FF0000"/>
          <w:sz w:val="22"/>
        </w:rPr>
        <w:t>Harbour Terrace Body Corporate</w:t>
      </w:r>
      <w:r>
        <w:rPr>
          <w:sz w:val="22"/>
        </w:rPr>
        <w:t xml:space="preserve">. Accommodation requirements are a minimum 3 Star rating / Temporary housing solution. Any savings on indirect expenses are for the benefit of </w:t>
      </w:r>
      <w:r>
        <w:rPr>
          <w:color w:val="FF0000"/>
          <w:sz w:val="22"/>
        </w:rPr>
        <w:t>Harbour Terrace Body Corporate</w:t>
      </w:r>
      <w:r>
        <w:rPr>
          <w:sz w:val="22"/>
        </w:rPr>
        <w:t xml:space="preserve">. </w:t>
      </w:r>
      <w:r>
        <w:rPr>
          <w:color w:val="FF0000"/>
          <w:sz w:val="22"/>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Live out allowance of R150-00 per day are payable and for the direct account of </w:t>
      </w:r>
      <w:r>
        <w:rPr>
          <w:color w:val="FF0000"/>
          <w:sz w:val="22"/>
        </w:rPr>
        <w:t>Harbour Terrace Body Corporate</w:t>
      </w:r>
      <w:r>
        <w:rPr>
          <w:sz w:val="22"/>
        </w:rPr>
        <w:t xml:space="preserve">. </w:t>
      </w:r>
      <w:r>
        <w:rPr>
          <w:color w:val="FF0000"/>
          <w:sz w:val="22"/>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Pr>
          <w:b/>
          <w:sz w:val="22"/>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terms stipulated in this proposal will be effectively applied throughout the duration of this project; the duration of which will be </w:t>
      </w:r>
      <w:r>
        <w:rPr>
          <w:color w:val="FF0000"/>
          <w:sz w:val="22"/>
        </w:rPr>
        <w:t>XX</w:t>
      </w:r>
      <w:r>
        <w:rPr>
          <w:sz w:val="22"/>
        </w:rPr>
        <w:t xml:space="preserve"> (</w:t>
      </w:r>
      <w:r>
        <w:rPr>
          <w:color w:val="FF0000"/>
          <w:sz w:val="22"/>
        </w:rPr>
        <w:t>XX</w:t>
      </w:r>
      <w:r>
        <w:rPr>
          <w:sz w:val="22"/>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Should the project (overrun) exceed this duration, for whatever reason, an extension request should be submitted to </w:t>
      </w:r>
      <w:r>
        <w:rPr>
          <w:color w:val="FF0000"/>
          <w:sz w:val="22"/>
        </w:rPr>
        <w:t>Comprac Energy (Pty) Ltd</w:t>
      </w:r>
      <w:r>
        <w:rPr>
          <w:sz w:val="22"/>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color w:val="FF0000"/>
          <w:sz w:val="22"/>
        </w:rPr>
        <w:t>Comprac Energy (Pty) Ltd</w:t>
      </w:r>
      <w:r>
        <w:rPr>
          <w:sz w:val="22"/>
        </w:rPr>
        <w:t xml:space="preserve"> must be instructed in writing should the project be suspended or concluded before schedule, for whatever reason, in order for </w:t>
      </w:r>
      <w:r>
        <w:rPr>
          <w:color w:val="FF0000"/>
          <w:sz w:val="22"/>
        </w:rPr>
        <w:t>Comprac Energy (Pty) Ltd</w:t>
      </w:r>
      <w:r>
        <w:rPr>
          <w:sz w:val="22"/>
        </w:rPr>
        <w:t xml:space="preserve"> not to continue with services and costs to the client. Failure to notify </w:t>
      </w:r>
      <w:r>
        <w:rPr>
          <w:color w:val="FF0000"/>
          <w:sz w:val="22"/>
        </w:rPr>
        <w:t>Comprac Energy (Pty) Ltd</w:t>
      </w:r>
      <w:r>
        <w:rPr>
          <w:sz w:val="22"/>
        </w:rPr>
        <w:t>, will result in continued invoicing.</w:t>
      </w:r>
    </w:p>
    <w:p w14:paraId="31851AAA" w14:textId="5A5CCA2B" w:rsidR="00366475" w:rsidRDefault="00366475">
      <w:pPr>
        <w:rPr>
          <w:bCs/>
          <w:color w:val="FF0000"/>
          <w:sz w:val="22"/>
          <w:szCs w:val="22"/>
          <w:lang w:val="en-ZA"/>
        </w:rPr>
      </w:pPr>
      <w:r>
        <w:rPr>
          <w:color w:val="FF0000"/>
          <w:sz w:val="22"/>
        </w:rPr>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Pr>
          <w:b/>
          <w:sz w:val="22"/>
        </w:rPr>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Pr>
          <w:b/>
          <w:sz w:val="22"/>
        </w:rPr>
        <w:t>All Invoices will, by default, be e-mailed by the 25th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Pr>
          <w:b/>
          <w:sz w:val="22"/>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Pr>
          <w:b/>
          <w:color w:val="FF0000"/>
          <w:sz w:val="22"/>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Pr>
          <w:sz w:val="22"/>
        </w:rPr>
        <w:t xml:space="preserve">It is to be noted that in terms of our Company policy, and in line with our internal administration procedures, it is an express requirement that </w:t>
      </w:r>
      <w:r>
        <w:rPr>
          <w:color w:val="FF0000"/>
          <w:sz w:val="22"/>
        </w:rPr>
        <w:t>Comprac Energy (Pty) Ltd</w:t>
      </w:r>
      <w:r>
        <w:rPr>
          <w:sz w:val="22"/>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Pr>
          <w:b/>
          <w:sz w:val="22"/>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rPr>
        <w:t>Comprac Energy (Pty) Ltd</w:t>
      </w:r>
      <w:r>
        <w:rPr>
          <w:sz w:val="22"/>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rPr>
        <w:t>Please supply Purchase Order Number: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rPr>
        <w:t xml:space="preserve">We welcome the prospect of working with </w:t>
      </w:r>
      <w:r>
        <w:rPr>
          <w:color w:val="FF0000"/>
          <w:sz w:val="22"/>
        </w:rPr>
        <w:t xml:space="preserve">Harbour Terrace Body Corporate </w:t>
      </w:r>
      <w:r>
        <w:rPr>
          <w:sz w:val="22"/>
        </w:rPr>
        <w:t xml:space="preserve">and are confident that we can look forward to building a long term mutually rewarding relationship between our respective companies.  </w:t>
      </w:r>
      <w:r>
        <w:rPr>
          <w:color w:val="FF0000"/>
          <w:sz w:val="22"/>
        </w:rPr>
        <w:t>Comprac Energy (Pty) Ltd</w:t>
      </w:r>
      <w:r>
        <w:rPr>
          <w:sz w:val="22"/>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Pr>
          <w:b/>
          <w:color w:val="FF0000"/>
          <w:sz w:val="22"/>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Pr>
          <w:color w:val="FF0000"/>
          <w:sz w:val="22"/>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rPr>
        <w:t>Comprac Energy (Pty) Ltd</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rPr>
        <w:t xml:space="preserve">Tel: </w:t>
      </w:r>
      <w:r>
        <w:rPr>
          <w:color w:val="FF0000"/>
          <w:sz w:val="22"/>
        </w:rPr>
        <w:t>(XXX) XXX XXXX</w:t>
      </w:r>
    </w:p>
    <w:p w14:paraId="3F5D5C2E" w14:textId="41558DD2" w:rsidR="00DD7996" w:rsidRPr="00741D25" w:rsidRDefault="00F11380" w:rsidP="006F573A">
      <w:pPr>
        <w:tabs>
          <w:tab w:val="left" w:pos="7005"/>
        </w:tabs>
        <w:jc w:val="both"/>
        <w:rPr>
          <w:color w:val="FF0000"/>
          <w:sz w:val="22"/>
          <w:szCs w:val="22"/>
          <w:lang w:val="en-ZA"/>
        </w:rPr>
      </w:pPr>
      <w:r>
        <w:rPr>
          <w:sz w:val="22"/>
        </w:rPr>
        <w:t xml:space="preserve">Cell: </w:t>
      </w:r>
      <w:r>
        <w:rPr>
          <w:color w:val="FF0000"/>
          <w:sz w:val="22"/>
        </w:rPr>
        <w:t>XXX XXX XXXX</w:t>
      </w:r>
    </w:p>
    <w:p w14:paraId="65D4EBB4" w14:textId="6CF2BD65" w:rsidR="00F11380" w:rsidRDefault="00982112" w:rsidP="003D3883">
      <w:pPr>
        <w:pStyle w:val="ListParagraph"/>
        <w:numPr>
          <w:ilvl w:val="0"/>
          <w:numId w:val="45"/>
        </w:numPr>
        <w:spacing w:after="240"/>
        <w:rPr>
          <w:b/>
          <w:bCs/>
          <w:sz w:val="22"/>
          <w:szCs w:val="22"/>
        </w:rPr>
      </w:pPr>
      <w:r>
        <w:rPr>
          <w:b/>
          <w:sz w:val="22"/>
        </w:rPr>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rPr>
              <w:t>HARBOUR TERRACE BODY CORPORATE</w:t>
            </w:r>
          </w:p>
          <w:p w14:paraId="7378B3A7" w14:textId="684B807F" w:rsidR="001639ED" w:rsidRDefault="001639ED" w:rsidP="008D7098">
            <w:pPr>
              <w:jc w:val="center"/>
              <w:rPr>
                <w:b/>
                <w:bCs/>
                <w:sz w:val="22"/>
                <w:szCs w:val="22"/>
              </w:rPr>
            </w:pPr>
            <w:r>
              <w:rPr>
                <w:b/>
                <w:color w:val="FF0000"/>
                <w:sz w:val="24"/>
              </w:rPr>
              <w:t>HARBOUR TERRACE</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Pr>
                <w:b/>
                <w:sz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sz w:val="22"/>
              </w:rPr>
              <w:t>Month 1</w:t>
            </w:r>
          </w:p>
        </w:tc>
        <w:tc>
          <w:tcPr>
            <w:tcW w:w="7938" w:type="dxa"/>
            <w:vAlign w:val="center"/>
          </w:tcPr>
          <w:p w14:paraId="26900A6F" w14:textId="2420C023" w:rsidR="008D7098" w:rsidRDefault="008D7098" w:rsidP="008D7098">
            <w:pPr>
              <w:rPr>
                <w:b/>
                <w:bCs/>
                <w:sz w:val="22"/>
                <w:szCs w:val="22"/>
              </w:rPr>
            </w:pPr>
            <w:r>
              <w:rPr>
                <w:color w:val="FF0000"/>
                <w:sz w:val="22"/>
              </w:rPr>
              <w:t xml:space="preserve">R 9110.0 </w:t>
            </w:r>
            <w:r>
              <w:rPr>
                <w:sz w:val="22"/>
              </w:rPr>
              <w:t>per month excl. VAT</w:t>
            </w:r>
          </w:p>
        </w:tc>
      </w:tr>
      <w:tr>
        <w:trPr>
          <w:trHeight w:val="425"/>
        </w:trPr>
        <w:tc>
          <w:tcPr>
            <w:tcW w:type="dxa" w:w="2122"/>
            <w:vAlign w:val="center"/>
          </w:tcPr>
          <w:p/>
          <w:p>
            <w:r>
              <w:rPr>
                <w:b/>
              </w:rPr>
              <w:t>Month 2</w:t>
            </w:r>
          </w:p>
        </w:tc>
        <w:tc>
          <w:tcPr>
            <w:tcW w:type="dxa" w:w="7938"/>
            <w:vAlign w:val="center"/>
          </w:tcPr>
          <w:p/>
          <w:p>
            <w:r>
              <w:rPr>
                <w:rFonts w:ascii="Arial Narrow" w:hAnsi="Arial Narrow"/>
                <w:color w:val="FF0000"/>
                <w:sz w:val="22"/>
              </w:rPr>
              <w:t>R 9110.0</w:t>
            </w:r>
            <w:r>
              <w:rPr>
                <w:rFonts w:ascii="Arial Narrow" w:hAnsi="Arial Narrow"/>
              </w:rPr>
              <w:t xml:space="preserve"> per month exc.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Pr>
                <w:b/>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Pr>
                <w:sz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Pr>
                <w:sz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Pr>
                <w:sz w:val="22"/>
              </w:rPr>
              <w:t>Signed:</w:t>
              <w:tab/>
              <w:tab/>
              <w:t>_______________________________</w:t>
            </w:r>
          </w:p>
          <w:p w14:paraId="4A01B0BB" w14:textId="77777777" w:rsidR="00767F2B" w:rsidRDefault="00767F2B" w:rsidP="00C664FE">
            <w:pPr>
              <w:spacing w:line="360" w:lineRule="auto"/>
              <w:rPr>
                <w:sz w:val="22"/>
                <w:szCs w:val="22"/>
              </w:rPr>
            </w:pPr>
            <w:r>
              <w:rPr>
                <w:b/>
              </w:rPr>
            </w:r>
          </w:p>
          <w:p w14:paraId="3DE5CCA0" w14:textId="77777777" w:rsidR="00F11380" w:rsidRPr="002A4B1D" w:rsidRDefault="00F11380" w:rsidP="00C664FE">
            <w:pPr>
              <w:spacing w:line="360" w:lineRule="auto"/>
              <w:rPr>
                <w:sz w:val="22"/>
                <w:szCs w:val="22"/>
              </w:rPr>
            </w:pPr>
            <w:r>
              <w:rPr>
                <w:sz w:val="22"/>
              </w:rPr>
              <w:t>Print Name:</w:t>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Pr>
                <w:sz w:val="22"/>
              </w:rPr>
              <w:t>Designation:</w:t>
              <w:tab/>
              <w:t>_______________________________</w:t>
            </w:r>
          </w:p>
          <w:p w14:paraId="13A9D1F4" w14:textId="77777777" w:rsidR="00F11380" w:rsidRPr="002A4B1D" w:rsidRDefault="00F11380" w:rsidP="00C664FE"/>
          <w:p w14:paraId="74E843D8" w14:textId="39A232D1" w:rsidR="00F11380" w:rsidRPr="002A4B1D" w:rsidRDefault="00F11380" w:rsidP="00C664FE">
            <w:pPr>
              <w:spacing w:line="360" w:lineRule="auto"/>
              <w:jc w:val="center"/>
              <w:rPr>
                <w:b/>
                <w:i/>
              </w:rPr>
            </w:pPr>
            <w:r>
              <w:rPr>
                <w:b/>
                <w:i/>
              </w:rPr>
              <w:t xml:space="preserve">Upon acceptance of this proposal </w:t>
            </w:r>
            <w:r>
              <w:rPr>
                <w:b/>
                <w:i/>
                <w:color w:val="000000"/>
              </w:rPr>
              <w:t>(</w:t>
            </w:r>
            <w:r>
              <w:rPr>
                <w:b/>
                <w:i/>
                <w:color w:val="FF0000"/>
              </w:rPr>
              <w:t>XX-XXXX-XX-XX22</w:t>
            </w:r>
            <w:r>
              <w:rPr>
                <w:b/>
                <w:i/>
                <w:color w:val="000000"/>
              </w:rPr>
              <w:t>)</w:t>
            </w:r>
            <w:r>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Pr>
          <w:b/>
          <w:i/>
          <w:sz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Pr>
          <w:i/>
          <w:color w:val="000000"/>
          <w:sz w:val="16"/>
        </w:rPr>
        <w:t xml:space="preserve">When discharging our services </w:t>
      </w:r>
      <w:r>
        <w:rPr>
          <w:i/>
          <w:color w:val="FF0000"/>
          <w:sz w:val="16"/>
        </w:rPr>
        <w:t>Comprac Energy (Pty) Ltd</w:t>
      </w:r>
      <w:r>
        <w:rPr>
          <w:i/>
          <w:color w:val="000000"/>
          <w:sz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Pr>
          <w:i/>
          <w:color w:val="FF0000"/>
          <w:sz w:val="16"/>
        </w:rPr>
        <w:t>Comprac Energy (Pty) Ltd</w:t>
      </w:r>
      <w:r>
        <w:rPr>
          <w:i/>
          <w:color w:val="000000"/>
          <w:sz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footerReference w:type="first" r:id="rId15"/>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5294" w14:textId="77777777" w:rsidR="00B87388" w:rsidRDefault="00B87388" w:rsidP="00515DF7">
      <w:r>
        <w:separator/>
      </w:r>
    </w:p>
    <w:p w14:paraId="0AE2A600" w14:textId="77777777" w:rsidR="00B87388" w:rsidRDefault="00B87388"/>
  </w:endnote>
  <w:endnote w:type="continuationSeparator" w:id="0">
    <w:p w14:paraId="0C3AD236" w14:textId="77777777" w:rsidR="00B87388" w:rsidRDefault="00B87388" w:rsidP="00515DF7">
      <w:r>
        <w:continuationSeparator/>
      </w:r>
    </w:p>
    <w:p w14:paraId="479F159E" w14:textId="77777777" w:rsidR="00B87388" w:rsidRDefault="00B87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360000" cy="447805"/>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360000" cy="447805"/>
                  </a:xfrm>
                  <a:prstGeom prst="rect"/>
                </pic:spPr>
              </pic:pic>
            </a:graphicData>
          </a:graphic>
        </wp:inline>
      </w:drawing>
    </w:r>
  </w:p>
  <w:p>
    <w:pPr>
      <w:jc w:val="center"/>
    </w:pPr>
    <w:r>
      <w:rPr>
        <w:rFonts w:ascii="Arial Narrow" w:hAnsi="Arial Narrow"/>
        <w:sz w:val="16"/>
      </w:rPr>
      <w:t xml:space="preserve">Directors: L.P. Dicks, A. Spanos   Co Reg: 2007/007252/07  Tel: </w:t>
    </w:r>
    <w:r>
      <w:rPr>
        <w:rFonts w:ascii="Arial Narrow" w:hAnsi="Arial Narrow"/>
        <w:color w:val="FF0000"/>
        <w:sz w:val="16"/>
      </w:rPr>
      <w:t>(011) 425 6352</w:t>
    </w:r>
    <w:r>
      <w:rPr>
        <w:rFonts w:ascii="Arial Narrow" w:hAnsi="Arial Narrow"/>
        <w:sz w:val="16"/>
      </w:rPr>
      <w:br/>
      <w:t>Subsidiary of ComPrac Holdings (Pty) Ltd</w:t>
    </w:r>
    <w:r>
      <w:rPr>
        <w:rFonts w:ascii="Arial Narrow" w:hAnsi="Arial Narrow"/>
        <w:color w:val="FF0000"/>
        <w:sz w:val="16"/>
      </w:rPr>
      <w:br/>
      <w:t>Comprac Energy (Pty) Ltd</w:t>
    </w:r>
    <w:r>
      <w:rPr>
        <w:rFonts w:ascii="Arial Narrow" w:hAnsi="Arial Narrow"/>
        <w:sz w:val="16"/>
      </w:rPr>
      <w:t xml:space="preserve"> is compliant with ISO 9001 and BS OHSAS 18001</w:t>
      <w:br/>
      <w:t>ComPrac Holdings (Pty) Ltd is an Approved Inspection Authority and registered with HWSETA</w:t>
      <w:br/>
      <w:t>Corporate Membership:   SAIOSH &amp; SAFCEC</w:t>
    </w:r>
    <w:r>
      <w:rPr>
        <w:rFonts w:ascii="Arial Narrow" w:hAnsi="Arial Narrow"/>
        <w:sz w:val="12"/>
      </w:rPr>
      <w:br/>
      <w:t>IMT-002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489B9" w14:textId="77777777" w:rsidR="00B87388" w:rsidRDefault="00B87388" w:rsidP="00515DF7">
      <w:r>
        <w:separator/>
      </w:r>
    </w:p>
    <w:p w14:paraId="33E47951" w14:textId="77777777" w:rsidR="00B87388" w:rsidRDefault="00B87388"/>
  </w:footnote>
  <w:footnote w:type="continuationSeparator" w:id="0">
    <w:p w14:paraId="583231C0" w14:textId="77777777" w:rsidR="00B87388" w:rsidRDefault="00B87388" w:rsidP="00515DF7">
      <w:r>
        <w:continuationSeparator/>
      </w:r>
    </w:p>
    <w:p w14:paraId="18AB6DDE" w14:textId="77777777" w:rsidR="00B87388" w:rsidRDefault="00B87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rPr>
      <w:t xml:space="preserve">Ref: </w:t>
    </w:r>
    <w:r>
      <w:rPr>
        <w:i/>
        <w:color w:val="FF0000"/>
        <w:sz w:val="22"/>
      </w:rPr>
      <w:t>WC2215/0624</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Pr>
        <w:rFonts w:ascii="Arial" w:hAnsi="Arial"/>
        <w:b/>
        <w:color w:val="FF0000"/>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Pr>
        <w:i/>
        <w:color w:val="000000"/>
        <w:sz w:val="22"/>
      </w:rPr>
      <w:t xml:space="preserve">Ref: </w:t>
    </w:r>
    <w:r>
      <w:rPr>
        <w:i/>
        <w:color w:val="FF0000"/>
        <w:sz w:val="22"/>
      </w:rPr>
      <w:t>WC2215/0624</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7E46"/>
    <w:rsid w:val="00751656"/>
    <w:rsid w:val="00751D53"/>
    <w:rsid w:val="00756B82"/>
    <w:rsid w:val="00760C46"/>
    <w:rsid w:val="0076216C"/>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201</cp:revision>
  <cp:lastPrinted>2021-03-12T10:08:00Z</cp:lastPrinted>
  <dcterms:created xsi:type="dcterms:W3CDTF">2021-05-18T11:29:00Z</dcterms:created>
  <dcterms:modified xsi:type="dcterms:W3CDTF">2024-07-17T09:55:00Z</dcterms:modified>
</cp:coreProperties>
</file>