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Premium Non-Exclusive WAV + MP3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$40.00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Premium</w:t>
      </w:r>
    </w:p>
    <w:p>
      <w:pPr>
        <w:spacing w:before="80"/>
      </w:pPr>
    </w:p>
    <w:p>
      <w:pPr>
        <w:spacing w:after="140" w:line="276"/>
        <w:jc w:val="both"/>
      </w:pPr>
      <w:r>
        <w:rPr>
          <w:rFonts w:ascii="Calibri" w:cs="Calibri" w:eastAsia="Calibri" w:hAnsi="Calibri"/>
          <w:b w:val="false"/>
          <w:bCs w:val="false"/>
          <w:color w:val="1A1A1A"/>
          <w:sz w:val="21"/>
          <w:szCs w:val="21"/>
        </w:rPr>
        <w:t xml:space="preserve">This Premium Non-Exclusive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and a high-quality untagged MP3 file, each without any embedded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for a term of ten (10) years from the Effective Date. After the term expires, all rights granted under this Agreement revert to the Licensor unless renewed in writing.</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5 (Prohibited Uses) and Section 6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up to a cumulative total of three thousand (3,000) units across all formats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up to a cumulative total of one hundred thousand (100,000) audio streams across all platforms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one (1) music video synchronized with the New Song to YouTube or other video platforms, and the Licensee may monetize that one music video through the YouTube Partner Program or equivalent advertising programs;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live performances, including for-profit live performances and ticketed events;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60" w:line="276"/>
        <w:jc w:val="both"/>
      </w:pPr>
      <w:r>
        <w:rPr>
          <w:rFonts w:ascii="Calibri" w:cs="Calibri" w:eastAsia="Calibri" w:hAnsi="Calibri"/>
          <w:b w:val="false"/>
          <w:bCs w:val="false"/>
          <w:color w:val="1A1A1A"/>
          <w:sz w:val="21"/>
          <w:szCs w:val="21"/>
        </w:rPr>
        <w:t xml:space="preserve">If the Licensee exceeds any of the distribution or streaming caps set forth in this Section, the Licensee must immediately upgrade to a higher tier license or remove the New Song from all distribution channels, streaming platforms, and video platforms.</w:t>
      </w:r>
    </w:p>
    <w:p>
      <w:pPr>
        <w:spacing w:after="120" w:before="260"/>
      </w:pPr>
      <w:r>
        <w:rPr>
          <w:rFonts w:ascii="Georgia" w:cs="Georgia" w:eastAsia="Georgia" w:hAnsi="Georgia"/>
          <w:b/>
          <w:bCs/>
          <w:color w:val="1A1A1A"/>
          <w:sz w:val="24"/>
          <w:szCs w:val="24"/>
        </w:rPr>
        <w:t xml:space="preserve">5.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with any audiovisual work other than the one (1) permitted music video, including but not limited to film, television, commercials, video games, theatrical productions, or branded content (a separate sync license must be negotiated with the Licensor for any such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6.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1358905222;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enrollment of the Beat or the New Song in a content-identification or monetization-claim service in violation of the Prohibited Uses section, or distribution of the Beat in its original form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12.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13.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a higher non-exclusive tier (Premium + Stems or Unlimited) at any time by paying the difference between the License Fee paid and the price of the higher tier in effect at the time of upgrade. An upgrade to the Exclusive tier is also available at any time; because the Exclusive license fee is individually negotiated rather than fixed, an upgrade to Exclusive is completed by negotiating the Exclusive license fee directly with the Licensor, and the Licensor will credit the full License Fee paid under this Agreement toward the negotiated Exclusive fee. Upon any upgrade, the terms of the higher tier replace the terms of this Agreement.</w:t>
      </w:r>
    </w:p>
    <w:p>
      <w:pPr>
        <w:spacing w:after="120" w:before="260"/>
      </w:pPr>
      <w:r>
        <w:rPr>
          <w:rFonts w:ascii="Georgia" w:cs="Georgia" w:eastAsia="Georgia" w:hAnsi="Georgia"/>
          <w:b/>
          <w:bCs/>
          <w:color w:val="1A1A1A"/>
          <w:sz w:val="24"/>
          <w:szCs w:val="24"/>
        </w:rPr>
        <w:t xml:space="preserve">14.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15.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16.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Premium Non-Exclusive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Premium Non-Exclusive WAV + MP3 License Agreement</dc:title>
  <dc:creator>prod.essential</dc:creator>
  <cp:lastModifiedBy>Un-named</cp:lastModifiedBy>
  <cp:revision>1</cp:revision>
  <dcterms:created xsi:type="dcterms:W3CDTF">2026-06-29T05:24:27.296Z</dcterms:created>
  <dcterms:modified xsi:type="dcterms:W3CDTF">2026-06-29T05:24:27.296Z</dcterms:modified>
</cp:coreProperties>
</file>

<file path=docProps/custom.xml><?xml version="1.0" encoding="utf-8"?>
<Properties xmlns="http://schemas.openxmlformats.org/officeDocument/2006/custom-properties" xmlns:vt="http://schemas.openxmlformats.org/officeDocument/2006/docPropsVTypes"/>
</file>