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Cash Flow and Cumulative Savings Analysis</w:t>
      </w:r>
    </w:p>
    <w:p>
      <w:r>
        <w:t>Initial Investment: ₹30.09 lakh</w:t>
        <w:br/>
        <w:t>Annual Net Savings: ₹1.558 lakh/year</w:t>
        <w:br/>
        <w:t>Project Life: 25 years</w:t>
        <w:br/>
        <w:t>Battery Replacement: ₹13.44 lakh in Years 10 and 20.</w:t>
      </w:r>
    </w:p>
    <w:p>
      <w:pPr>
        <w:pStyle w:val="Heading2"/>
      </w:pPr>
      <w:r>
        <w:t>Annual Cash Flow Graph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cash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Cumulative Cash Flow Graph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cash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Engineering Observation</w:t>
      </w:r>
    </w:p>
    <w:p>
      <w:r>
        <w:t>With lead-acid sealed gel batteries and two complete battery replacements over a 25-year project life, the cumulative cash flow remains negative under the assumed electricity tariff of ₹8.5/kWh. This reflects the economics of many off-grid systems where energy independence and reliability are the primary objectives rather than short-term financial returns.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