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c29fea68bf2359d87462fe3e51f533658cdff6"/>
    <w:p>
      <w:pPr>
        <w:pStyle w:val="Heading1"/>
      </w:pPr>
      <w:r>
        <w:t xml:space="preserve">Health Insurance &amp; Wellbeing Benefits Policy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1 April 2026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People &amp; Culture / HR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All eligible employees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outlines the company’s health insurance and wellbeing benefits. The objective is to support employees’ physical, mental, and emotional wellbeing by providing access to comprehensive and competitive healthcare coverage.</w:t>
      </w:r>
    </w:p>
    <w:p>
      <w:r>
        <w:pict>
          <v:rect style="width:0;height:1.5pt" o:hralign="center" o:hrstd="t" o:hr="t"/>
        </w:pict>
      </w:r>
    </w:p>
    <w:bookmarkEnd w:id="20"/>
    <w:bookmarkStart w:id="21" w:name="guiding-principles"/>
    <w:p>
      <w:pPr>
        <w:pStyle w:val="Heading2"/>
      </w:pPr>
      <w:r>
        <w:t xml:space="preserve">2. Guiding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Employee wellbeing first:</w:t>
      </w:r>
      <w:r>
        <w:t xml:space="preserve"> </w:t>
      </w:r>
      <w:r>
        <w:t xml:space="preserve">Healthy employees are essential to long-term success.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Preventive care focus:</w:t>
      </w:r>
      <w:r>
        <w:t xml:space="preserve"> </w:t>
      </w:r>
      <w:r>
        <w:t xml:space="preserve">Encourage early diagnosis and preventive treatment.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Equitable access:</w:t>
      </w:r>
      <w:r>
        <w:t xml:space="preserve"> </w:t>
      </w:r>
      <w:r>
        <w:t xml:space="preserve">Benefits are designed to be fair and inclusive.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Simplicity &amp; transparency:</w:t>
      </w:r>
      <w:r>
        <w:t xml:space="preserve"> </w:t>
      </w:r>
      <w:r>
        <w:t xml:space="preserve">Coverage details should be clear and easy to understand.</w:t>
      </w:r>
    </w:p>
    <w:p>
      <w:r>
        <w:pict>
          <v:rect style="width:0;height:1.5pt" o:hralign="center" o:hrstd="t" o:hr="t"/>
        </w:pict>
      </w:r>
    </w:p>
    <w:bookmarkEnd w:id="21"/>
    <w:bookmarkStart w:id="22" w:name="eligibility"/>
    <w:p>
      <w:pPr>
        <w:pStyle w:val="Heading2"/>
      </w:pPr>
      <w:r>
        <w:t xml:space="preserve">3. Eligibility</w:t>
      </w:r>
    </w:p>
    <w:p>
      <w:pPr>
        <w:pStyle w:val="FirstParagraph"/>
      </w:pPr>
      <w:r>
        <w:t xml:space="preserve">Health insurance benefits are available to:</w:t>
      </w:r>
      <w:r>
        <w:t xml:space="preserve"> </w:t>
      </w:r>
      <w:r>
        <w:t xml:space="preserve">- Full-time employees starting from their first day of employment</w:t>
      </w:r>
      <w:r>
        <w:t xml:space="preserve"> </w:t>
      </w:r>
      <w:r>
        <w:t xml:space="preserve">- Part-time employees, where required by local regulations</w:t>
      </w:r>
    </w:p>
    <w:p>
      <w:pPr>
        <w:pStyle w:val="BodyText"/>
      </w:pPr>
      <w:r>
        <w:t xml:space="preserve">Eligibility for dependents may vary by country and insurance provider.</w:t>
      </w:r>
    </w:p>
    <w:p>
      <w:r>
        <w:pict>
          <v:rect style="width:0;height:1.5pt" o:hralign="center" o:hrstd="t" o:hr="t"/>
        </w:pict>
      </w:r>
    </w:p>
    <w:bookmarkEnd w:id="22"/>
    <w:bookmarkStart w:id="26" w:name="health-insurance-coverage"/>
    <w:p>
      <w:pPr>
        <w:pStyle w:val="Heading2"/>
      </w:pPr>
      <w:r>
        <w:t xml:space="preserve">4. Health Insurance Coverage</w:t>
      </w:r>
    </w:p>
    <w:bookmarkStart w:id="23" w:name="medical-insurance"/>
    <w:p>
      <w:pPr>
        <w:pStyle w:val="Heading3"/>
      </w:pPr>
      <w:r>
        <w:t xml:space="preserve">4.1 Medical Insurance</w:t>
      </w:r>
    </w:p>
    <w:p>
      <w:pPr>
        <w:pStyle w:val="FirstParagraph"/>
      </w:pPr>
      <w:r>
        <w:t xml:space="preserve">The company provides private medical insurance covering:</w:t>
      </w:r>
      <w:r>
        <w:t xml:space="preserve"> </w:t>
      </w:r>
      <w:r>
        <w:t xml:space="preserve">- Inpatient and outpatient treatments</w:t>
      </w:r>
      <w:r>
        <w:t xml:space="preserve"> </w:t>
      </w:r>
      <w:r>
        <w:t xml:space="preserve">- Doctor consultations and specialist visits</w:t>
      </w:r>
      <w:r>
        <w:t xml:space="preserve"> </w:t>
      </w:r>
      <w:r>
        <w:t xml:space="preserve">- Diagnostic tests (laboratory, imaging)</w:t>
      </w:r>
      <w:r>
        <w:t xml:space="preserve"> </w:t>
      </w:r>
      <w:r>
        <w:t xml:space="preserve">- Prescription medications (subject to policy limits)</w:t>
      </w:r>
    </w:p>
    <w:p>
      <w:pPr>
        <w:pStyle w:val="BodyText"/>
      </w:pPr>
      <w:r>
        <w:t xml:space="preserve">Coverage limits and provider networks are defined by the local insurance plan.</w:t>
      </w:r>
    </w:p>
    <w:p>
      <w:r>
        <w:pict>
          <v:rect style="width:0;height:1.5pt" o:hralign="center" o:hrstd="t" o:hr="t"/>
        </w:pict>
      </w:r>
    </w:p>
    <w:bookmarkEnd w:id="23"/>
    <w:bookmarkStart w:id="24" w:name="hospitalization-surgery"/>
    <w:p>
      <w:pPr>
        <w:pStyle w:val="Heading3"/>
      </w:pPr>
      <w:r>
        <w:t xml:space="preserve">4.2 Hospitalization &amp; Surgery</w:t>
      </w:r>
    </w:p>
    <w:p>
      <w:pPr>
        <w:pStyle w:val="Compact"/>
        <w:numPr>
          <w:ilvl w:val="0"/>
          <w:numId w:val="1002"/>
        </w:numPr>
      </w:pPr>
      <w:r>
        <w:t xml:space="preserve">Hospital stays, surgeries, and related medical procedures</w:t>
      </w:r>
    </w:p>
    <w:p>
      <w:pPr>
        <w:pStyle w:val="Compact"/>
        <w:numPr>
          <w:ilvl w:val="0"/>
          <w:numId w:val="1002"/>
        </w:numPr>
      </w:pPr>
      <w:r>
        <w:t xml:space="preserve">Room and board up to plan limits</w:t>
      </w:r>
    </w:p>
    <w:p>
      <w:pPr>
        <w:pStyle w:val="Compact"/>
        <w:numPr>
          <w:ilvl w:val="0"/>
          <w:numId w:val="1002"/>
        </w:numPr>
      </w:pPr>
      <w:r>
        <w:t xml:space="preserve">Pre- and post-operative care</w:t>
      </w:r>
    </w:p>
    <w:p>
      <w:r>
        <w:pict>
          <v:rect style="width:0;height:1.5pt" o:hralign="center" o:hrstd="t" o:hr="t"/>
        </w:pict>
      </w:r>
    </w:p>
    <w:bookmarkEnd w:id="24"/>
    <w:bookmarkStart w:id="25" w:name="emergency-care"/>
    <w:p>
      <w:pPr>
        <w:pStyle w:val="Heading3"/>
      </w:pPr>
      <w:r>
        <w:t xml:space="preserve">4.3 Emergency Care</w:t>
      </w:r>
    </w:p>
    <w:p>
      <w:pPr>
        <w:pStyle w:val="Compact"/>
        <w:numPr>
          <w:ilvl w:val="0"/>
          <w:numId w:val="1003"/>
        </w:numPr>
      </w:pPr>
      <w:r>
        <w:t xml:space="preserve">Emergency treatment and ambulance services</w:t>
      </w:r>
    </w:p>
    <w:p>
      <w:pPr>
        <w:pStyle w:val="Compact"/>
        <w:numPr>
          <w:ilvl w:val="0"/>
          <w:numId w:val="1003"/>
        </w:numPr>
      </w:pPr>
      <w:r>
        <w:t xml:space="preserve">Coverage applies both domestically and abroad (where applicable)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dditional-health-benefits"/>
    <w:p>
      <w:pPr>
        <w:pStyle w:val="Heading2"/>
      </w:pPr>
      <w:r>
        <w:t xml:space="preserve">5. Additional Health Benefits</w:t>
      </w:r>
    </w:p>
    <w:bookmarkStart w:id="27" w:name="dental-insurance-optional"/>
    <w:p>
      <w:pPr>
        <w:pStyle w:val="Heading3"/>
      </w:pPr>
      <w:r>
        <w:t xml:space="preserve">5.1 Dental Insurance (Optional)</w:t>
      </w:r>
    </w:p>
    <w:p>
      <w:pPr>
        <w:pStyle w:val="FirstParagraph"/>
      </w:pPr>
      <w:r>
        <w:t xml:space="preserve">Depending on location and plan:</w:t>
      </w:r>
      <w:r>
        <w:t xml:space="preserve"> </w:t>
      </w:r>
      <w:r>
        <w:t xml:space="preserve">- Routine check-ups and cleanings</w:t>
      </w:r>
      <w:r>
        <w:t xml:space="preserve"> </w:t>
      </w:r>
      <w:r>
        <w:t xml:space="preserve">- Basic dental procedures</w:t>
      </w:r>
      <w:r>
        <w:t xml:space="preserve"> </w:t>
      </w:r>
      <w:r>
        <w:t xml:space="preserve">- Annual coverage limits may apply</w:t>
      </w:r>
    </w:p>
    <w:p>
      <w:r>
        <w:pict>
          <v:rect style="width:0;height:1.5pt" o:hralign="center" o:hrstd="t" o:hr="t"/>
        </w:pict>
      </w:r>
    </w:p>
    <w:bookmarkEnd w:id="27"/>
    <w:bookmarkStart w:id="28" w:name="vision-insurance-optional"/>
    <w:p>
      <w:pPr>
        <w:pStyle w:val="Heading3"/>
      </w:pPr>
      <w:r>
        <w:t xml:space="preserve">5.2 Vision Insurance (Optional)</w:t>
      </w:r>
    </w:p>
    <w:p>
      <w:pPr>
        <w:pStyle w:val="Compact"/>
        <w:numPr>
          <w:ilvl w:val="0"/>
          <w:numId w:val="1004"/>
        </w:numPr>
      </w:pPr>
      <w:r>
        <w:t xml:space="preserve">Eye exams</w:t>
      </w:r>
    </w:p>
    <w:p>
      <w:pPr>
        <w:pStyle w:val="Compact"/>
        <w:numPr>
          <w:ilvl w:val="0"/>
          <w:numId w:val="1004"/>
        </w:numPr>
      </w:pPr>
      <w:r>
        <w:t xml:space="preserve">Partial reimbursement for glasses or contact lenses</w:t>
      </w:r>
    </w:p>
    <w:p>
      <w:r>
        <w:pict>
          <v:rect style="width:0;height:1.5pt" o:hralign="center" o:hrstd="t" o:hr="t"/>
        </w:pict>
      </w:r>
    </w:p>
    <w:bookmarkEnd w:id="28"/>
    <w:bookmarkStart w:id="29" w:name="mental-health-support"/>
    <w:p>
      <w:pPr>
        <w:pStyle w:val="Heading3"/>
      </w:pPr>
      <w:r>
        <w:t xml:space="preserve">5.3 Mental Health Support</w:t>
      </w:r>
    </w:p>
    <w:p>
      <w:pPr>
        <w:pStyle w:val="FirstParagraph"/>
      </w:pPr>
      <w:r>
        <w:t xml:space="preserve">The company recognizes mental health as a critical component of wellbeing.</w:t>
      </w:r>
    </w:p>
    <w:p>
      <w:pPr>
        <w:pStyle w:val="BodyText"/>
      </w:pPr>
      <w:r>
        <w:t xml:space="preserve">Benefits include:</w:t>
      </w:r>
      <w:r>
        <w:t xml:space="preserve"> </w:t>
      </w:r>
      <w:r>
        <w:t xml:space="preserve">- Access to licensed psychologists or therapists</w:t>
      </w:r>
      <w:r>
        <w:t xml:space="preserve"> </w:t>
      </w:r>
      <w:r>
        <w:t xml:space="preserve">- Confidential counseling sessions (in-person or online)</w:t>
      </w:r>
      <w:r>
        <w:t xml:space="preserve"> </w:t>
      </w:r>
      <w:r>
        <w:t xml:space="preserve">- Employee Assistance Program (EAP) for personal or work-related challenges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wellbeing-preventive-care"/>
    <w:p>
      <w:pPr>
        <w:pStyle w:val="Heading2"/>
      </w:pPr>
      <w:r>
        <w:t xml:space="preserve">6. Wellbeing &amp; Preventive Care</w:t>
      </w:r>
    </w:p>
    <w:bookmarkStart w:id="31" w:name="annual-health-check-up"/>
    <w:p>
      <w:pPr>
        <w:pStyle w:val="Heading3"/>
      </w:pPr>
      <w:r>
        <w:t xml:space="preserve">6.1 Annual Health Check-Up</w:t>
      </w:r>
    </w:p>
    <w:p>
      <w:pPr>
        <w:pStyle w:val="Compact"/>
        <w:numPr>
          <w:ilvl w:val="0"/>
          <w:numId w:val="1005"/>
        </w:numPr>
      </w:pPr>
      <w:r>
        <w:t xml:space="preserve">Annual preventive health screening</w:t>
      </w:r>
    </w:p>
    <w:p>
      <w:pPr>
        <w:pStyle w:val="Compact"/>
        <w:numPr>
          <w:ilvl w:val="0"/>
          <w:numId w:val="1005"/>
        </w:numPr>
      </w:pPr>
      <w:r>
        <w:t xml:space="preserve">Coverage includes basic blood work and routine examinations</w:t>
      </w:r>
    </w:p>
    <w:p>
      <w:r>
        <w:pict>
          <v:rect style="width:0;height:1.5pt" o:hralign="center" o:hrstd="t" o:hr="t"/>
        </w:pict>
      </w:r>
    </w:p>
    <w:bookmarkEnd w:id="31"/>
    <w:bookmarkStart w:id="32" w:name="wellness-allowance"/>
    <w:p>
      <w:pPr>
        <w:pStyle w:val="Heading3"/>
      </w:pPr>
      <w:r>
        <w:t xml:space="preserve">6.2 Wellness Allowance</w:t>
      </w:r>
    </w:p>
    <w:p>
      <w:pPr>
        <w:pStyle w:val="FirstParagraph"/>
      </w:pPr>
      <w:r>
        <w:rPr>
          <w:b/>
          <w:bCs/>
        </w:rPr>
        <w:t xml:space="preserve">Amount:</w:t>
      </w:r>
      <w:r>
        <w:t xml:space="preserve"> </w:t>
      </w:r>
      <w:r>
        <w:t xml:space="preserve">€300 per year</w:t>
      </w:r>
    </w:p>
    <w:p>
      <w:pPr>
        <w:pStyle w:val="BodyText"/>
      </w:pPr>
      <w:r>
        <w:t xml:space="preserve">Can be used for:</w:t>
      </w:r>
      <w:r>
        <w:t xml:space="preserve"> </w:t>
      </w:r>
      <w:r>
        <w:t xml:space="preserve">- Gym or fitness memberships</w:t>
      </w:r>
      <w:r>
        <w:t xml:space="preserve"> </w:t>
      </w:r>
      <w:r>
        <w:t xml:space="preserve">- Sports classes or activities</w:t>
      </w:r>
      <w:r>
        <w:t xml:space="preserve"> </w:t>
      </w:r>
      <w:r>
        <w:t xml:space="preserve">- Mindfulness, yoga, or meditation apps</w:t>
      </w:r>
    </w:p>
    <w:p>
      <w:pPr>
        <w:pStyle w:val="BodyText"/>
      </w:pPr>
      <w:r>
        <w:t xml:space="preserve">Reimbursable upon receipt submission.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pendents-coverage"/>
    <w:p>
      <w:pPr>
        <w:pStyle w:val="Heading2"/>
      </w:pPr>
      <w:r>
        <w:t xml:space="preserve">7. Dependents Coverage</w:t>
      </w:r>
    </w:p>
    <w:p>
      <w:pPr>
        <w:pStyle w:val="FirstParagraph"/>
      </w:pPr>
      <w:r>
        <w:t xml:space="preserve">Eligible employees may include the following dependents (subject to plan rules):</w:t>
      </w:r>
      <w:r>
        <w:t xml:space="preserve"> </w:t>
      </w:r>
      <w:r>
        <w:t xml:space="preserve">- Spouse or legally recognized partner</w:t>
      </w:r>
      <w:r>
        <w:t xml:space="preserve"> </w:t>
      </w:r>
      <w:r>
        <w:t xml:space="preserve">- Children up to a defined age limit</w:t>
      </w:r>
    </w:p>
    <w:p>
      <w:pPr>
        <w:pStyle w:val="BodyText"/>
      </w:pPr>
      <w:r>
        <w:t xml:space="preserve">The company may subsidize part or all of the dependent premium depending on location.</w:t>
      </w:r>
    </w:p>
    <w:p>
      <w:r>
        <w:pict>
          <v:rect style="width:0;height:1.5pt" o:hralign="center" o:hrstd="t" o:hr="t"/>
        </w:pict>
      </w:r>
    </w:p>
    <w:bookmarkEnd w:id="34"/>
    <w:bookmarkStart w:id="35" w:name="enrollment-changes"/>
    <w:p>
      <w:pPr>
        <w:pStyle w:val="Heading2"/>
      </w:pPr>
      <w:r>
        <w:t xml:space="preserve">8. Enrollment &amp; Changes</w:t>
      </w:r>
    </w:p>
    <w:p>
      <w:pPr>
        <w:pStyle w:val="Compact"/>
        <w:numPr>
          <w:ilvl w:val="0"/>
          <w:numId w:val="1006"/>
        </w:numPr>
      </w:pPr>
      <w:r>
        <w:t xml:space="preserve">Employees are enrolled automatically upon eligibility</w:t>
      </w:r>
    </w:p>
    <w:p>
      <w:pPr>
        <w:pStyle w:val="Compact"/>
        <w:numPr>
          <w:ilvl w:val="0"/>
          <w:numId w:val="1006"/>
        </w:numPr>
      </w:pPr>
      <w:r>
        <w:t xml:space="preserve">Changes (adding dependents, plan upgrades) must be requested within defined enrollment periods</w:t>
      </w:r>
    </w:p>
    <w:p>
      <w:pPr>
        <w:pStyle w:val="Compact"/>
        <w:numPr>
          <w:ilvl w:val="0"/>
          <w:numId w:val="1006"/>
        </w:numPr>
      </w:pPr>
      <w:r>
        <w:t xml:space="preserve">Life events (marriage, birth, relocation) may allow mid-year changes</w:t>
      </w:r>
    </w:p>
    <w:p>
      <w:r>
        <w:pict>
          <v:rect style="width:0;height:1.5pt" o:hralign="center" o:hrstd="t" o:hr="t"/>
        </w:pict>
      </w:r>
    </w:p>
    <w:bookmarkEnd w:id="35"/>
    <w:bookmarkStart w:id="36" w:name="confidentiality-data-privacy"/>
    <w:p>
      <w:pPr>
        <w:pStyle w:val="Heading2"/>
      </w:pPr>
      <w:r>
        <w:t xml:space="preserve">9. Confidentiality &amp; Data Privacy</w:t>
      </w:r>
    </w:p>
    <w:p>
      <w:pPr>
        <w:pStyle w:val="Compact"/>
        <w:numPr>
          <w:ilvl w:val="0"/>
          <w:numId w:val="1007"/>
        </w:numPr>
      </w:pPr>
      <w:r>
        <w:t xml:space="preserve">Medical information is handled confidentially</w:t>
      </w:r>
    </w:p>
    <w:p>
      <w:pPr>
        <w:pStyle w:val="Compact"/>
        <w:numPr>
          <w:ilvl w:val="0"/>
          <w:numId w:val="1007"/>
        </w:numPr>
      </w:pPr>
      <w:r>
        <w:t xml:space="preserve">The company does not have access to individual medical records</w:t>
      </w:r>
    </w:p>
    <w:p>
      <w:pPr>
        <w:pStyle w:val="Compact"/>
        <w:numPr>
          <w:ilvl w:val="0"/>
          <w:numId w:val="1007"/>
        </w:numPr>
      </w:pPr>
      <w:r>
        <w:t xml:space="preserve">All data is processed in accordance with applicable data protection laws</w:t>
      </w:r>
    </w:p>
    <w:p>
      <w:r>
        <w:pict>
          <v:rect style="width:0;height:1.5pt" o:hralign="center" o:hrstd="t" o:hr="t"/>
        </w:pict>
      </w:r>
    </w:p>
    <w:bookmarkEnd w:id="36"/>
    <w:bookmarkStart w:id="37" w:name="leaving-the-company"/>
    <w:p>
      <w:pPr>
        <w:pStyle w:val="Heading2"/>
      </w:pPr>
      <w:r>
        <w:t xml:space="preserve">10. Leaving the Company</w:t>
      </w:r>
    </w:p>
    <w:p>
      <w:pPr>
        <w:pStyle w:val="Compact"/>
        <w:numPr>
          <w:ilvl w:val="0"/>
          <w:numId w:val="1008"/>
        </w:numPr>
      </w:pPr>
      <w:r>
        <w:t xml:space="preserve">Coverage typically ends on the last day of employment</w:t>
      </w:r>
    </w:p>
    <w:p>
      <w:pPr>
        <w:pStyle w:val="Compact"/>
        <w:numPr>
          <w:ilvl w:val="0"/>
          <w:numId w:val="1008"/>
        </w:numPr>
      </w:pPr>
      <w:r>
        <w:t xml:space="preserve">Continuation options may be available depending on local regulations and insurer policies</w:t>
      </w:r>
    </w:p>
    <w:p>
      <w:r>
        <w:pict>
          <v:rect style="width:0;height:1.5pt" o:hralign="center" o:hrstd="t" o:hr="t"/>
        </w:pict>
      </w:r>
    </w:p>
    <w:bookmarkEnd w:id="37"/>
    <w:bookmarkStart w:id="38" w:name="exceptions-policy-review"/>
    <w:p>
      <w:pPr>
        <w:pStyle w:val="Heading2"/>
      </w:pPr>
      <w:r>
        <w:t xml:space="preserve">11. Exceptions &amp; Policy Review</w:t>
      </w:r>
    </w:p>
    <w:p>
      <w:pPr>
        <w:pStyle w:val="Compact"/>
        <w:numPr>
          <w:ilvl w:val="0"/>
          <w:numId w:val="1009"/>
        </w:numPr>
      </w:pPr>
      <w:r>
        <w:t xml:space="preserve">Exceptions require HR approval</w:t>
      </w:r>
    </w:p>
    <w:p>
      <w:pPr>
        <w:pStyle w:val="Compact"/>
        <w:numPr>
          <w:ilvl w:val="0"/>
          <w:numId w:val="1009"/>
        </w:numPr>
      </w:pPr>
      <w:r>
        <w:t xml:space="preserve">This policy will be reviewed annually and updated as needed</w:t>
      </w:r>
    </w:p>
    <w:p>
      <w:r>
        <w:pict>
          <v:rect style="width:0;height:1.5pt" o:hralign="center" o:hrstd="t" o:hr="t"/>
        </w:pict>
      </w:r>
    </w:p>
    <w:bookmarkEnd w:id="38"/>
    <w:bookmarkStart w:id="39" w:name="questions-support"/>
    <w:p>
      <w:pPr>
        <w:pStyle w:val="Heading2"/>
      </w:pPr>
      <w:r>
        <w:t xml:space="preserve">12. Questions &amp; Support</w:t>
      </w:r>
    </w:p>
    <w:p>
      <w:pPr>
        <w:pStyle w:val="FirstParagraph"/>
      </w:pPr>
      <w:r>
        <w:t xml:space="preserve">For questions regarding coverage or claims, contact: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HR / People Partner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Insurance Provider Helpdesk</w:t>
      </w:r>
      <w:r>
        <w:t xml:space="preserve"> </w:t>
      </w:r>
      <w:r>
        <w:t xml:space="preserve">(details shared during onboarding)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policy is part of the company’s overall Total Rewards framework.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2026-01-28T11:31:35Z</dcterms:created>
  <dcterms:modified xsi:type="dcterms:W3CDTF">2026-01-28T11:31:35Z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