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70"/>
      </w:pPr>
      <w:r>
        <w:rPr>
          <w:rFonts w:ascii="Calibri" w:hAnsi="Calibri" w:eastAsia="Microsoft YaHei"/>
          <w:b/>
          <w:color w:val="0F766E"/>
          <w:sz w:val="18"/>
          <w:szCs w:val="18"/>
        </w:rPr>
        <w:t>COMMERCIAL QUOTE</w:t>
      </w:r>
    </w:p>
    <w:p>
      <w:pPr>
        <w:spacing w:after="80"/>
      </w:pPr>
      <w:r>
        <w:rPr>
          <w:rFonts w:ascii="Calibri" w:hAnsi="Calibri" w:eastAsia="Microsoft YaHei"/>
          <w:b/>
          <w:color w:val="111827"/>
          <w:sz w:val="50"/>
          <w:szCs w:val="50"/>
        </w:rPr>
        <w:t>Nbility AI 网关报价单</w:t>
      </w:r>
    </w:p>
    <w:p>
      <w:pPr>
        <w:spacing w:after="150"/>
      </w:pPr>
      <w:r>
        <w:rPr>
          <w:rFonts w:ascii="Calibri" w:hAnsi="Calibri" w:eastAsia="Microsoft YaHei"/>
          <w:color w:val="4B5563"/>
          <w:sz w:val="22"/>
          <w:szCs w:val="22"/>
        </w:rPr>
        <w:t>本报价覆盖 OpenAI GPT/Codex 与 Anthropic Claude 相关模型分组。</w:t>
      </w:r>
    </w:p>
    <w:tbl>
      <w:tblPr>
        <w:tblStyle w:val="TableGrid"/>
        <w:tblW w:w="9360" w:type="dxa"/>
        <w:tblInd w:w="12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4" w:space="0" w:color="D9E0E8"/>
          <w:insideV w:val="single" w:sz="4" w:space="0" w:color="D9E0E8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w="2200" w:type="dxa"/>
            <w:shd w:fill="E6F4F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报价日期</w:t>
            </w:r>
          </w:p>
        </w:tc>
        <w:tc>
          <w:tcPr>
            <w:tcW w:w="2500" w:type="dxa"/>
            <w:shd w:fill="E6F4F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阶梯口径</w:t>
            </w:r>
          </w:p>
        </w:tc>
        <w:tc>
          <w:tcPr>
            <w:tcW w:w="4660" w:type="dxa"/>
            <w:shd w:fill="E6F4F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计价方式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2026-06-13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每日额度消耗</w:t>
            </w:r>
          </w:p>
        </w:tc>
        <w:tc>
          <w:tcPr>
            <w:tcW w:w="466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官方原价数字 × 渠道倍率</w:t>
            </w:r>
          </w:p>
        </w:tc>
      </w:tr>
    </w:tbl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三层价格关系</w:t>
      </w:r>
    </w:p>
    <w:tbl>
      <w:tblPr>
        <w:tblStyle w:val="TableGrid"/>
        <w:tblW w:w="9360" w:type="dxa"/>
        <w:tblInd w:w="12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4" w:space="0" w:color="D9E0E8"/>
          <w:insideV w:val="single" w:sz="4" w:space="0" w:color="D9E0E8"/>
        </w:tblBorders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fill="E6F4F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项目</w:t>
            </w:r>
          </w:p>
        </w:tc>
        <w:tc>
          <w:tcPr>
            <w:tcW w:w="6760" w:type="dxa"/>
            <w:shd w:fill="E6F4F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官方原价</w:t>
            </w:r>
          </w:p>
        </w:tc>
        <w:tc>
          <w:tcPr>
            <w:tcW w:w="676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模型厂商官网公开价格。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Nbility 平台原价</w:t>
            </w:r>
          </w:p>
        </w:tc>
        <w:tc>
          <w:tcPr>
            <w:tcW w:w="676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官方原价 × 常规渠道倍率。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客户专属价</w:t>
            </w:r>
          </w:p>
        </w:tc>
        <w:tc>
          <w:tcPr>
            <w:tcW w:w="676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达到约定每日额度后，按更低阶梯倍率结算。</w:t>
            </w:r>
          </w:p>
        </w:tc>
      </w:tr>
    </w:tbl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计价示例</w:t>
      </w:r>
    </w:p>
    <w:tbl>
      <w:tblPr>
        <w:tblStyle w:val="TableGrid"/>
        <w:tblW w:w="9360" w:type="dxa"/>
        <w:tblInd w:w="12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4" w:space="0" w:color="D9E0E8"/>
          <w:insideV w:val="single" w:sz="4" w:space="0" w:color="D9E0E8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w="2200" w:type="dxa"/>
            <w:shd w:fill="F2F4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场景</w:t>
            </w:r>
          </w:p>
        </w:tc>
        <w:tc>
          <w:tcPr>
            <w:tcW w:w="18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官方原价</w:t>
            </w:r>
          </w:p>
        </w:tc>
        <w:tc>
          <w:tcPr>
            <w:tcW w:w="24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Nbility 平台原价</w:t>
            </w:r>
          </w:p>
        </w:tc>
        <w:tc>
          <w:tcPr>
            <w:tcW w:w="296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客户专属价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OpenAI GPT / Codex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$2.50 / 1M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¥1.00 / 1M（×0.40）</w:t>
            </w:r>
          </w:p>
        </w:tc>
        <w:tc>
          <w:tcPr>
            <w:tcW w:w="296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¥0.75 / 1M（1000额度/天，×0.30）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 max号池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 / 1M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¥12.00 / 1M（×2.40）</w:t>
            </w:r>
          </w:p>
        </w:tc>
        <w:tc>
          <w:tcPr>
            <w:tcW w:w="296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¥8.00 / 1M（2000额度/天，×1.60）</w:t>
            </w:r>
          </w:p>
        </w:tc>
      </w:tr>
    </w:tbl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推荐选择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hAnsi="Calibri" w:eastAsia="Microsoft YaHei"/>
          <w:color w:val="4B5563"/>
          <w:sz w:val="20"/>
          <w:szCs w:val="20"/>
        </w:rPr>
        <w:t>GPT / Codex：优先使用 gpt pro 号池渠道，适合代码生成、智能体、自动化任务等高频场景。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hAnsi="Calibri" w:eastAsia="Microsoft YaHei"/>
          <w:color w:val="4B5563"/>
          <w:sz w:val="20"/>
          <w:szCs w:val="20"/>
        </w:rPr>
        <w:t>Claude：优先推荐 claude max 号池，适合高强度 Claude 使用场景；如需对接自有能力，可选择 claude max 号池（可外接）。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hAnsi="Calibri" w:eastAsia="Microsoft YaHei"/>
          <w:color w:val="4B5563"/>
          <w:sz w:val="20"/>
          <w:szCs w:val="20"/>
        </w:rPr>
        <w:t>查看明细表时，先看官方输入价/输出价，再看右侧 Nbility 常规倍率和每日额度阶梯价。</w:t>
      </w:r>
    </w:p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OPENAI</w:t>
      </w:r>
    </w:p>
    <w:p>
      <w:pPr>
        <w:spacing w:after="80"/>
      </w:pPr>
      <w:r>
        <w:rPr>
          <w:rFonts w:ascii="Calibri" w:hAnsi="Calibri" w:eastAsia="Microsoft YaHei"/>
        </w:rPr>
        <w:t>GPT / Codex 相关模型。平台充值按 1 元 = $1 平台额度展示。</w:t>
      </w:r>
    </w:p>
    <w:tbl>
      <w:tblPr>
        <w:tblStyle w:val="TableGrid"/>
        <w:tblW w:w="9360" w:type="dxa"/>
        <w:tblInd w:w="12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4" w:space="0" w:color="D9E0E8"/>
          <w:insideV w:val="single" w:sz="4" w:space="0" w:color="D9E0E8"/>
        </w:tblBorders>
      </w:tblPr>
      <w:tblGrid>
        <w:gridCol w:w="2300"/>
        <w:gridCol w:w="1200"/>
        <w:gridCol w:w="1200"/>
        <w:gridCol w:w="1550"/>
        <w:gridCol w:w="1550"/>
        <w:gridCol w:w="1560"/>
      </w:tblGrid>
      <w:tr>
        <w:trPr>
          <w:tblHeader/>
        </w:trPr>
        <w:tc>
          <w:tcPr>
            <w:tcW w:w="2300" w:type="dxa"/>
            <w:shd w:fill="F2F4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模型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官方输入价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官方输出价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gpt pro ×0.4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500/天 ×0.35</w:t>
            </w:r>
          </w:p>
        </w:tc>
        <w:tc>
          <w:tcPr>
            <w:tcW w:w="156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1000/天 ×0.30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gpt-5.4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$2.50/1M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¥6.00/1M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¥0.88/1M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¥5.25/1M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¥0.75/1M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gpt-5.5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$30.00/1M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¥12.00/1M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¥10.50/1M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¥9.00/1M</w:t>
            </w:r>
          </w:p>
        </w:tc>
      </w:tr>
    </w:tbl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ANTHROPIC - claude max号池</w:t>
      </w:r>
    </w:p>
    <w:tbl>
      <w:tblPr>
        <w:tblStyle w:val="TableGrid"/>
        <w:tblW w:w="9360" w:type="dxa"/>
        <w:tblInd w:w="12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4" w:space="0" w:color="D9E0E8"/>
          <w:insideV w:val="single" w:sz="4" w:space="0" w:color="D9E0E8"/>
        </w:tblBorders>
      </w:tblPr>
      <w:tblGrid>
        <w:gridCol w:w="2050"/>
        <w:gridCol w:w="1050"/>
        <w:gridCol w:w="1050"/>
        <w:gridCol w:w="1300"/>
        <w:gridCol w:w="1300"/>
        <w:gridCol w:w="1300"/>
        <w:gridCol w:w="1310"/>
      </w:tblGrid>
      <w:tr>
        <w:trPr>
          <w:tblHeader/>
        </w:trPr>
        <w:tc>
          <w:tcPr>
            <w:tcW w:w="2050" w:type="dxa"/>
            <w:shd w:fill="F2F4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模型</w:t>
            </w:r>
          </w:p>
        </w:tc>
        <w:tc>
          <w:tcPr>
            <w:tcW w:w="10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官方输入价</w:t>
            </w:r>
          </w:p>
        </w:tc>
        <w:tc>
          <w:tcPr>
            <w:tcW w:w="10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官方输出价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max ×2.4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500/天 ×2.00</w:t>
            </w:r>
          </w:p>
        </w:tc>
        <w:tc>
          <w:tcPr>
            <w:tcW w:w="13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1000/天 ×1.80</w:t>
            </w:r>
          </w:p>
        </w:tc>
        <w:tc>
          <w:tcPr>
            <w:tcW w:w="131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2000/天 ×1.60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claude-fable-5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$10.00/1M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¥24.00/1M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¥120.00/1M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¥20.00/1M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¥100.00/1M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¥90.00/1M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¥16.00/1M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¥80.00/1M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claude-opus-4-8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¥12.00/1M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¥60.00/1M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¥10.00/1M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¥50.00/1M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¥9.00/1M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¥45.00/1M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claude-opus-4-7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¥12.00/1M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¥60.00/1M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¥10.00/1M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¥50.00/1M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¥9.00/1M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¥45.00/1M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claude-opus-4-6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¥12.00/1M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¥60.00/1M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¥10.00/1M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¥50.00/1M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¥9.00/1M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¥45.00/1M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claude-sonnet-4-6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$3.00/1M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$15.00/1M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¥7.20/1M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¥36.00/1M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¥6.00/1M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¥5.40/1M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¥27.00/1M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¥4.80/1M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¥24.00/1M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claude-opus-4-5-20251101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¥12.00/1M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¥60.00/1M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¥10.00/1M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¥50.00/1M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¥9.00/1M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¥45.00/1M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claude-sonnet-4-5-20250929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$3.00/1M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$15.00/1M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¥7.20/1M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¥36.00/1M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¥6.00/1M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¥5.40/1M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¥27.00/1M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¥4.80/1M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¥24.00/1M</w:t>
            </w:r>
          </w:p>
        </w:tc>
      </w:tr>
      <w:tr>
        <w:tc>
          <w:tcPr>
            <w:tcW w:w="205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claude-haiku-4-5-20251001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$1.00/1M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¥2.40/1M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¥12.00/1M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¥10.00/1M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¥1.80/1M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¥9.00/1M</w:t>
            </w:r>
          </w:p>
        </w:tc>
        <w:tc>
          <w:tcPr>
            <w:tcW w:w="131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¥1.60/1M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¥8.00/1M</w:t>
            </w:r>
          </w:p>
        </w:tc>
      </w:tr>
    </w:tbl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ANTHROPIC - claude max号池（可外接）</w:t>
      </w:r>
    </w:p>
    <w:tbl>
      <w:tblPr>
        <w:tblStyle w:val="TableGrid"/>
        <w:tblW w:w="9360" w:type="dxa"/>
        <w:tblInd w:w="12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4" w:space="0" w:color="D9E0E8"/>
          <w:insideV w:val="single" w:sz="4" w:space="0" w:color="D9E0E8"/>
        </w:tblBorders>
      </w:tblPr>
      <w:tblGrid>
        <w:gridCol w:w="2300"/>
        <w:gridCol w:w="1200"/>
        <w:gridCol w:w="1200"/>
        <w:gridCol w:w="1550"/>
        <w:gridCol w:w="1550"/>
        <w:gridCol w:w="1560"/>
      </w:tblGrid>
      <w:tr>
        <w:trPr>
          <w:tblHeader/>
        </w:trPr>
        <w:tc>
          <w:tcPr>
            <w:tcW w:w="2300" w:type="dxa"/>
            <w:shd w:fill="F2F4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模型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官方输入价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官方输出价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可外接 ×1.6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500/天 ×1.55</w:t>
            </w:r>
          </w:p>
        </w:tc>
        <w:tc>
          <w:tcPr>
            <w:tcW w:w="156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1000/天 ×1.50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claude-fable-5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$10.00/1M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¥16.00/1M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¥80.00/1M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¥15.50/1M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¥77.50/1M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¥15.00/1M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¥75.00/1M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claude-sonnet-4-6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$3.00/1M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¥4.80/1M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¥24.00/1M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¥4.65/1M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¥23.25/1M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¥22.50/1M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claude-opus-4-5-20251101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claude-sonnet-4-5-20250929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$3.00/1M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¥4.80/1M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¥24.00/1M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¥4.65/1M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¥23.25/1M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¥22.50/1M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claude-haiku-4-5-20251001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5F6972"/>
                <w:sz w:val="16"/>
                <w:szCs w:val="16"/>
              </w:rPr>
              <w:t>输入 ¥1.60/1M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¥8.00/1M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¥1.55/1M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¥7.75/1M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¥1.50/1M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¥7.50/1M</w:t>
            </w:r>
          </w:p>
        </w:tc>
      </w:tr>
    </w:tbl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ANTHROPIC - claude 逆向</w:t>
      </w:r>
    </w:p>
    <w:tbl>
      <w:tblPr>
        <w:tblStyle w:val="TableGrid"/>
        <w:tblW w:w="9360" w:type="dxa"/>
        <w:tblInd w:w="12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4" w:space="0" w:color="D9E0E8"/>
          <w:insideV w:val="single" w:sz="4" w:space="0" w:color="D9E0E8"/>
        </w:tblBorders>
      </w:tblPr>
      <w:tblGrid>
        <w:gridCol w:w="2300"/>
        <w:gridCol w:w="1200"/>
        <w:gridCol w:w="1200"/>
        <w:gridCol w:w="1550"/>
        <w:gridCol w:w="1550"/>
        <w:gridCol w:w="1560"/>
      </w:tblGrid>
      <w:tr>
        <w:trPr>
          <w:tblHeader/>
        </w:trPr>
        <w:tc>
          <w:tcPr>
            <w:tcW w:w="2300" w:type="dxa"/>
            <w:shd w:fill="F2F4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模型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官方输入价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官方输出价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claude ×0.8</w:t>
            </w:r>
          </w:p>
        </w:tc>
        <w:tc>
          <w:tcPr>
            <w:tcW w:w="155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500/天 ×0.75</w:t>
            </w:r>
          </w:p>
        </w:tc>
        <w:tc>
          <w:tcPr>
            <w:tcW w:w="1560" w:type="dxa"/>
            <w:shd w:fill="F2F4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b/>
                <w:color w:val="344054"/>
                <w:sz w:val="16"/>
                <w:szCs w:val="16"/>
              </w:rPr>
              <w:t>1000/天 ×0.70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claude-fable-5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$10.00/1M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¥8.00/1M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¥37.50/1M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¥7.00/1M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¥35.00/1M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claude-sonnet-4-6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$3.00/1M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¥2.40/1M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¥12.00/1M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¥2.25/1M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¥11.25/1M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¥2.10/1M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¥10.50/1M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claude-opus-4-5-20251101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$25.00/1M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¥4.00/1M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¥20.00/1M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¥18.75/1M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¥3.50/1M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¥17.50/1M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claude-sonnet-4-5-20250929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$3.00/1M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¥2.40/1M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¥12.00/1M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¥2.25/1M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¥11.25/1M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¥2.10/1M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¥10.50/1M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claude-haiku-4-5-20251001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$1.00/1M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eastAsia="Microsoft YaHei"/>
                <w:color w:val="111827"/>
                <w:sz w:val="16"/>
                <w:szCs w:val="16"/>
              </w:rPr>
              <w:t>$5.00/1M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¥0.80/1M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¥4.00/1M</w:t>
            </w:r>
          </w:p>
        </w:tc>
        <w:tc>
          <w:tcPr>
            <w:tcW w:w="155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¥0.75/1M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¥3.75/1M</w:t>
            </w:r>
          </w:p>
        </w:tc>
        <w:tc>
          <w:tcPr>
            <w:tcW w:w="1560" w:type="dxa"/>
            <w:vAlign w:val="center"/>
          </w:tcPr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15803D"/>
                <w:sz w:val="16"/>
                <w:szCs w:val="16"/>
              </w:rPr>
              <w:t>输入 ¥0.70/1M</w:t>
            </w:r>
          </w:p>
          <w:p>
            <w:pPr>
              <w:jc w:val="right"/>
              <w:spacing w:after="0"/>
            </w:pPr>
            <w:r>
              <w:rPr>
                <w:rFonts w:ascii="Calibri" w:hAnsi="Calibri" w:eastAsia="Microsoft YaHei"/>
                <w:b/>
                <w:color w:val="707982"/>
                <w:sz w:val="16"/>
                <w:szCs w:val="16"/>
              </w:rPr>
              <w:t>输出 ¥3.50/1M</w:t>
            </w:r>
          </w:p>
        </w:tc>
      </w:tr>
    </w:tbl>
    <w:p>
      <w:pPr>
        <w:pStyle w:val="Heading1"/>
        <w:spacing w:before="240" w:after="100"/>
        <w:keepNext/>
      </w:pPr>
      <w:r>
        <w:rPr>
          <w:rFonts w:ascii="Calibri" w:hAnsi="Calibri" w:eastAsia="Microsoft YaHei"/>
          <w:b/>
          <w:color w:val="2E74B5"/>
          <w:sz w:val="30"/>
          <w:szCs w:val="30"/>
        </w:rPr>
        <w:t>商务说明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hAnsi="Calibri" w:eastAsia="Microsoft YaHei"/>
          <w:color w:val="4B5563"/>
          <w:sz w:val="20"/>
          <w:szCs w:val="20"/>
        </w:rPr>
        <w:t>日用量阶梯以双方确认的每日额度消耗为准，可按实际业务规模调整。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hAnsi="Calibri" w:eastAsia="Microsoft YaHei"/>
          <w:color w:val="4B5563"/>
          <w:sz w:val="20"/>
          <w:szCs w:val="20"/>
        </w:rPr>
        <w:t>模型可用性、上下文长度、并发、速率限制和官方价格变动，以平台实际展示及双方最终确认为准。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hAnsi="Calibri" w:eastAsia="Microsoft YaHei"/>
          <w:color w:val="4B5563"/>
          <w:sz w:val="20"/>
          <w:szCs w:val="20"/>
        </w:rPr>
        <w:t>若上游官方价格、渠道成本或模型可用性发生变化，报价可同步调整。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hAnsi="Calibri" w:eastAsia="Microsoft YaHei"/>
          <w:color w:val="4B5563"/>
          <w:sz w:val="20"/>
          <w:szCs w:val="20"/>
        </w:rPr>
        <w:t>最终结算方式、账期、发票、服务保障和有效期以双方合同或订单确认为准。</w:t>
      </w:r>
    </w:p>
    <w:sectPr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Microsoft YaHei">
    <w:family w:val="swiss"/>
  </w:font>
</w:fonts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  <w:sz w:val="20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color w:val="111827"/>
      </w:rPr>
    </w:rPrDefault>
    <w:pPrDefault>
      <w:pPr>
        <w:spacing w:after="120" w:line="280" w:lineRule="auto"/>
      </w:pPr>
    </w:pPrDefault>
  </w:docDefaults>
  <w:style w:type="paragraph" w:default="1" w:styleId="Normal">
    <w:name w:val="Normal"/>
    <w:qFormat/>
    <w:rPr>
      <w:rFonts w:ascii="Calibri" w:hAnsi="Calibri" w:eastAsia="Microsoft YaHe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rFonts w:ascii="Calibri" w:hAnsi="Calibri" w:eastAsia="Microsoft YaHei"/>
      <w:b/>
      <w:color w:val="2E74B5"/>
      <w:sz w:val="30"/>
      <w:szCs w:val="30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basedOn w:val="TableNormal"/>
    <w:tblPr>
      <w:tblBorders>
        <w:top w:val="single" w:sz="4" w:color="D9E0E8"/>
        <w:left w:val="single" w:sz="4" w:color="D9E0E8"/>
        <w:bottom w:val="single" w:sz="4" w:color="D9E0E8"/>
        <w:right w:val="single" w:sz="4" w:color="D9E0E8"/>
        <w:insideH w:val="single" w:sz="4" w:color="D9E0E8"/>
        <w:insideV w:val="single" w:sz="4" w:color="D9E0E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Codex</Application>
  <Company>Nbility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Nbility AI 网关报价单</dc:title>
  <dc:creator>Nbility</dc:creator>
  <cp:lastModifiedBy>Nbility</cp:lastModifiedBy>
  <dcterms:created xsi:type="dcterms:W3CDTF">2026-06-13T10:25:45+00:00</dcterms:created>
  <dcterms:modified xsi:type="dcterms:W3CDTF">2026-06-13T10:25:45+00:00</dcterms:modified>
</cp:coreProperties>
</file>