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olor w:val="1A56DB"/>
          <w:sz w:val="56"/>
          <w:szCs w:val="56"/>
        </w:rPr>
        <w:t xml:space="preserve">CUSTOMER CHURN ANALYSIS</w:t>
      </w:r>
    </w:p>
    <w:p>
      <w:pPr>
        <w:spacing w:after="80" w:before="0"/>
        <w:jc w:val="center"/>
      </w:pPr>
      <w:r>
        <w:rPr>
          <w:rFonts w:ascii="Arial" w:cs="Arial" w:eastAsia="Arial" w:hAnsi="Arial"/>
          <w:color w:val="374151"/>
          <w:sz w:val="32"/>
          <w:szCs w:val="32"/>
        </w:rPr>
        <w:t xml:space="preserve">Subscription Business — Churn Prediction &amp; Retention Strategy</w:t>
      </w:r>
    </w:p>
    <w:p>
      <w:pPr>
        <w:pBdr>
          <w:bottom w:val="single" w:color="E5E7EB" w:sz="4" w:space="1"/>
        </w:pBdr>
        <w:spacing w:after="120" w:before="0"/>
      </w:pPr>
    </w:p>
    <w:p>
      <w:pPr>
        <w:spacing w:after="60" w:before="120"/>
        <w:jc w:val="center"/>
      </w:pPr>
      <w:r>
        <w:rPr>
          <w:rFonts w:ascii="Arial" w:cs="Arial" w:eastAsia="Arial" w:hAnsi="Arial"/>
          <w:b/>
          <w:bCs/>
          <w:color w:val="111827"/>
          <w:sz w:val="26"/>
          <w:szCs w:val="26"/>
        </w:rPr>
        <w:t xml:space="preserve">Oishee Banerjee</w:t>
      </w:r>
    </w:p>
    <w:p>
      <w:pPr>
        <w:spacing w:after="60" w:before="0"/>
        <w:jc w:val="center"/>
      </w:pPr>
      <w:r>
        <w:rPr>
          <w:rFonts w:ascii="Arial" w:cs="Arial" w:eastAsia="Arial" w:hAnsi="Arial"/>
          <w:color w:val="6B7280"/>
          <w:sz w:val="22"/>
          <w:szCs w:val="22"/>
        </w:rPr>
        <w:t xml:space="preserve">Data Analytics Project  ·  June 2026</w:t>
      </w:r>
    </w:p>
    <w:p>
      <w:pPr>
        <w:spacing w:after="60" w:before="0"/>
        <w:jc w:val="center"/>
      </w:pPr>
      <w:r>
        <w:rPr>
          <w:rFonts w:ascii="Arial" w:cs="Arial" w:eastAsia="Arial" w:hAnsi="Arial"/>
          <w:color w:val="6B7280"/>
          <w:sz w:val="22"/>
          <w:szCs w:val="22"/>
        </w:rPr>
        <w:t xml:space="preserve">Tools: Python  ·  MySQL  ·  Power BI</w:t>
      </w:r>
    </w:p>
    <w:p>
      <w:r>
        <w:br w:type="page"/>
      </w:r>
    </w:p>
    <w:p>
      <w:pPr>
        <w:spacing w:after="120" w:before="360"/>
      </w:pPr>
      <w:r>
        <w:rPr>
          <w:rFonts w:ascii="Arial" w:cs="Arial" w:eastAsia="Arial" w:hAnsi="Arial"/>
          <w:b/>
          <w:bCs/>
          <w:color w:val="1A56DB"/>
          <w:sz w:val="32"/>
          <w:szCs w:val="32"/>
        </w:rPr>
        <w:t xml:space="preserve">1. Executive Summary</w:t>
      </w:r>
    </w:p>
    <w:p>
      <w:pPr>
        <w:pBdr>
          <w:bottom w:val="single" w:color="E5E7EB" w:sz="4" w:space="1"/>
        </w:pBdr>
        <w:spacing w:after="120" w:before="0"/>
      </w:pPr>
    </w:p>
    <w:p>
      <w:pPr>
        <w:spacing w:after="60" w:before="60"/>
      </w:pPr>
      <w:r>
        <w:rPr>
          <w:rFonts w:ascii="Arial" w:cs="Arial" w:eastAsia="Arial" w:hAnsi="Arial"/>
          <w:color w:val="374151"/>
          <w:sz w:val="22"/>
          <w:szCs w:val="22"/>
        </w:rPr>
        <w:t xml:space="preserve">This project analyses 10,000 customer records from a subscription-based business to identify the key behavioural and demographic factors that predict customer churn. Using Python for exploratory data analysis, MySQL for structured querying, and Power BI for interactive visualisation, the analysis surfaces two high-impact, actionable findings:</w:t>
      </w:r>
    </w:p>
    <w:p>
      <w:pPr>
        <w:spacing w:after="0" w:before="120"/>
      </w:pPr>
    </w:p>
    <w:p>
      <w:pPr>
        <w:spacing w:after="60" w:before="60"/>
      </w:pPr>
      <w:r>
        <w:rPr>
          <w:rFonts w:ascii="Arial" w:cs="Arial" w:eastAsia="Arial" w:hAnsi="Arial"/>
          <w:color w:val="111827"/>
          <w:sz w:val="22"/>
          <w:szCs w:val="22"/>
        </w:rPr>
        <w:t xml:space="preserve">First, customers who experience two or more payment failures churn at three times the rate of customers with zero or one failure. Second, customers in their first twelve months carry nearly 2.5 times the churn risk of long-tenure customers. Together, these findings provide a concrete, implementable early warning system for retention teams.</w:t>
      </w:r>
    </w:p>
    <w:p>
      <w:pPr>
        <w:spacing w:after="0" w:before="120"/>
      </w:pPr>
    </w:p>
    <w:p>
      <w:pPr>
        <w:spacing w:after="60" w:before="60"/>
      </w:pPr>
      <w:r>
        <w:rPr>
          <w:rFonts w:ascii="Arial" w:cs="Arial" w:eastAsia="Arial" w:hAnsi="Arial"/>
          <w:color w:val="374151"/>
          <w:sz w:val="22"/>
          <w:szCs w:val="22"/>
        </w:rPr>
        <w:t xml:space="preserve">Contrary to common assumption, contract type and customer segment show no meaningful difference in churn rates — churn in this dataset is behavioural, not structural.</w:t>
      </w:r>
    </w:p>
    <w:p>
      <w:pPr>
        <w:spacing w:after="0" w:before="120"/>
      </w:pPr>
    </w:p>
    <w:p>
      <w:pPr>
        <w:spacing w:after="0" w:before="120"/>
      </w:pPr>
    </w:p>
    <w:p>
      <w:pPr>
        <w:spacing w:after="120" w:before="360"/>
      </w:pPr>
      <w:r>
        <w:rPr>
          <w:rFonts w:ascii="Arial" w:cs="Arial" w:eastAsia="Arial" w:hAnsi="Arial"/>
          <w:b/>
          <w:bCs/>
          <w:color w:val="1A56DB"/>
          <w:sz w:val="32"/>
          <w:szCs w:val="32"/>
        </w:rPr>
        <w:t xml:space="preserve">2. Problem Statement</w:t>
      </w:r>
    </w:p>
    <w:p>
      <w:pPr>
        <w:pBdr>
          <w:bottom w:val="single" w:color="E5E7EB" w:sz="4" w:space="1"/>
        </w:pBdr>
        <w:spacing w:after="120" w:before="0"/>
      </w:pPr>
    </w:p>
    <w:p>
      <w:pPr>
        <w:spacing w:after="60" w:before="60"/>
      </w:pPr>
      <w:r>
        <w:rPr>
          <w:rFonts w:ascii="Arial" w:cs="Arial" w:eastAsia="Arial" w:hAnsi="Arial"/>
          <w:color w:val="374151"/>
          <w:sz w:val="22"/>
          <w:szCs w:val="22"/>
        </w:rPr>
        <w:t xml:space="preserve">Customer retention is significantly more cost-effective than acquisition. For subscription businesses, understanding why customers leave — and when they show early warning signs — is a core analytics priority.</w:t>
      </w:r>
    </w:p>
    <w:p>
      <w:pPr>
        <w:spacing w:after="0" w:before="120"/>
      </w:pPr>
    </w:p>
    <w:p>
      <w:pPr>
        <w:spacing w:after="60" w:before="60"/>
      </w:pPr>
      <w:r>
        <w:rPr>
          <w:rFonts w:ascii="Arial" w:cs="Arial" w:eastAsia="Arial" w:hAnsi="Arial"/>
          <w:color w:val="374151"/>
          <w:sz w:val="22"/>
          <w:szCs w:val="22"/>
        </w:rPr>
        <w:t xml:space="preserve">This analysis asks:</w:t>
      </w:r>
    </w:p>
    <w:p>
      <w:pPr>
        <w:pStyle w:val="ListParagraph"/>
        <w:numPr>
          <w:ilvl w:val="0"/>
          <w:numId w:val="2"/>
        </w:numPr>
        <w:spacing w:after="40" w:before="40"/>
      </w:pPr>
      <w:r>
        <w:rPr>
          <w:rFonts w:ascii="Arial" w:cs="Arial" w:eastAsia="Arial" w:hAnsi="Arial"/>
          <w:color w:val="374151"/>
          <w:sz w:val="22"/>
          <w:szCs w:val="22"/>
        </w:rPr>
        <w:t xml:space="preserve">What is the overall churn rate and how is it distributed across customer segments?</w:t>
      </w:r>
    </w:p>
    <w:p>
      <w:pPr>
        <w:pStyle w:val="ListParagraph"/>
        <w:numPr>
          <w:ilvl w:val="0"/>
          <w:numId w:val="2"/>
        </w:numPr>
        <w:spacing w:after="40" w:before="40"/>
      </w:pPr>
      <w:r>
        <w:rPr>
          <w:rFonts w:ascii="Arial" w:cs="Arial" w:eastAsia="Arial" w:hAnsi="Arial"/>
          <w:color w:val="374151"/>
          <w:sz w:val="22"/>
          <w:szCs w:val="22"/>
        </w:rPr>
        <w:t xml:space="preserve">Which behavioural and demographic factors most strongly predict churn?</w:t>
      </w:r>
    </w:p>
    <w:p>
      <w:pPr>
        <w:pStyle w:val="ListParagraph"/>
        <w:numPr>
          <w:ilvl w:val="0"/>
          <w:numId w:val="2"/>
        </w:numPr>
        <w:spacing w:after="40" w:before="40"/>
      </w:pPr>
      <w:r>
        <w:rPr>
          <w:rFonts w:ascii="Arial" w:cs="Arial" w:eastAsia="Arial" w:hAnsi="Arial"/>
          <w:color w:val="374151"/>
          <w:sz w:val="22"/>
          <w:szCs w:val="22"/>
        </w:rPr>
        <w:t xml:space="preserve">At what specific thresholds do churn signals become actionable?</w:t>
      </w:r>
    </w:p>
    <w:p>
      <w:pPr>
        <w:pStyle w:val="ListParagraph"/>
        <w:numPr>
          <w:ilvl w:val="0"/>
          <w:numId w:val="2"/>
        </w:numPr>
        <w:spacing w:after="40" w:before="40"/>
      </w:pPr>
      <w:r>
        <w:rPr>
          <w:rFonts w:ascii="Arial" w:cs="Arial" w:eastAsia="Arial" w:hAnsi="Arial"/>
          <w:color w:val="374151"/>
          <w:sz w:val="22"/>
          <w:szCs w:val="22"/>
        </w:rPr>
        <w:t xml:space="preserve">What retention strategies does the data support?</w:t>
      </w:r>
    </w:p>
    <w:p>
      <w:pPr>
        <w:spacing w:after="0" w:before="120"/>
      </w:pPr>
    </w:p>
    <w:p>
      <w:pPr>
        <w:spacing w:after="0" w:before="120"/>
      </w:pPr>
    </w:p>
    <w:p>
      <w:pPr>
        <w:spacing w:after="120" w:before="360"/>
      </w:pPr>
      <w:r>
        <w:rPr>
          <w:rFonts w:ascii="Arial" w:cs="Arial" w:eastAsia="Arial" w:hAnsi="Arial"/>
          <w:b/>
          <w:bCs/>
          <w:color w:val="1A56DB"/>
          <w:sz w:val="32"/>
          <w:szCs w:val="32"/>
        </w:rPr>
        <w:t xml:space="preserve">3. Dataset &amp; Methodology</w:t>
      </w:r>
    </w:p>
    <w:p>
      <w:pPr>
        <w:pBdr>
          <w:bottom w:val="single" w:color="E5E7EB" w:sz="4" w:space="1"/>
        </w:pBdr>
        <w:spacing w:after="120" w:before="0"/>
      </w:pPr>
    </w:p>
    <w:p>
      <w:pPr>
        <w:spacing w:after="80" w:before="240"/>
      </w:pPr>
      <w:r>
        <w:rPr>
          <w:rFonts w:ascii="Arial" w:cs="Arial" w:eastAsia="Arial" w:hAnsi="Arial"/>
          <w:b/>
          <w:bCs/>
          <w:color w:val="111827"/>
          <w:sz w:val="24"/>
          <w:szCs w:val="24"/>
        </w:rPr>
        <w:t xml:space="preserve">3.1 Data Source</w:t>
      </w:r>
    </w:p>
    <w:p>
      <w:pPr>
        <w:spacing w:after="60" w:before="60"/>
      </w:pPr>
      <w:r>
        <w:rPr>
          <w:rFonts w:ascii="Arial" w:cs="Arial" w:eastAsia="Arial" w:hAnsi="Arial"/>
          <w:color w:val="374151"/>
          <w:sz w:val="22"/>
          <w:szCs w:val="22"/>
        </w:rPr>
        <w:t xml:space="preserve">The dataset is sourced from Kaggle (Customer Churn Prediction Business Dataset). It is synthetically generated using business-driven rules to simulate realistic customer behaviour in a subscription or SaaS environment. While synthetic, the churn labels are generated using probabilistic business logic — not random assignment — ensuring genuine feature correlations exist in the data.</w:t>
      </w:r>
    </w:p>
    <w:p>
      <w:pPr>
        <w:spacing w:after="0" w:before="120"/>
      </w:pPr>
    </w:p>
    <w:p>
      <w:pPr>
        <w:spacing w:after="80" w:before="240"/>
      </w:pPr>
      <w:r>
        <w:rPr>
          <w:rFonts w:ascii="Arial" w:cs="Arial" w:eastAsia="Arial" w:hAnsi="Arial"/>
          <w:b/>
          <w:bCs/>
          <w:color w:val="111827"/>
          <w:sz w:val="24"/>
          <w:szCs w:val="24"/>
        </w:rPr>
        <w:t xml:space="preserve">3.2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Records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10,000 customers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 columns</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Target variable</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churn (0 = Stayed, 1 = Churned)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Overall churn rate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 (1,021 churned)</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Missing values</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complaint_type: 2,045 (filled with No Complaint)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Data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Synthetic, business-logic driven</w:t>
            </w:r>
          </w:p>
        </w:tc>
      </w:tr>
      <w:tr>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Domain</w:t>
            </w:r>
          </w:p>
        </w:tc>
        <w:tc>
          <w:tcPr>
            <w:tcW w:type="dxa" w:w="468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Subscription / SaaS / Service Business</w:t>
            </w:r>
          </w:p>
        </w:tc>
      </w:tr>
    </w:tbl>
    <w:p>
      <w:pPr>
        <w:spacing w:after="0" w:before="120"/>
      </w:pPr>
    </w:p>
    <w:p>
      <w:pPr>
        <w:spacing w:after="80" w:before="240"/>
      </w:pPr>
      <w:r>
        <w:rPr>
          <w:rFonts w:ascii="Arial" w:cs="Arial" w:eastAsia="Arial" w:hAnsi="Arial"/>
          <w:b/>
          <w:bCs/>
          <w:color w:val="111827"/>
          <w:sz w:val="24"/>
          <w:szCs w:val="24"/>
        </w:rPr>
        <w:t xml:space="preserve">3.3 Data Cleaning</w:t>
      </w:r>
    </w:p>
    <w:p>
      <w:pPr>
        <w:pStyle w:val="ListParagraph"/>
        <w:numPr>
          <w:ilvl w:val="0"/>
          <w:numId w:val="2"/>
        </w:numPr>
        <w:spacing w:after="40" w:before="40"/>
      </w:pPr>
      <w:r>
        <w:rPr>
          <w:rFonts w:ascii="Arial" w:cs="Arial" w:eastAsia="Arial" w:hAnsi="Arial"/>
          <w:color w:val="374151"/>
          <w:sz w:val="22"/>
          <w:szCs w:val="22"/>
        </w:rPr>
        <w:t xml:space="preserve">Dropped customer_id — identifier column, not useful for analysis</w:t>
      </w:r>
    </w:p>
    <w:p>
      <w:pPr>
        <w:pStyle w:val="ListParagraph"/>
        <w:numPr>
          <w:ilvl w:val="0"/>
          <w:numId w:val="2"/>
        </w:numPr>
        <w:spacing w:after="40" w:before="40"/>
      </w:pPr>
      <w:r>
        <w:rPr>
          <w:rFonts w:ascii="Arial" w:cs="Arial" w:eastAsia="Arial" w:hAnsi="Arial"/>
          <w:color w:val="374151"/>
          <w:sz w:val="22"/>
          <w:szCs w:val="22"/>
        </w:rPr>
        <w:t xml:space="preserve">Filled 2,045 missing complaint_type values with No Complaint — logical fill since absence of complaint = no complaint type</w:t>
      </w:r>
    </w:p>
    <w:p>
      <w:pPr>
        <w:pStyle w:val="ListParagraph"/>
        <w:numPr>
          <w:ilvl w:val="0"/>
          <w:numId w:val="2"/>
        </w:numPr>
        <w:spacing w:after="40" w:before="40"/>
      </w:pPr>
      <w:r>
        <w:rPr>
          <w:rFonts w:ascii="Arial" w:cs="Arial" w:eastAsia="Arial" w:hAnsi="Arial"/>
          <w:color w:val="374151"/>
          <w:sz w:val="22"/>
          <w:szCs w:val="22"/>
        </w:rPr>
        <w:t xml:space="preserve">No other missing values across all 32 columns</w:t>
      </w:r>
    </w:p>
    <w:p>
      <w:pPr>
        <w:pStyle w:val="ListParagraph"/>
        <w:numPr>
          <w:ilvl w:val="0"/>
          <w:numId w:val="2"/>
        </w:numPr>
        <w:spacing w:after="40" w:before="40"/>
      </w:pPr>
      <w:r>
        <w:rPr>
          <w:rFonts w:ascii="Arial" w:cs="Arial" w:eastAsia="Arial" w:hAnsi="Arial"/>
          <w:color w:val="374151"/>
          <w:sz w:val="22"/>
          <w:szCs w:val="22"/>
        </w:rPr>
        <w:t xml:space="preserve">Encoded categorical variables for correlation analysis</w:t>
      </w:r>
    </w:p>
    <w:p>
      <w:pPr>
        <w:spacing w:after="0" w:before="120"/>
      </w:pPr>
    </w:p>
    <w:p>
      <w:pPr>
        <w:spacing w:after="80" w:before="240"/>
      </w:pPr>
      <w:r>
        <w:rPr>
          <w:rFonts w:ascii="Arial" w:cs="Arial" w:eastAsia="Arial" w:hAnsi="Arial"/>
          <w:b/>
          <w:bCs/>
          <w:color w:val="111827"/>
          <w:sz w:val="24"/>
          <w:szCs w:val="24"/>
        </w:rPr>
        <w:t xml:space="preserve">3.4 Tools &amp; Workflow</w:t>
      </w:r>
    </w:p>
    <w:p>
      <w:pPr>
        <w:pStyle w:val="ListParagraph"/>
        <w:numPr>
          <w:ilvl w:val="0"/>
          <w:numId w:val="2"/>
        </w:numPr>
        <w:spacing w:after="40" w:before="40"/>
      </w:pPr>
      <w:r>
        <w:rPr>
          <w:rFonts w:ascii="Arial" w:cs="Arial" w:eastAsia="Arial" w:hAnsi="Arial"/>
          <w:color w:val="374151"/>
          <w:sz w:val="22"/>
          <w:szCs w:val="22"/>
        </w:rPr>
        <w:t xml:space="preserve">Python (pandas, matplotlib, seaborn) — EDA, cleaning, visualisation (7 charts)</w:t>
      </w:r>
    </w:p>
    <w:p>
      <w:pPr>
        <w:pStyle w:val="ListParagraph"/>
        <w:numPr>
          <w:ilvl w:val="0"/>
          <w:numId w:val="2"/>
        </w:numPr>
        <w:spacing w:after="40" w:before="40"/>
      </w:pPr>
      <w:r>
        <w:rPr>
          <w:rFonts w:ascii="Arial" w:cs="Arial" w:eastAsia="Arial" w:hAnsi="Arial"/>
          <w:color w:val="374151"/>
          <w:sz w:val="22"/>
          <w:szCs w:val="22"/>
        </w:rPr>
        <w:t xml:space="preserve">MySQL (MySQL Workbench) — database setup, data import, 5 business queries</w:t>
      </w:r>
    </w:p>
    <w:p>
      <w:pPr>
        <w:pStyle w:val="ListParagraph"/>
        <w:numPr>
          <w:ilvl w:val="0"/>
          <w:numId w:val="2"/>
        </w:numPr>
        <w:spacing w:after="40" w:before="40"/>
      </w:pPr>
      <w:r>
        <w:rPr>
          <w:rFonts w:ascii="Arial" w:cs="Arial" w:eastAsia="Arial" w:hAnsi="Arial"/>
          <w:color w:val="374151"/>
          <w:sz w:val="22"/>
          <w:szCs w:val="22"/>
        </w:rPr>
        <w:t xml:space="preserve">Power BI Desktop — interactive dashboard with contract type slicer</w:t>
      </w:r>
    </w:p>
    <w:p>
      <w:pPr>
        <w:spacing w:after="0" w:before="120"/>
      </w:pPr>
    </w:p>
    <w:p>
      <w:pPr>
        <w:spacing w:after="0" w:before="120"/>
      </w:pPr>
    </w:p>
    <w:p>
      <w:pPr>
        <w:spacing w:after="120" w:before="360"/>
      </w:pPr>
      <w:r>
        <w:rPr>
          <w:rFonts w:ascii="Arial" w:cs="Arial" w:eastAsia="Arial" w:hAnsi="Arial"/>
          <w:b/>
          <w:bCs/>
          <w:color w:val="1A56DB"/>
          <w:sz w:val="32"/>
          <w:szCs w:val="32"/>
        </w:rPr>
        <w:t xml:space="preserve">4. Key Findings</w:t>
      </w:r>
    </w:p>
    <w:p>
      <w:pPr>
        <w:pBdr>
          <w:bottom w:val="single" w:color="E5E7EB" w:sz="4" w:space="1"/>
        </w:pBdr>
        <w:spacing w:after="120" w:before="0"/>
      </w:pP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01</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10.2% overall churn rate — imbalanced but realistic</w:t>
            </w:r>
          </w:p>
          <w:p>
            <w:pPr>
              <w:spacing w:after="0" w:before="0"/>
            </w:pPr>
            <w:r>
              <w:rPr>
                <w:rFonts w:ascii="Arial" w:cs="Arial" w:eastAsia="Arial" w:hAnsi="Arial"/>
                <w:color w:val="374151"/>
                <w:sz w:val="20"/>
                <w:szCs w:val="20"/>
              </w:rPr>
              <w:t xml:space="preserve">1,021 out of 10,000 customers churned. This imbalance (90/10 split) mirrors real-world subscription businesses and means accuracy alone is a misleading metric — a model predicting everyone stays would be 89.8% accurate but catch zero churners.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02</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Payment failures: the strongest and most actionable churn signal</w:t>
            </w:r>
          </w:p>
          <w:p>
            <w:pPr>
              <w:spacing w:after="0" w:before="0"/>
            </w:pPr>
            <w:r>
              <w:rPr>
                <w:rFonts w:ascii="Arial" w:cs="Arial" w:eastAsia="Arial" w:hAnsi="Arial"/>
                <w:color w:val="374151"/>
                <w:sz w:val="20"/>
                <w:szCs w:val="20"/>
              </w:rPr>
              <w:t xml:space="preserve">Customers with 0-1 payment failures churn at ~8.8%. At 2 failures, churn jumps to 25.3% — a 3x increase. The threshold is precise: the second missed payment is the trigger. This gives retention teams a concrete, automatable intervention point.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03</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First 12 months carry 2.5x the churn risk of any later period</w:t>
            </w:r>
          </w:p>
          <w:p>
            <w:pPr>
              <w:spacing w:after="0" w:before="0"/>
            </w:pPr>
            <w:r>
              <w:rPr>
                <w:rFonts w:ascii="Arial" w:cs="Arial" w:eastAsia="Arial" w:hAnsi="Arial"/>
                <w:color w:val="374151"/>
                <w:sz w:val="20"/>
                <w:szCs w:val="20"/>
              </w:rPr>
              <w:t xml:space="preserve">Under-12-month customers churn at 19.4% vs 7.8-8.7% for all later groups. After the first year, churn rate drops sharply and stabilises. The highest ROI retention investment is in new customer onboarding.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04</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Contract type does NOT predict churn</w:t>
            </w:r>
          </w:p>
          <w:p>
            <w:pPr>
              <w:spacing w:after="0" w:before="0"/>
            </w:pPr>
            <w:r>
              <w:rPr>
                <w:rFonts w:ascii="Arial" w:cs="Arial" w:eastAsia="Arial" w:hAnsi="Arial"/>
                <w:color w:val="374151"/>
                <w:sz w:val="20"/>
                <w:szCs w:val="20"/>
              </w:rPr>
              <w:t xml:space="preserve">Monthly (10.3%), Yearly (10.3%), Quarterly (9.9%) — virtually identical. The assumption that monthly contracts are higher risk is not supported by this data. Churn is driven by behaviour, not billing frequency.</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05</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Churn is driven by a combination of factors, not a single variable</w:t>
            </w:r>
          </w:p>
          <w:p>
            <w:pPr>
              <w:spacing w:after="0" w:before="0"/>
            </w:pPr>
            <w:r>
              <w:rPr>
                <w:rFonts w:ascii="Arial" w:cs="Arial" w:eastAsia="Arial" w:hAnsi="Arial"/>
                <w:color w:val="374151"/>
                <w:sz w:val="20"/>
                <w:szCs w:val="20"/>
              </w:rPr>
              <w:t xml:space="preserve">The highest single correlation with churn is CSAT score at -0.16 — weak on its own. The highest risk profile combines: tenure under 12 months + 2+ payment failures + CSAT below 3.0 + declining login frequency. No single trigger is sufficient; the combination matters.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A56DB" w:val="clear"/>
            <w:tcMar>
              <w:top w:type="dxa" w:w="120"/>
              <w:left w:type="dxa" w:w="160"/>
              <w:bottom w:type="dxa" w:w="120"/>
              <w:right w:type="dxa" w:w="160"/>
            </w:tcMar>
          </w:tcPr>
          <w:p>
            <w:pPr>
              <w:jc w:val="center"/>
            </w:pPr>
            <w:r>
              <w:rPr>
                <w:rFonts w:ascii="Arial" w:cs="Arial" w:eastAsia="Arial" w:hAnsi="Arial"/>
                <w:b/>
                <w:bCs/>
                <w:color w:val="FFFFFF"/>
                <w:sz w:val="28"/>
                <w:szCs w:val="28"/>
              </w:rPr>
              <w:t xml:space="preserve">06</w:t>
            </w:r>
          </w:p>
        </w:tc>
        <w:tc>
          <w:tcPr>
            <w:tcW w:type="dxa" w:w="8560"/>
            <w:tcBorders>
              <w:top w:val="single" w:color="CCCCCC" w:sz="1"/>
              <w:left w:val="single" w:color="CCCCCC" w:sz="1"/>
              <w:bottom w:val="single" w:color="CCCCCC" w:sz="1"/>
              <w:right w:val="single" w:color="CCCCCC" w:sz="1"/>
            </w:tcBorders>
            <w:shd w:fill="EFF6FF" w:val="clear"/>
            <w:tcMar>
              <w:top w:type="dxa" w:w="120"/>
              <w:left w:type="dxa" w:w="200"/>
              <w:bottom w:type="dxa" w:w="120"/>
              <w:right w:type="dxa" w:w="200"/>
            </w:tcMar>
          </w:tcPr>
          <w:p>
            <w:pPr>
              <w:spacing w:after="40" w:before="0"/>
            </w:pPr>
            <w:r>
              <w:rPr>
                <w:rFonts w:ascii="Arial" w:cs="Arial" w:eastAsia="Arial" w:hAnsi="Arial"/>
                <w:b/>
                <w:bCs/>
                <w:color w:val="111827"/>
                <w:sz w:val="22"/>
                <w:szCs w:val="22"/>
              </w:rPr>
              <w:t xml:space="preserve">Unsatisfied customers churn most — but satisfied customers also churn</w:t>
            </w:r>
          </w:p>
          <w:p>
            <w:pPr>
              <w:spacing w:after="0" w:before="0"/>
            </w:pPr>
            <w:r>
              <w:rPr>
                <w:rFonts w:ascii="Arial" w:cs="Arial" w:eastAsia="Arial" w:hAnsi="Arial"/>
                <w:color w:val="374151"/>
                <w:sz w:val="20"/>
                <w:szCs w:val="20"/>
              </w:rPr>
              <w:t xml:space="preserve">Survey response analysis shows Unsatisfied customers have the highest churn rate. However, Satisfied customers also show meaningful churn — suggesting price sensitivity or competitive switching, not just dissatisfaction, drives some exits.</w:t>
            </w:r>
          </w:p>
        </w:tc>
      </w:tr>
    </w:tbl>
    <w:p>
      <w:pPr>
        <w:spacing w:after="0" w:before="120"/>
      </w:pPr>
    </w:p>
    <w:p>
      <w:pPr>
        <w:spacing w:after="0" w:before="120"/>
      </w:pPr>
    </w:p>
    <w:p>
      <w:pPr>
        <w:spacing w:after="120" w:before="360"/>
      </w:pPr>
      <w:r>
        <w:rPr>
          <w:rFonts w:ascii="Arial" w:cs="Arial" w:eastAsia="Arial" w:hAnsi="Arial"/>
          <w:b/>
          <w:bCs/>
          <w:color w:val="1A56DB"/>
          <w:sz w:val="32"/>
          <w:szCs w:val="32"/>
        </w:rPr>
        <w:t xml:space="preserve">5. SQL Analysis Highlights</w:t>
      </w:r>
    </w:p>
    <w:p>
      <w:pPr>
        <w:pBdr>
          <w:bottom w:val="single" w:color="E5E7EB" w:sz="4" w:space="1"/>
        </w:pBdr>
        <w:spacing w:after="120" w:before="0"/>
      </w:pPr>
    </w:p>
    <w:p>
      <w:pPr>
        <w:spacing w:after="60" w:before="60"/>
      </w:pPr>
      <w:r>
        <w:rPr>
          <w:rFonts w:ascii="Arial" w:cs="Arial" w:eastAsia="Arial" w:hAnsi="Arial"/>
          <w:color w:val="374151"/>
          <w:sz w:val="22"/>
          <w:szCs w:val="22"/>
        </w:rPr>
        <w:t xml:space="preserve">Five structured queries were written against the MySQL database to extract business insights:</w:t>
      </w:r>
    </w:p>
    <w:p>
      <w:pPr>
        <w:spacing w:after="0" w:before="120"/>
      </w:pPr>
    </w:p>
    <w:p>
      <w:pPr>
        <w:spacing w:after="80" w:before="240"/>
      </w:pPr>
      <w:r>
        <w:rPr>
          <w:rFonts w:ascii="Arial" w:cs="Arial" w:eastAsia="Arial" w:hAnsi="Arial"/>
          <w:b/>
          <w:bCs/>
          <w:color w:val="111827"/>
          <w:sz w:val="24"/>
          <w:szCs w:val="24"/>
        </w:rPr>
        <w:t xml:space="preserve">Query 3 — Payment Failures vs Churn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Payment Failures</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Total Customers</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Churned</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Churn Rate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0</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6,084</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533</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8.8%</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2,989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8.7%</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780</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197</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25.3%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21.5%</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33.3%</w:t>
            </w:r>
          </w:p>
        </w:tc>
      </w:tr>
    </w:tbl>
    <w:p>
      <w:pPr>
        <w:spacing w:after="0" w:before="120"/>
      </w:pPr>
    </w:p>
    <w:p>
      <w:pPr>
        <w:spacing w:after="80" w:before="240"/>
      </w:pPr>
      <w:r>
        <w:rPr>
          <w:rFonts w:ascii="Arial" w:cs="Arial" w:eastAsia="Arial" w:hAnsi="Arial"/>
          <w:b/>
          <w:bCs/>
          <w:color w:val="111827"/>
          <w:sz w:val="24"/>
          <w:szCs w:val="24"/>
        </w:rPr>
        <w:t xml:space="preserve">Query 4 — Churn by Tenure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Tenure Group</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Churned</w:t>
            </w:r>
          </w:p>
        </w:tc>
        <w:tc>
          <w:tcPr>
            <w:tcW w:type="dxa" w:w="234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Churn Rate</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Under 12 months</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1,884</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366</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19.4%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12-24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188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8.7%</w:t>
            </w:r>
          </w:p>
        </w:tc>
      </w:tr>
      <w:tr>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25-36 months</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2,049</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161</w:t>
            </w:r>
          </w:p>
        </w:tc>
        <w:tc>
          <w:tcPr>
            <w:tcW w:type="dxa" w:w="234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color w:val="374151"/>
                <w:sz w:val="20"/>
                <w:szCs w:val="20"/>
              </w:rPr>
              <w:t xml:space="preserve">7.9%</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Over 36 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3,914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7.8%</w:t>
            </w:r>
          </w:p>
        </w:tc>
      </w:tr>
    </w:tbl>
    <w:p>
      <w:pPr>
        <w:spacing w:after="0" w:before="120"/>
      </w:pPr>
    </w:p>
    <w:p>
      <w:pPr>
        <w:spacing w:after="0" w:before="120"/>
      </w:pPr>
    </w:p>
    <w:p>
      <w:pPr>
        <w:spacing w:after="120" w:before="360"/>
      </w:pPr>
      <w:r>
        <w:rPr>
          <w:rFonts w:ascii="Arial" w:cs="Arial" w:eastAsia="Arial" w:hAnsi="Arial"/>
          <w:b/>
          <w:bCs/>
          <w:color w:val="1A56DB"/>
          <w:sz w:val="32"/>
          <w:szCs w:val="32"/>
        </w:rPr>
        <w:t xml:space="preserve">6. Business Recommendations</w:t>
      </w:r>
    </w:p>
    <w:p>
      <w:pPr>
        <w:pBdr>
          <w:bottom w:val="single" w:color="E5E7EB" w:sz="4" w:space="1"/>
        </w:pBdr>
        <w:spacing w:after="120" w:before="0"/>
      </w:pPr>
    </w:p>
    <w:p>
      <w:pPr>
        <w:spacing w:after="0" w:before="120"/>
      </w:pPr>
    </w:p>
    <w:p>
      <w:pPr>
        <w:spacing w:after="80" w:before="240"/>
      </w:pPr>
      <w:r>
        <w:rPr>
          <w:rFonts w:ascii="Arial" w:cs="Arial" w:eastAsia="Arial" w:hAnsi="Arial"/>
          <w:b/>
          <w:bCs/>
          <w:color w:val="111827"/>
          <w:sz w:val="24"/>
          <w:szCs w:val="24"/>
        </w:rPr>
        <w:t xml:space="preserve">1. Automate intervention at the 2nd payment failure</w:t>
      </w:r>
    </w:p>
    <w:p>
      <w:pPr>
        <w:spacing w:after="60" w:before="60"/>
      </w:pPr>
      <w:r>
        <w:rPr>
          <w:rFonts w:ascii="Arial" w:cs="Arial" w:eastAsia="Arial" w:hAnsi="Arial"/>
          <w:color w:val="374151"/>
          <w:sz w:val="22"/>
          <w:szCs w:val="22"/>
        </w:rPr>
        <w:t xml:space="preserve">The data shows a precise threshold — one failure is noise, two failures is a signal. Implement automated outreach (email, call, payment plan offer) triggered the moment a customer's second payment fails. This is the single highest-impact retention lever identified.</w:t>
      </w:r>
    </w:p>
    <w:p>
      <w:pPr>
        <w:spacing w:after="80" w:before="240"/>
      </w:pPr>
      <w:r>
        <w:rPr>
          <w:rFonts w:ascii="Arial" w:cs="Arial" w:eastAsia="Arial" w:hAnsi="Arial"/>
          <w:b/>
          <w:bCs/>
          <w:color w:val="111827"/>
          <w:sz w:val="24"/>
          <w:szCs w:val="24"/>
        </w:rPr>
        <w:t xml:space="preserve">2. Build a dedicated first-year customer success programme</w:t>
      </w:r>
    </w:p>
    <w:p>
      <w:pPr>
        <w:spacing w:after="60" w:before="60"/>
      </w:pPr>
      <w:r>
        <w:rPr>
          <w:rFonts w:ascii="Arial" w:cs="Arial" w:eastAsia="Arial" w:hAnsi="Arial"/>
          <w:color w:val="374151"/>
          <w:sz w:val="22"/>
          <w:szCs w:val="22"/>
        </w:rPr>
        <w:t xml:space="preserve">New customers under 12 months are 2.5x more likely to churn. Assign dedicated onboarding support, check-in calls at 30/60/90 days, and proactive feature education during the first year. Extending average first-year tenure by even 2 months would materially reduce overall churn.</w:t>
      </w:r>
    </w:p>
    <w:p>
      <w:pPr>
        <w:spacing w:after="80" w:before="240"/>
      </w:pPr>
      <w:r>
        <w:rPr>
          <w:rFonts w:ascii="Arial" w:cs="Arial" w:eastAsia="Arial" w:hAnsi="Arial"/>
          <w:b/>
          <w:bCs/>
          <w:color w:val="111827"/>
          <w:sz w:val="24"/>
          <w:szCs w:val="24"/>
        </w:rPr>
        <w:t xml:space="preserve">3. CSAT-triggered proactive support</w:t>
      </w:r>
    </w:p>
    <w:p>
      <w:pPr>
        <w:spacing w:after="60" w:before="60"/>
      </w:pPr>
      <w:r>
        <w:rPr>
          <w:rFonts w:ascii="Arial" w:cs="Arial" w:eastAsia="Arial" w:hAnsi="Arial"/>
          <w:color w:val="374151"/>
          <w:sz w:val="22"/>
          <w:szCs w:val="22"/>
        </w:rPr>
        <w:t xml:space="preserve">Customers scoring below 3.0 on CSAT should trigger automatic support outreach within 24 hours. Low satisfaction is a leading indicator — acting before the customer decides to cancel is far more effective than win-back campaigns after they leave.</w:t>
      </w:r>
    </w:p>
    <w:p>
      <w:pPr>
        <w:spacing w:after="80" w:before="240"/>
      </w:pPr>
      <w:r>
        <w:rPr>
          <w:rFonts w:ascii="Arial" w:cs="Arial" w:eastAsia="Arial" w:hAnsi="Arial"/>
          <w:b/>
          <w:bCs/>
          <w:color w:val="111827"/>
          <w:sz w:val="24"/>
          <w:szCs w:val="24"/>
        </w:rPr>
        <w:t xml:space="preserve">4. Monitor login frequency as an early warning metric</w:t>
      </w:r>
    </w:p>
    <w:p>
      <w:pPr>
        <w:spacing w:after="60" w:before="60"/>
      </w:pPr>
      <w:r>
        <w:rPr>
          <w:rFonts w:ascii="Arial" w:cs="Arial" w:eastAsia="Arial" w:hAnsi="Arial"/>
          <w:color w:val="374151"/>
          <w:sz w:val="22"/>
          <w:szCs w:val="22"/>
        </w:rPr>
        <w:t xml:space="preserve">Churned customers averaged 16.8 monthly logins vs 20.0 for retained customers. A declining login trend over 2-3 months should trigger engagement re-activation campaigns — personalised tips, feature highlights, or account health check-ins.</w:t>
      </w:r>
    </w:p>
    <w:p>
      <w:pPr>
        <w:spacing w:after="0" w:before="120"/>
      </w:pPr>
    </w:p>
    <w:p>
      <w:pPr>
        <w:spacing w:after="0" w:before="120"/>
      </w:pPr>
    </w:p>
    <w:p>
      <w:pPr>
        <w:spacing w:after="120" w:before="360"/>
      </w:pPr>
      <w:r>
        <w:rPr>
          <w:rFonts w:ascii="Arial" w:cs="Arial" w:eastAsia="Arial" w:hAnsi="Arial"/>
          <w:b/>
          <w:bCs/>
          <w:color w:val="1A56DB"/>
          <w:sz w:val="32"/>
          <w:szCs w:val="32"/>
        </w:rPr>
        <w:t xml:space="preserve">7. Limitations</w:t>
      </w:r>
    </w:p>
    <w:p>
      <w:pPr>
        <w:pBdr>
          <w:bottom w:val="single" w:color="E5E7EB" w:sz="4" w:space="1"/>
        </w:pBdr>
        <w:spacing w:after="120" w:before="0"/>
      </w:pPr>
    </w:p>
    <w:p>
      <w:pPr>
        <w:pStyle w:val="ListParagraph"/>
        <w:numPr>
          <w:ilvl w:val="0"/>
          <w:numId w:val="2"/>
        </w:numPr>
        <w:spacing w:after="40" w:before="40"/>
      </w:pPr>
      <w:r>
        <w:rPr>
          <w:rFonts w:ascii="Arial" w:cs="Arial" w:eastAsia="Arial" w:hAnsi="Arial"/>
          <w:color w:val="374151"/>
          <w:sz w:val="22"/>
          <w:szCs w:val="22"/>
        </w:rPr>
        <w:t xml:space="preserve">Synthetic dataset — patterns are business-logic driven, not from real customer behaviour; real-world results may differ</w:t>
      </w:r>
    </w:p>
    <w:p>
      <w:pPr>
        <w:pStyle w:val="ListParagraph"/>
        <w:numPr>
          <w:ilvl w:val="0"/>
          <w:numId w:val="2"/>
        </w:numPr>
        <w:spacing w:after="40" w:before="40"/>
      </w:pPr>
      <w:r>
        <w:rPr>
          <w:rFonts w:ascii="Arial" w:cs="Arial" w:eastAsia="Arial" w:hAnsi="Arial"/>
          <w:color w:val="374151"/>
          <w:sz w:val="22"/>
          <w:szCs w:val="22"/>
        </w:rPr>
        <w:t xml:space="preserve">Binary churn label — does not distinguish voluntary cancellation from payment-failure-driven churn, which may require different interventions</w:t>
      </w:r>
    </w:p>
    <w:p>
      <w:pPr>
        <w:pStyle w:val="ListParagraph"/>
        <w:numPr>
          <w:ilvl w:val="0"/>
          <w:numId w:val="2"/>
        </w:numPr>
        <w:spacing w:after="40" w:before="40"/>
      </w:pPr>
      <w:r>
        <w:rPr>
          <w:rFonts w:ascii="Arial" w:cs="Arial" w:eastAsia="Arial" w:hAnsi="Arial"/>
          <w:color w:val="374151"/>
          <w:sz w:val="22"/>
          <w:szCs w:val="22"/>
        </w:rPr>
        <w:t xml:space="preserve">No temporal dimension — cannot identify seasonal churn patterns or track individual customer journeys over time</w:t>
      </w:r>
    </w:p>
    <w:p>
      <w:pPr>
        <w:pStyle w:val="ListParagraph"/>
        <w:numPr>
          <w:ilvl w:val="0"/>
          <w:numId w:val="2"/>
        </w:numPr>
        <w:spacing w:after="40" w:before="40"/>
      </w:pPr>
      <w:r>
        <w:rPr>
          <w:rFonts w:ascii="Arial" w:cs="Arial" w:eastAsia="Arial" w:hAnsi="Arial"/>
          <w:color w:val="374151"/>
          <w:sz w:val="22"/>
          <w:szCs w:val="22"/>
        </w:rPr>
        <w:t xml:space="preserve">No revenue data per churned customer — cannot calculate actual revenue at risk or prioritise retention by customer value</w:t>
      </w:r>
    </w:p>
    <w:p>
      <w:pPr>
        <w:pStyle w:val="ListParagraph"/>
        <w:numPr>
          <w:ilvl w:val="0"/>
          <w:numId w:val="2"/>
        </w:numPr>
        <w:spacing w:after="40" w:before="40"/>
      </w:pPr>
      <w:r>
        <w:rPr>
          <w:rFonts w:ascii="Arial" w:cs="Arial" w:eastAsia="Arial" w:hAnsi="Arial"/>
          <w:color w:val="374151"/>
          <w:sz w:val="22"/>
          <w:szCs w:val="22"/>
        </w:rPr>
        <w:t xml:space="preserve">Imbalanced classes — 90/10 split means predictive models require techniques like SMOTE or class weighting for reliable results</w:t>
      </w:r>
    </w:p>
    <w:p>
      <w:pPr>
        <w:spacing w:after="0" w:before="120"/>
      </w:pPr>
    </w:p>
    <w:p>
      <w:pPr>
        <w:spacing w:after="0" w:before="120"/>
      </w:pPr>
    </w:p>
    <w:p>
      <w:pPr>
        <w:spacing w:after="120" w:before="360"/>
      </w:pPr>
      <w:r>
        <w:rPr>
          <w:rFonts w:ascii="Arial" w:cs="Arial" w:eastAsia="Arial" w:hAnsi="Arial"/>
          <w:b/>
          <w:bCs/>
          <w:color w:val="1A56DB"/>
          <w:sz w:val="32"/>
          <w:szCs w:val="32"/>
        </w:rPr>
        <w:t xml:space="preserve">8. Conclusion</w:t>
      </w:r>
    </w:p>
    <w:p>
      <w:pPr>
        <w:pBdr>
          <w:bottom w:val="single" w:color="E5E7EB" w:sz="4" w:space="1"/>
        </w:pBdr>
        <w:spacing w:after="120" w:before="0"/>
      </w:pPr>
    </w:p>
    <w:p>
      <w:pPr>
        <w:spacing w:after="60" w:before="60"/>
      </w:pPr>
      <w:r>
        <w:rPr>
          <w:rFonts w:ascii="Arial" w:cs="Arial" w:eastAsia="Arial" w:hAnsi="Arial"/>
          <w:color w:val="374151"/>
          <w:sz w:val="22"/>
          <w:szCs w:val="22"/>
        </w:rPr>
        <w:t xml:space="preserve">The data is clear: churn in subscription businesses is not a structural problem — it is a behavioural one. Contract type and customer segment barely matter. What matters is whether customers are struggling to pay, whether they are satisfied with the service, and how long they have been with the business.</w:t>
      </w:r>
    </w:p>
    <w:p>
      <w:pPr>
        <w:spacing w:after="0" w:before="120"/>
      </w:pPr>
    </w:p>
    <w:p>
      <w:pPr>
        <w:spacing w:after="60" w:before="60"/>
      </w:pPr>
      <w:r>
        <w:rPr>
          <w:rFonts w:ascii="Arial" w:cs="Arial" w:eastAsia="Arial" w:hAnsi="Arial"/>
          <w:color w:val="374151"/>
          <w:sz w:val="22"/>
          <w:szCs w:val="22"/>
        </w:rPr>
        <w:t xml:space="preserve">Two findings stand out as immediately actionable: the 2-payment-failure threshold and the first-12-months danger zone. Both provide retention teams with specific, triggerable intervention points rather than vague risk scores. Businesses that act on these triggers — with automated outreach, dedicated onboarding, and satisfaction monitoring — can meaningfully reduce churn without requiring complex machine learning infrastructure.</w:t>
      </w:r>
    </w:p>
    <w:p>
      <w:pPr>
        <w:spacing w:after="0" w:before="120"/>
      </w:pPr>
    </w:p>
    <w:p>
      <w:pPr>
        <w:spacing w:after="60" w:before="60"/>
      </w:pPr>
      <w:r>
        <w:rPr>
          <w:rFonts w:ascii="Arial" w:cs="Arial" w:eastAsia="Arial" w:hAnsi="Arial"/>
          <w:color w:val="374151"/>
          <w:sz w:val="22"/>
          <w:szCs w:val="22"/>
        </w:rPr>
        <w:t xml:space="preserve">The most powerful retention strategy is not winning back customers who have already left. It is catching them at the exact moment the data says they are about to.</w:t>
      </w:r>
    </w:p>
    <w:p>
      <w:pPr>
        <w:spacing w:after="0" w:before="120"/>
      </w:pPr>
    </w:p>
    <w:p>
      <w:pPr>
        <w:spacing w:after="0" w:before="120"/>
      </w:pPr>
    </w:p>
    <w:p>
      <w:pPr>
        <w:pBdr>
          <w:bottom w:val="single" w:color="E5E7EB" w:sz="4" w:space="1"/>
        </w:pBdr>
        <w:spacing w:after="120" w:before="0"/>
      </w:pPr>
    </w:p>
    <w:p>
      <w:pPr>
        <w:spacing w:after="60" w:before="120"/>
        <w:jc w:val="center"/>
      </w:pPr>
      <w:r>
        <w:rPr>
          <w:rFonts w:ascii="Arial" w:cs="Arial" w:eastAsia="Arial" w:hAnsi="Arial"/>
          <w:color w:val="6B7280"/>
          <w:sz w:val="18"/>
          <w:szCs w:val="18"/>
        </w:rPr>
        <w:t xml:space="preserve">Oishee Banerjee  ·  June 2026  ·  github.com/iamspirific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2026-06-07T08:34:20.693Z</dcterms:created>
  <dcterms:modified xsi:type="dcterms:W3CDTF">2026-06-07T08:34:20.708Z</dcterms:modified>
</cp:coreProperties>
</file>

<file path=docProps/custom.xml><?xml version="1.0" encoding="utf-8"?>
<Properties xmlns="http://schemas.openxmlformats.org/officeDocument/2006/custom-properties" xmlns:vt="http://schemas.openxmlformats.org/officeDocument/2006/docPropsVTypes"/>
</file>