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CAF4A" w14:textId="77777777" w:rsidR="00DA17FE" w:rsidRDefault="00404AC4">
      <w:pPr>
        <w:pStyle w:val="Title"/>
      </w:pPr>
      <w:r>
        <w:t>ST417 Project Visualisation</w:t>
      </w:r>
    </w:p>
    <w:p w14:paraId="5BDD80E0" w14:textId="77777777" w:rsidR="00DA17FE" w:rsidRDefault="00404AC4">
      <w:pPr>
        <w:pStyle w:val="Author"/>
      </w:pPr>
      <w:r>
        <w:t>Oisín Hodgins</w:t>
      </w:r>
    </w:p>
    <w:p w14:paraId="5BA5E6CB" w14:textId="77777777" w:rsidR="00DA17FE" w:rsidRDefault="00404AC4">
      <w:pPr>
        <w:pStyle w:val="Date"/>
      </w:pPr>
      <w:r>
        <w:t>12/21/2020</w:t>
      </w:r>
    </w:p>
    <w:p w14:paraId="0693D649" w14:textId="77777777" w:rsidR="00DA17FE" w:rsidRDefault="00404AC4">
      <w:pPr>
        <w:pStyle w:val="SourceCode"/>
      </w:pPr>
      <w:r>
        <w:rPr>
          <w:rStyle w:val="VerbatimChar"/>
        </w:rPr>
        <w:t>----------------Overall Summary----------------</w:t>
      </w:r>
      <w:r>
        <w:br/>
      </w:r>
      <w:r>
        <w:rPr>
          <w:rStyle w:val="VerbatimChar"/>
        </w:rPr>
        <w:t xml:space="preserve"> First we will have a look at the data overall.</w:t>
      </w:r>
      <w:r>
        <w:br/>
      </w:r>
      <w:r>
        <w:rPr>
          <w:rStyle w:val="VerbatimChar"/>
        </w:rPr>
        <w:t xml:space="preserve"> </w:t>
      </w:r>
    </w:p>
    <w:p w14:paraId="70906E81" w14:textId="77777777" w:rsidR="00DA17FE" w:rsidRDefault="00404AC4">
      <w:pPr>
        <w:pStyle w:val="SourceCode"/>
      </w:pPr>
      <w:r>
        <w:rPr>
          <w:rStyle w:val="VerbatimChar"/>
        </w:rPr>
        <w:t>A simple barchart shows us the distribution of COVID-19 attributed deaths throughout the entire pandemic.</w:t>
      </w:r>
      <w:r>
        <w:br/>
      </w:r>
      <w:r>
        <w:rPr>
          <w:rStyle w:val="VerbatimChar"/>
        </w:rPr>
        <w:t xml:space="preserve"> We can also see the duration of the first and second lockdowns, coinciding with a relative increase in the effects of the virus.</w:t>
      </w:r>
    </w:p>
    <w:p w14:paraId="6FEC4FB5" w14:textId="77777777" w:rsidR="00DA17FE" w:rsidRDefault="00404AC4">
      <w:pPr>
        <w:pStyle w:val="FirstParagraph"/>
      </w:pPr>
      <w:r>
        <w:rPr>
          <w:noProof/>
        </w:rPr>
        <w:drawing>
          <wp:inline distT="0" distB="0" distL="0" distR="0" wp14:anchorId="330EFDE9" wp14:editId="612F9308">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overall%20plots-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p>
    <w:p w14:paraId="57BAD4E7" w14:textId="77777777" w:rsidR="00DA17FE" w:rsidRDefault="00404AC4">
      <w:pPr>
        <w:pStyle w:val="SourceCode"/>
      </w:pPr>
      <w:r>
        <w:rPr>
          <w:rStyle w:val="VerbatimChar"/>
        </w:rPr>
        <w:t>This is a qualitat</w:t>
      </w:r>
      <w:r>
        <w:rPr>
          <w:rStyle w:val="VerbatimChar"/>
        </w:rPr>
        <w:t>ive count variable, binomially distributed with two key density regions. The first region has a higher density than the second.</w:t>
      </w:r>
      <w:r>
        <w:br/>
      </w:r>
      <w:r>
        <w:rPr>
          <w:rStyle w:val="VerbatimChar"/>
        </w:rPr>
        <w:t xml:space="preserve"> There is a period of relative downtime during the summer months, with much fewer deaths.</w:t>
      </w:r>
      <w:r>
        <w:br/>
      </w:r>
      <w:r>
        <w:rPr>
          <w:rStyle w:val="VerbatimChar"/>
        </w:rPr>
        <w:t xml:space="preserve"> There is an outlier value on the 26th</w:t>
      </w:r>
      <w:r>
        <w:rPr>
          <w:rStyle w:val="VerbatimChar"/>
        </w:rPr>
        <w:t xml:space="preserve"> April here, not fully visible on the plot. There was a backlog of deaths to be reported that day, which resulted in the comparitevly high count of 234.</w:t>
      </w:r>
      <w:r>
        <w:br/>
      </w:r>
      <w:r>
        <w:rPr>
          <w:rStyle w:val="VerbatimChar"/>
        </w:rPr>
        <w:t xml:space="preserve"> There is another outlier on the 3rd October, where negative 5 deaths are recorded, this is due to a pa</w:t>
      </w:r>
      <w:r>
        <w:rPr>
          <w:rStyle w:val="VerbatimChar"/>
        </w:rPr>
        <w:t>st overcounting of deaths.</w:t>
      </w:r>
    </w:p>
    <w:p w14:paraId="35868F64" w14:textId="77777777" w:rsidR="00DA17FE" w:rsidRDefault="00404AC4">
      <w:pPr>
        <w:pStyle w:val="SourceCode"/>
      </w:pPr>
      <w:r>
        <w:rPr>
          <w:rStyle w:val="VerbatimChar"/>
        </w:rPr>
        <w:lastRenderedPageBreak/>
        <w:t>Here we see a density plot for each of the categories of the mobility data, throughout the entire pandemic.</w:t>
      </w:r>
      <w:r>
        <w:br/>
      </w:r>
      <w:r>
        <w:rPr>
          <w:rStyle w:val="VerbatimChar"/>
        </w:rPr>
        <w:t xml:space="preserve"> These plots indicate the change in visits to certain areas, corresponding with each category.</w:t>
      </w:r>
    </w:p>
    <w:p w14:paraId="0637B145" w14:textId="77777777" w:rsidR="00DA17FE" w:rsidRDefault="00404AC4">
      <w:pPr>
        <w:pStyle w:val="FirstParagraph"/>
      </w:pPr>
      <w:r>
        <w:rPr>
          <w:noProof/>
        </w:rPr>
        <w:drawing>
          <wp:inline distT="0" distB="0" distL="0" distR="0" wp14:anchorId="79288D5E" wp14:editId="23C44BD5">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overall%20plots-2.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2198518D" w14:textId="77777777" w:rsidR="00DA17FE" w:rsidRDefault="00404AC4">
      <w:pPr>
        <w:pStyle w:val="SourceCode"/>
      </w:pPr>
      <w:r>
        <w:rPr>
          <w:rStyle w:val="VerbatimChar"/>
        </w:rPr>
        <w:t>Initially visits to reta</w:t>
      </w:r>
      <w:r>
        <w:rPr>
          <w:rStyle w:val="VerbatimChar"/>
        </w:rPr>
        <w:t>il and recreational areas were uneffected by the pandemic, however soon the government regulations accompanying the first lockdown forced many non-essential businesses to close, and we can see this effect in the plot.</w:t>
      </w:r>
      <w:r>
        <w:br/>
      </w:r>
      <w:r>
        <w:rPr>
          <w:rStyle w:val="VerbatimChar"/>
        </w:rPr>
        <w:t xml:space="preserve"> There is a notable increase in visits</w:t>
      </w:r>
      <w:r>
        <w:rPr>
          <w:rStyle w:val="VerbatimChar"/>
        </w:rPr>
        <w:t xml:space="preserve"> to these areas during the summer months, likely caused by a decrease in death/case numbers and the pleasant summer weather.</w:t>
      </w:r>
      <w:r>
        <w:br/>
      </w:r>
      <w:r>
        <w:rPr>
          <w:rStyle w:val="VerbatimChar"/>
        </w:rPr>
        <w:t xml:space="preserve"> Following this brief increase we are met with the second wave and second lockdown, bringing with it another decrease.</w:t>
      </w:r>
    </w:p>
    <w:p w14:paraId="6B7D4B83" w14:textId="77777777" w:rsidR="00DA17FE" w:rsidRDefault="00404AC4">
      <w:pPr>
        <w:pStyle w:val="FirstParagraph"/>
      </w:pPr>
      <w:r>
        <w:rPr>
          <w:noProof/>
        </w:rPr>
        <w:lastRenderedPageBreak/>
        <w:drawing>
          <wp:inline distT="0" distB="0" distL="0" distR="0" wp14:anchorId="3C9DE772" wp14:editId="10C4DBAE">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overall%20plots-3.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40C6D0C2" w14:textId="77777777" w:rsidR="00DA17FE" w:rsidRDefault="00404AC4">
      <w:pPr>
        <w:pStyle w:val="SourceCode"/>
      </w:pPr>
      <w:r>
        <w:rPr>
          <w:rStyle w:val="VerbatimChar"/>
        </w:rPr>
        <w:t>Here we ca</w:t>
      </w:r>
      <w:r>
        <w:rPr>
          <w:rStyle w:val="VerbatimChar"/>
        </w:rPr>
        <w:t>n see the mobility data for Grocery shops and Pharmacies.</w:t>
      </w:r>
      <w:r>
        <w:br/>
      </w:r>
      <w:r>
        <w:rPr>
          <w:rStyle w:val="VerbatimChar"/>
        </w:rPr>
        <w:t xml:space="preserve"> There is a noticible spike immediately before the first lockdown, likely due to a 'panic' among the general populus that such facilities may not be available during the lockdown.</w:t>
      </w:r>
      <w:r>
        <w:br/>
      </w:r>
      <w:r>
        <w:rPr>
          <w:rStyle w:val="VerbatimChar"/>
        </w:rPr>
        <w:t xml:space="preserve"> This plot shows t</w:t>
      </w:r>
      <w:r>
        <w:rPr>
          <w:rStyle w:val="VerbatimChar"/>
        </w:rPr>
        <w:t>hat visits to these locations were reasonably consistent throughout the year, and close the baseline value, except for a sharp decrease during both of the lockdowns.</w:t>
      </w:r>
    </w:p>
    <w:p w14:paraId="2643792C" w14:textId="77777777" w:rsidR="00DA17FE" w:rsidRDefault="00404AC4">
      <w:pPr>
        <w:pStyle w:val="FirstParagraph"/>
      </w:pPr>
      <w:r>
        <w:rPr>
          <w:noProof/>
        </w:rPr>
        <w:lastRenderedPageBreak/>
        <w:drawing>
          <wp:inline distT="0" distB="0" distL="0" distR="0" wp14:anchorId="6B2C5ED3" wp14:editId="203EC2D5">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overall%20plots-4.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058C4688" w14:textId="77777777" w:rsidR="00DA17FE" w:rsidRDefault="00404AC4">
      <w:pPr>
        <w:pStyle w:val="SourceCode"/>
      </w:pPr>
      <w:r>
        <w:rPr>
          <w:rStyle w:val="VerbatimChar"/>
        </w:rPr>
        <w:t>Next we have the mobility data for parks.</w:t>
      </w:r>
      <w:r>
        <w:br/>
      </w:r>
      <w:r>
        <w:rPr>
          <w:rStyle w:val="VerbatimChar"/>
        </w:rPr>
        <w:t xml:space="preserve"> Similiar to retail and recreational areas we </w:t>
      </w:r>
      <w:r>
        <w:rPr>
          <w:rStyle w:val="VerbatimChar"/>
        </w:rPr>
        <w:t>can see a sharp increase during the summer months, likely for the same reasons as before. Notice here that the value is considerably higher than the baseline value, likely due to the fact that the baseline was calculated in January when the weather was not</w:t>
      </w:r>
      <w:r>
        <w:rPr>
          <w:rStyle w:val="VerbatimChar"/>
        </w:rPr>
        <w:t xml:space="preserve"> particulary pleasant.</w:t>
      </w:r>
      <w:r>
        <w:br/>
      </w:r>
      <w:r>
        <w:rPr>
          <w:rStyle w:val="VerbatimChar"/>
        </w:rPr>
        <w:t xml:space="preserve"> There is a comparitively minor decrease in visits to parks during the lockdowns, this may be attributed to the fact that regulations did not prohibit individuals from visiting this locations in any major way, and for many people goi</w:t>
      </w:r>
      <w:r>
        <w:rPr>
          <w:rStyle w:val="VerbatimChar"/>
        </w:rPr>
        <w:t>ng to parks was one of the few activities to be done during lockdowns.</w:t>
      </w:r>
    </w:p>
    <w:p w14:paraId="717A9610" w14:textId="77777777" w:rsidR="00DA17FE" w:rsidRDefault="00404AC4">
      <w:pPr>
        <w:pStyle w:val="FirstParagraph"/>
      </w:pPr>
      <w:r>
        <w:rPr>
          <w:noProof/>
        </w:rPr>
        <w:lastRenderedPageBreak/>
        <w:drawing>
          <wp:inline distT="0" distB="0" distL="0" distR="0" wp14:anchorId="22C53AB9" wp14:editId="036AA0C7">
            <wp:extent cx="5334000" cy="355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overall%20plots-5.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06DBC8AB" w14:textId="77777777" w:rsidR="00DA17FE" w:rsidRDefault="00404AC4">
      <w:pPr>
        <w:pStyle w:val="SourceCode"/>
      </w:pPr>
      <w:r>
        <w:rPr>
          <w:rStyle w:val="VerbatimChar"/>
        </w:rPr>
        <w:t>Similiar trends as before can be seen in this category; transit stations.</w:t>
      </w:r>
      <w:r>
        <w:br/>
      </w:r>
      <w:r>
        <w:rPr>
          <w:rStyle w:val="VerbatimChar"/>
        </w:rPr>
        <w:t xml:space="preserve"> Throughout the year visits to such stations never climbed back to the baseline value after the first lockdow</w:t>
      </w:r>
      <w:r>
        <w:rPr>
          <w:rStyle w:val="VerbatimChar"/>
        </w:rPr>
        <w:t>n, and we can see two sharp decreases during both lockdowns.</w:t>
      </w:r>
      <w:r>
        <w:br/>
      </w:r>
      <w:r>
        <w:rPr>
          <w:rStyle w:val="VerbatimChar"/>
        </w:rPr>
        <w:t xml:space="preserve"> This fact can likely be contributed to the reduced capacity of trains/buses and planes throughout the entire pandemic.</w:t>
      </w:r>
    </w:p>
    <w:p w14:paraId="38AE0E7B" w14:textId="77777777" w:rsidR="00DA17FE" w:rsidRDefault="00404AC4">
      <w:pPr>
        <w:pStyle w:val="FirstParagraph"/>
      </w:pPr>
      <w:r>
        <w:rPr>
          <w:noProof/>
        </w:rPr>
        <w:lastRenderedPageBreak/>
        <w:drawing>
          <wp:inline distT="0" distB="0" distL="0" distR="0" wp14:anchorId="2CA6B667" wp14:editId="12B06B88">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overall%20plots-6.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086E4DAB" w14:textId="77777777" w:rsidR="00DA17FE" w:rsidRDefault="00404AC4">
      <w:pPr>
        <w:pStyle w:val="SourceCode"/>
      </w:pPr>
      <w:r>
        <w:rPr>
          <w:rStyle w:val="VerbatimChar"/>
        </w:rPr>
        <w:t>Here we can see the mobility data for workplaces, which is lower than the</w:t>
      </w:r>
      <w:r>
        <w:rPr>
          <w:rStyle w:val="VerbatimChar"/>
        </w:rPr>
        <w:t xml:space="preserve"> baseline for value for almost all of the pandemic.</w:t>
      </w:r>
      <w:r>
        <w:br/>
      </w:r>
      <w:r>
        <w:rPr>
          <w:rStyle w:val="VerbatimChar"/>
        </w:rPr>
        <w:t xml:space="preserve"> There are two notable decreases during both lockdowns, and a general decrease every weekend throughout the year.</w:t>
      </w:r>
      <w:r>
        <w:br/>
      </w:r>
      <w:r>
        <w:rPr>
          <w:rStyle w:val="VerbatimChar"/>
        </w:rPr>
        <w:t xml:space="preserve"> The overall trend can likely be attributed the government restrictions which forced many </w:t>
      </w:r>
      <w:r>
        <w:rPr>
          <w:rStyle w:val="VerbatimChar"/>
        </w:rPr>
        <w:t>businesses to close during the lockdowns, and many non-essential workers to work from home when possible.</w:t>
      </w:r>
    </w:p>
    <w:p w14:paraId="0AA64974" w14:textId="77777777" w:rsidR="00DA17FE" w:rsidRDefault="00404AC4">
      <w:pPr>
        <w:pStyle w:val="FirstParagraph"/>
      </w:pPr>
      <w:r>
        <w:rPr>
          <w:noProof/>
        </w:rPr>
        <w:lastRenderedPageBreak/>
        <w:drawing>
          <wp:inline distT="0" distB="0" distL="0" distR="0" wp14:anchorId="1519F948" wp14:editId="207CED77">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overall%20plots-7.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285CA0B0" w14:textId="77777777" w:rsidR="00DA17FE" w:rsidRDefault="00404AC4">
      <w:pPr>
        <w:pStyle w:val="SourceCode"/>
      </w:pPr>
      <w:r>
        <w:rPr>
          <w:rStyle w:val="VerbatimChar"/>
        </w:rPr>
        <w:t>Finally we have the residential data, which is almost a reversed graph of the mobility data for workplaces.</w:t>
      </w:r>
      <w:r>
        <w:br/>
      </w:r>
      <w:r>
        <w:rPr>
          <w:rStyle w:val="VerbatimChar"/>
        </w:rPr>
        <w:t xml:space="preserve"> The value is higher than the baseline f</w:t>
      </w:r>
      <w:r>
        <w:rPr>
          <w:rStyle w:val="VerbatimChar"/>
        </w:rPr>
        <w:t>or almost the entirety of the year, with notable increases during both lockdowns.</w:t>
      </w:r>
      <w:r>
        <w:br/>
      </w:r>
      <w:r>
        <w:rPr>
          <w:rStyle w:val="VerbatimChar"/>
        </w:rPr>
        <w:t xml:space="preserve"> This can likely be attributed to the same factors as the workplace mobility data; a general closure of business and many non-essential workers operating from home.</w:t>
      </w:r>
    </w:p>
    <w:p w14:paraId="048D4699" w14:textId="77777777" w:rsidR="00DA17FE" w:rsidRDefault="00404AC4">
      <w:pPr>
        <w:pStyle w:val="SourceCode"/>
      </w:pPr>
      <w:r>
        <w:rPr>
          <w:rStyle w:val="VerbatimChar"/>
        </w:rPr>
        <w:t>Overall S</w:t>
      </w:r>
      <w:r>
        <w:rPr>
          <w:rStyle w:val="VerbatimChar"/>
        </w:rPr>
        <w:t>ummary Statistics</w:t>
      </w:r>
      <w:r>
        <w:br/>
      </w:r>
      <w:r>
        <w:rPr>
          <w:rStyle w:val="VerbatimChar"/>
        </w:rPr>
        <w:t xml:space="preserve"> </w:t>
      </w:r>
      <w:r>
        <w:br/>
      </w:r>
      <w:r>
        <w:rPr>
          <w:rStyle w:val="VerbatimChar"/>
        </w:rPr>
        <w:t xml:space="preserve">Mean number of deaths:  6.9 </w:t>
      </w:r>
      <w:r>
        <w:br/>
      </w:r>
      <w:r>
        <w:rPr>
          <w:rStyle w:val="VerbatimChar"/>
        </w:rPr>
        <w:t xml:space="preserve">Standard Deviation of deaths:  16.94 </w:t>
      </w:r>
    </w:p>
    <w:p w14:paraId="3ADA1A13" w14:textId="77777777" w:rsidR="00DA17FE" w:rsidRDefault="00404AC4">
      <w:pPr>
        <w:pStyle w:val="SourceCode"/>
      </w:pPr>
      <w:r>
        <w:rPr>
          <w:rStyle w:val="VerbatimChar"/>
        </w:rPr>
        <w:t>Mean change from baseline and standard deviation for each mobility category</w:t>
      </w:r>
    </w:p>
    <w:tbl>
      <w:tblPr>
        <w:tblStyle w:val="Table"/>
        <w:tblW w:w="0" w:type="auto"/>
        <w:jc w:val="center"/>
        <w:tblLayout w:type="fixed"/>
        <w:tblLook w:val="0420" w:firstRow="1" w:lastRow="0" w:firstColumn="0" w:lastColumn="0" w:noHBand="0" w:noVBand="1"/>
      </w:tblPr>
      <w:tblGrid>
        <w:gridCol w:w="2346"/>
        <w:gridCol w:w="3507"/>
        <w:gridCol w:w="2309"/>
      </w:tblGrid>
      <w:tr w:rsidR="00DA17FE" w14:paraId="08254E31" w14:textId="77777777">
        <w:trPr>
          <w:cantSplit/>
          <w:tblHeader/>
          <w:jc w:val="center"/>
        </w:trPr>
        <w:tc>
          <w:tcPr>
            <w:tcW w:w="234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C27111C" w14:textId="77777777" w:rsidR="00DA17FE" w:rsidRDefault="00404AC4">
            <w:pPr>
              <w:spacing w:before="60" w:after="60"/>
              <w:ind w:left="60" w:right="60"/>
            </w:pPr>
            <w:r>
              <w:rPr>
                <w:rFonts w:ascii="Helvetica" w:eastAsia="Helvetica" w:hAnsi="Helvetica" w:cs="Helvetica"/>
                <w:b/>
                <w:color w:val="000000"/>
                <w:sz w:val="22"/>
                <w:szCs w:val="22"/>
              </w:rPr>
              <w:t>Category</w:t>
            </w:r>
          </w:p>
        </w:tc>
        <w:tc>
          <w:tcPr>
            <w:tcW w:w="350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1C84094" w14:textId="77777777" w:rsidR="00DA17FE" w:rsidRDefault="00404AC4">
            <w:pPr>
              <w:spacing w:before="60" w:after="60"/>
              <w:ind w:left="60" w:right="60"/>
              <w:jc w:val="right"/>
            </w:pPr>
            <w:r>
              <w:rPr>
                <w:rFonts w:ascii="Helvetica" w:eastAsia="Helvetica" w:hAnsi="Helvetica" w:cs="Helvetica"/>
                <w:b/>
                <w:color w:val="000000"/>
                <w:sz w:val="22"/>
                <w:szCs w:val="22"/>
              </w:rPr>
              <w:t>Mean % Change from Baseline</w:t>
            </w:r>
          </w:p>
        </w:tc>
        <w:tc>
          <w:tcPr>
            <w:tcW w:w="230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A624CB3" w14:textId="77777777" w:rsidR="00DA17FE" w:rsidRDefault="00404AC4">
            <w:pPr>
              <w:spacing w:before="60" w:after="60"/>
              <w:ind w:left="60" w:right="60"/>
              <w:jc w:val="right"/>
            </w:pPr>
            <w:r>
              <w:rPr>
                <w:rFonts w:ascii="Helvetica" w:eastAsia="Helvetica" w:hAnsi="Helvetica" w:cs="Helvetica"/>
                <w:b/>
                <w:color w:val="000000"/>
                <w:sz w:val="22"/>
                <w:szCs w:val="22"/>
              </w:rPr>
              <w:t>Standard Deviation</w:t>
            </w:r>
          </w:p>
        </w:tc>
      </w:tr>
      <w:tr w:rsidR="00DA17FE" w14:paraId="7871D923" w14:textId="77777777">
        <w:trPr>
          <w:cantSplit/>
          <w:jc w:val="center"/>
        </w:trPr>
        <w:tc>
          <w:tcPr>
            <w:tcW w:w="2346" w:type="dxa"/>
            <w:tcBorders>
              <w:bottom w:val="single" w:sz="4" w:space="0" w:color="000000"/>
            </w:tcBorders>
            <w:shd w:val="clear" w:color="auto" w:fill="FFFFFF"/>
            <w:tcMar>
              <w:top w:w="0" w:type="dxa"/>
              <w:left w:w="0" w:type="dxa"/>
              <w:bottom w:w="0" w:type="dxa"/>
              <w:right w:w="0" w:type="dxa"/>
            </w:tcMar>
            <w:vAlign w:val="center"/>
          </w:tcPr>
          <w:p w14:paraId="1A355524" w14:textId="77777777" w:rsidR="00DA17FE" w:rsidRDefault="00404AC4">
            <w:pPr>
              <w:spacing w:before="60" w:after="60"/>
              <w:ind w:left="60" w:right="60"/>
            </w:pPr>
            <w:r>
              <w:rPr>
                <w:rFonts w:ascii="Helvetica" w:eastAsia="Helvetica" w:hAnsi="Helvetica" w:cs="Helvetica"/>
                <w:color w:val="000000"/>
                <w:sz w:val="22"/>
                <w:szCs w:val="22"/>
              </w:rPr>
              <w:t>Retail &amp; Recreation</w:t>
            </w:r>
          </w:p>
        </w:tc>
        <w:tc>
          <w:tcPr>
            <w:tcW w:w="3507" w:type="dxa"/>
            <w:tcBorders>
              <w:bottom w:val="single" w:sz="4" w:space="0" w:color="000000"/>
            </w:tcBorders>
            <w:shd w:val="clear" w:color="auto" w:fill="FFFFFF"/>
            <w:tcMar>
              <w:top w:w="0" w:type="dxa"/>
              <w:left w:w="0" w:type="dxa"/>
              <w:bottom w:w="0" w:type="dxa"/>
              <w:right w:w="0" w:type="dxa"/>
            </w:tcMar>
            <w:vAlign w:val="center"/>
          </w:tcPr>
          <w:p w14:paraId="0B10076B" w14:textId="77777777" w:rsidR="00DA17FE" w:rsidRDefault="00404AC4">
            <w:pPr>
              <w:spacing w:before="60" w:after="60"/>
              <w:ind w:left="60" w:right="60"/>
              <w:jc w:val="right"/>
            </w:pPr>
            <w:r>
              <w:rPr>
                <w:rFonts w:ascii="Helvetica" w:eastAsia="Helvetica" w:hAnsi="Helvetica" w:cs="Helvetica"/>
                <w:color w:val="FF0000"/>
                <w:sz w:val="22"/>
                <w:szCs w:val="22"/>
              </w:rPr>
              <w:t>-37.70</w:t>
            </w:r>
          </w:p>
        </w:tc>
        <w:tc>
          <w:tcPr>
            <w:tcW w:w="2309" w:type="dxa"/>
            <w:tcBorders>
              <w:bottom w:val="single" w:sz="4" w:space="0" w:color="000000"/>
            </w:tcBorders>
            <w:shd w:val="clear" w:color="auto" w:fill="FFFFFF"/>
            <w:tcMar>
              <w:top w:w="0" w:type="dxa"/>
              <w:left w:w="0" w:type="dxa"/>
              <w:bottom w:w="0" w:type="dxa"/>
              <w:right w:w="0" w:type="dxa"/>
            </w:tcMar>
            <w:vAlign w:val="center"/>
          </w:tcPr>
          <w:p w14:paraId="00F95656" w14:textId="77777777" w:rsidR="00DA17FE" w:rsidRDefault="00404AC4">
            <w:pPr>
              <w:spacing w:before="60" w:after="60"/>
              <w:ind w:left="60" w:right="60"/>
              <w:jc w:val="right"/>
            </w:pPr>
            <w:r>
              <w:rPr>
                <w:rFonts w:ascii="Helvetica" w:eastAsia="Helvetica" w:hAnsi="Helvetica" w:cs="Helvetica"/>
                <w:color w:val="000000"/>
                <w:sz w:val="22"/>
                <w:szCs w:val="22"/>
              </w:rPr>
              <w:t>24.0</w:t>
            </w:r>
          </w:p>
        </w:tc>
      </w:tr>
      <w:tr w:rsidR="00DA17FE" w14:paraId="408CC0BE"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42A400E3" w14:textId="77777777" w:rsidR="00DA17FE" w:rsidRDefault="00404AC4">
            <w:pPr>
              <w:spacing w:before="60" w:after="60"/>
              <w:ind w:left="60" w:right="60"/>
            </w:pPr>
            <w:r>
              <w:rPr>
                <w:rFonts w:ascii="Helvetica" w:eastAsia="Helvetica" w:hAnsi="Helvetica" w:cs="Helvetica"/>
                <w:color w:val="000000"/>
                <w:sz w:val="22"/>
                <w:szCs w:val="22"/>
              </w:rPr>
              <w:t>Grocery &amp; Pharmacy</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28C2DC82" w14:textId="77777777" w:rsidR="00DA17FE" w:rsidRDefault="00404AC4">
            <w:pPr>
              <w:spacing w:before="60" w:after="60"/>
              <w:ind w:left="60" w:right="60"/>
              <w:jc w:val="right"/>
            </w:pPr>
            <w:r>
              <w:rPr>
                <w:rFonts w:ascii="Helvetica" w:eastAsia="Helvetica" w:hAnsi="Helvetica" w:cs="Helvetica"/>
                <w:color w:val="FF0000"/>
                <w:sz w:val="22"/>
                <w:szCs w:val="22"/>
              </w:rPr>
              <w:t>-3.60</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56922B1C" w14:textId="77777777" w:rsidR="00DA17FE" w:rsidRDefault="00404AC4">
            <w:pPr>
              <w:spacing w:before="60" w:after="60"/>
              <w:ind w:left="60" w:right="60"/>
              <w:jc w:val="right"/>
            </w:pPr>
            <w:r>
              <w:rPr>
                <w:rFonts w:ascii="Helvetica" w:eastAsia="Helvetica" w:hAnsi="Helvetica" w:cs="Helvetica"/>
                <w:color w:val="000000"/>
                <w:sz w:val="22"/>
                <w:szCs w:val="22"/>
              </w:rPr>
              <w:t>9.8</w:t>
            </w:r>
          </w:p>
        </w:tc>
      </w:tr>
      <w:tr w:rsidR="00DA17FE" w14:paraId="1810FA1B"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72CAFE41" w14:textId="77777777" w:rsidR="00DA17FE" w:rsidRDefault="00404AC4">
            <w:pPr>
              <w:spacing w:before="60" w:after="60"/>
              <w:ind w:left="60" w:right="60"/>
            </w:pPr>
            <w:r>
              <w:rPr>
                <w:rFonts w:ascii="Helvetica" w:eastAsia="Helvetica" w:hAnsi="Helvetica" w:cs="Helvetica"/>
                <w:color w:val="000000"/>
                <w:sz w:val="22"/>
                <w:szCs w:val="22"/>
              </w:rPr>
              <w:t>Parks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7088FD85" w14:textId="77777777" w:rsidR="00DA17FE" w:rsidRDefault="00404AC4">
            <w:pPr>
              <w:spacing w:before="60" w:after="60"/>
              <w:ind w:left="60" w:right="60"/>
              <w:jc w:val="right"/>
            </w:pPr>
            <w:r>
              <w:rPr>
                <w:rFonts w:ascii="Helvetica" w:eastAsia="Helvetica" w:hAnsi="Helvetica" w:cs="Helvetica"/>
                <w:color w:val="71CA97"/>
                <w:sz w:val="22"/>
                <w:szCs w:val="22"/>
              </w:rPr>
              <w:t>14.06</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5272C589" w14:textId="77777777" w:rsidR="00DA17FE" w:rsidRDefault="00404AC4">
            <w:pPr>
              <w:spacing w:before="60" w:after="60"/>
              <w:ind w:left="60" w:right="60"/>
              <w:jc w:val="right"/>
            </w:pPr>
            <w:r>
              <w:rPr>
                <w:rFonts w:ascii="Helvetica" w:eastAsia="Helvetica" w:hAnsi="Helvetica" w:cs="Helvetica"/>
                <w:color w:val="000000"/>
                <w:sz w:val="22"/>
                <w:szCs w:val="22"/>
              </w:rPr>
              <w:t>40.0</w:t>
            </w:r>
          </w:p>
        </w:tc>
      </w:tr>
      <w:tr w:rsidR="00DA17FE" w14:paraId="701B44F4"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5E578F69" w14:textId="77777777" w:rsidR="00DA17FE" w:rsidRDefault="00404AC4">
            <w:pPr>
              <w:spacing w:before="60" w:after="60"/>
              <w:ind w:left="60" w:right="60"/>
            </w:pPr>
            <w:r>
              <w:rPr>
                <w:rFonts w:ascii="Helvetica" w:eastAsia="Helvetica" w:hAnsi="Helvetica" w:cs="Helvetica"/>
                <w:color w:val="000000"/>
                <w:sz w:val="22"/>
                <w:szCs w:val="22"/>
              </w:rPr>
              <w:t>Transit Stations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6025926C" w14:textId="77777777" w:rsidR="00DA17FE" w:rsidRDefault="00404AC4">
            <w:pPr>
              <w:spacing w:before="60" w:after="60"/>
              <w:ind w:left="60" w:right="60"/>
              <w:jc w:val="right"/>
            </w:pPr>
            <w:r>
              <w:rPr>
                <w:rFonts w:ascii="Helvetica" w:eastAsia="Helvetica" w:hAnsi="Helvetica" w:cs="Helvetica"/>
                <w:color w:val="FF0000"/>
                <w:sz w:val="22"/>
                <w:szCs w:val="22"/>
              </w:rPr>
              <w:t>-42.19</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1C6F2CED" w14:textId="77777777" w:rsidR="00DA17FE" w:rsidRDefault="00404AC4">
            <w:pPr>
              <w:spacing w:before="60" w:after="60"/>
              <w:ind w:left="60" w:right="60"/>
              <w:jc w:val="right"/>
            </w:pPr>
            <w:r>
              <w:rPr>
                <w:rFonts w:ascii="Helvetica" w:eastAsia="Helvetica" w:hAnsi="Helvetica" w:cs="Helvetica"/>
                <w:color w:val="000000"/>
                <w:sz w:val="22"/>
                <w:szCs w:val="22"/>
              </w:rPr>
              <w:t>18.0</w:t>
            </w:r>
          </w:p>
        </w:tc>
      </w:tr>
      <w:tr w:rsidR="00DA17FE" w14:paraId="7A799018"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61314212" w14:textId="77777777" w:rsidR="00DA17FE" w:rsidRDefault="00404AC4">
            <w:pPr>
              <w:spacing w:before="60" w:after="60"/>
              <w:ind w:left="60" w:right="60"/>
            </w:pPr>
            <w:r>
              <w:rPr>
                <w:rFonts w:ascii="Helvetica" w:eastAsia="Helvetica" w:hAnsi="Helvetica" w:cs="Helvetica"/>
                <w:color w:val="000000"/>
                <w:sz w:val="22"/>
                <w:szCs w:val="22"/>
              </w:rPr>
              <w:t>Workplaces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39C08914" w14:textId="77777777" w:rsidR="00DA17FE" w:rsidRDefault="00404AC4">
            <w:pPr>
              <w:spacing w:before="60" w:after="60"/>
              <w:ind w:left="60" w:right="60"/>
              <w:jc w:val="right"/>
            </w:pPr>
            <w:r>
              <w:rPr>
                <w:rFonts w:ascii="Helvetica" w:eastAsia="Helvetica" w:hAnsi="Helvetica" w:cs="Helvetica"/>
                <w:color w:val="FF0000"/>
                <w:sz w:val="22"/>
                <w:szCs w:val="22"/>
              </w:rPr>
              <w:t>-35.00</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2A578442" w14:textId="77777777" w:rsidR="00DA17FE" w:rsidRDefault="00404AC4">
            <w:pPr>
              <w:spacing w:before="60" w:after="60"/>
              <w:ind w:left="60" w:right="60"/>
              <w:jc w:val="right"/>
            </w:pPr>
            <w:r>
              <w:rPr>
                <w:rFonts w:ascii="Helvetica" w:eastAsia="Helvetica" w:hAnsi="Helvetica" w:cs="Helvetica"/>
                <w:color w:val="000000"/>
                <w:sz w:val="22"/>
                <w:szCs w:val="22"/>
              </w:rPr>
              <w:t>20.0</w:t>
            </w:r>
          </w:p>
        </w:tc>
      </w:tr>
      <w:tr w:rsidR="00DA17FE" w14:paraId="281EFD48" w14:textId="77777777">
        <w:trPr>
          <w:cantSplit/>
          <w:jc w:val="center"/>
        </w:trPr>
        <w:tc>
          <w:tcPr>
            <w:tcW w:w="2346"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2499EACC" w14:textId="77777777" w:rsidR="00DA17FE" w:rsidRDefault="00404AC4">
            <w:pPr>
              <w:spacing w:before="60" w:after="60"/>
              <w:ind w:left="60" w:right="60"/>
            </w:pPr>
            <w:r>
              <w:rPr>
                <w:rFonts w:ascii="Helvetica" w:eastAsia="Helvetica" w:hAnsi="Helvetica" w:cs="Helvetica"/>
                <w:color w:val="000000"/>
                <w:sz w:val="22"/>
                <w:szCs w:val="22"/>
              </w:rPr>
              <w:t>Residential</w:t>
            </w:r>
          </w:p>
        </w:tc>
        <w:tc>
          <w:tcPr>
            <w:tcW w:w="3507"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3FD1542C" w14:textId="77777777" w:rsidR="00DA17FE" w:rsidRDefault="00404AC4">
            <w:pPr>
              <w:spacing w:before="60" w:after="60"/>
              <w:ind w:left="60" w:right="60"/>
              <w:jc w:val="right"/>
            </w:pPr>
            <w:r>
              <w:rPr>
                <w:rFonts w:ascii="Helvetica" w:eastAsia="Helvetica" w:hAnsi="Helvetica" w:cs="Helvetica"/>
                <w:color w:val="71CA97"/>
                <w:sz w:val="22"/>
                <w:szCs w:val="22"/>
              </w:rPr>
              <w:t>13.57</w:t>
            </w:r>
          </w:p>
        </w:tc>
        <w:tc>
          <w:tcPr>
            <w:tcW w:w="2309"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5C970170" w14:textId="77777777" w:rsidR="00DA17FE" w:rsidRDefault="00404AC4">
            <w:pPr>
              <w:spacing w:before="60" w:after="60"/>
              <w:ind w:left="60" w:right="60"/>
              <w:jc w:val="right"/>
            </w:pPr>
            <w:r>
              <w:rPr>
                <w:rFonts w:ascii="Helvetica" w:eastAsia="Helvetica" w:hAnsi="Helvetica" w:cs="Helvetica"/>
                <w:color w:val="000000"/>
                <w:sz w:val="22"/>
                <w:szCs w:val="22"/>
              </w:rPr>
              <w:t>8.3</w:t>
            </w:r>
          </w:p>
        </w:tc>
      </w:tr>
    </w:tbl>
    <w:p w14:paraId="47E77398" w14:textId="77777777" w:rsidR="00DA17FE" w:rsidRDefault="00404AC4">
      <w:pPr>
        <w:pStyle w:val="SourceCode"/>
      </w:pPr>
      <w:r>
        <w:rPr>
          <w:rStyle w:val="VerbatimChar"/>
        </w:rPr>
        <w:t>This table shows us the mean/average change in visits compared to the baseline value for each category.</w:t>
      </w:r>
      <w:r>
        <w:br/>
      </w:r>
      <w:r>
        <w:rPr>
          <w:rStyle w:val="VerbatimChar"/>
        </w:rPr>
        <w:lastRenderedPageBreak/>
        <w:t xml:space="preserve"> Grocery &amp; pharmacy, parks and residential areas all had a positive mean value, whereas the other categories had a negative value.</w:t>
      </w:r>
      <w:r>
        <w:br/>
      </w:r>
      <w:r>
        <w:rPr>
          <w:rStyle w:val="VerbatimChar"/>
        </w:rPr>
        <w:t xml:space="preserve"> Transit Stations app</w:t>
      </w:r>
      <w:r>
        <w:rPr>
          <w:rStyle w:val="VerbatimChar"/>
        </w:rPr>
        <w:t>ear to be the 'hardest hit' by the pandemic, with the largest mean decrease.</w:t>
      </w:r>
      <w:r>
        <w:br/>
      </w:r>
      <w:r>
        <w:rPr>
          <w:rStyle w:val="VerbatimChar"/>
        </w:rPr>
        <w:t xml:space="preserve"> The least consistent trends have the highest standard deviation, and we can see park areas have the highest standard deviation.</w:t>
      </w:r>
      <w:r>
        <w:br/>
      </w:r>
      <w:r>
        <w:rPr>
          <w:rStyle w:val="VerbatimChar"/>
        </w:rPr>
        <w:t xml:space="preserve"> Conversely grocery &amp; pharmacy and residential hav</w:t>
      </w:r>
      <w:r>
        <w:rPr>
          <w:rStyle w:val="VerbatimChar"/>
        </w:rPr>
        <w:t>e much lower standard deviations, as their graphs are more consistent.</w:t>
      </w:r>
    </w:p>
    <w:p w14:paraId="154A7027" w14:textId="77777777" w:rsidR="00DA17FE" w:rsidRDefault="00404AC4">
      <w:pPr>
        <w:pStyle w:val="SourceCode"/>
      </w:pPr>
      <w:r>
        <w:rPr>
          <w:rStyle w:val="VerbatimChar"/>
        </w:rPr>
        <w:t>----------------First Lockdown Summary----------------</w:t>
      </w:r>
      <w:r>
        <w:br/>
      </w:r>
      <w:r>
        <w:rPr>
          <w:rStyle w:val="VerbatimChar"/>
        </w:rPr>
        <w:t xml:space="preserve"> The first lockdown took place between the 17th March 2019, and the 18th May 2019.</w:t>
      </w:r>
      <w:r>
        <w:br/>
      </w:r>
      <w:r>
        <w:rPr>
          <w:rStyle w:val="VerbatimChar"/>
        </w:rPr>
        <w:t xml:space="preserve"> Here we have closer view of this subset of the data, corresponding with the outlines regions in the plots above.</w:t>
      </w:r>
      <w:r>
        <w:br/>
      </w:r>
      <w:r>
        <w:rPr>
          <w:rStyle w:val="VerbatimChar"/>
        </w:rPr>
        <w:t xml:space="preserve"> Once again a simple barchart shows us the distribution of </w:t>
      </w:r>
      <w:r>
        <w:rPr>
          <w:rStyle w:val="VerbatimChar"/>
        </w:rPr>
        <w:t>COVID-19 attributed deaths throughout this lockdown.</w:t>
      </w:r>
      <w:r>
        <w:br/>
      </w:r>
      <w:r>
        <w:rPr>
          <w:rStyle w:val="VerbatimChar"/>
        </w:rPr>
        <w:t xml:space="preserve"> Also, we can see the change for each of the categories of the mobility data throughout the entire pandemic.</w:t>
      </w:r>
      <w:r>
        <w:br/>
      </w:r>
      <w:r>
        <w:rPr>
          <w:rStyle w:val="VerbatimChar"/>
        </w:rPr>
        <w:t xml:space="preserve"> </w:t>
      </w:r>
    </w:p>
    <w:p w14:paraId="63BD4B27" w14:textId="77777777" w:rsidR="00DA17FE" w:rsidRDefault="00404AC4">
      <w:pPr>
        <w:pStyle w:val="FirstParagraph"/>
      </w:pPr>
      <w:r>
        <w:rPr>
          <w:noProof/>
        </w:rPr>
        <w:drawing>
          <wp:inline distT="0" distB="0" distL="0" distR="0" wp14:anchorId="73AEAB72" wp14:editId="0EF41D9E">
            <wp:extent cx="5334000" cy="355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first%20lockdown%20plots-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6FF8FFD7" w14:textId="77777777" w:rsidR="00DA17FE" w:rsidRDefault="00404AC4">
      <w:pPr>
        <w:pStyle w:val="SourceCode"/>
      </w:pPr>
      <w:r>
        <w:rPr>
          <w:rStyle w:val="VerbatimChar"/>
        </w:rPr>
        <w:t>Here we can see the death count is initially low, and climbs to a peak in the center of th</w:t>
      </w:r>
      <w:r>
        <w:rPr>
          <w:rStyle w:val="VerbatimChar"/>
        </w:rPr>
        <w:t>e lockdown before lowering again</w:t>
      </w:r>
      <w:r>
        <w:br/>
      </w:r>
      <w:r>
        <w:rPr>
          <w:rStyle w:val="VerbatimChar"/>
        </w:rPr>
        <w:t xml:space="preserve"> We see again the outlier value of 234 on the 26th April here.</w:t>
      </w:r>
    </w:p>
    <w:p w14:paraId="3E7BD1CB" w14:textId="77777777" w:rsidR="00DA17FE" w:rsidRDefault="00404AC4">
      <w:pPr>
        <w:pStyle w:val="SourceCode"/>
      </w:pPr>
      <w:r>
        <w:rPr>
          <w:rStyle w:val="VerbatimChar"/>
        </w:rPr>
        <w:t>Here we see a density plot for each of the categories of the mobility data, throughout the first lockdown.</w:t>
      </w:r>
      <w:r>
        <w:br/>
      </w:r>
      <w:r>
        <w:rPr>
          <w:rStyle w:val="VerbatimChar"/>
        </w:rPr>
        <w:t xml:space="preserve"> These plots indicate the change in visits to certain areas, corresponding with each category.</w:t>
      </w:r>
    </w:p>
    <w:p w14:paraId="2F2C27CC" w14:textId="77777777" w:rsidR="00DA17FE" w:rsidRDefault="00404AC4">
      <w:pPr>
        <w:pStyle w:val="FirstParagraph"/>
      </w:pPr>
      <w:r>
        <w:rPr>
          <w:noProof/>
        </w:rPr>
        <w:lastRenderedPageBreak/>
        <w:drawing>
          <wp:inline distT="0" distB="0" distL="0" distR="0" wp14:anchorId="4620EAC6" wp14:editId="77DB867E">
            <wp:extent cx="5334000" cy="3556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first%20lockdown%20plots-2.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4BFF88C9" w14:textId="77777777" w:rsidR="00DA17FE" w:rsidRDefault="00404AC4">
      <w:pPr>
        <w:pStyle w:val="SourceCode"/>
      </w:pPr>
      <w:r>
        <w:rPr>
          <w:rStyle w:val="VerbatimChar"/>
        </w:rPr>
        <w:t>Visits to retail and recreational areas remained rel</w:t>
      </w:r>
      <w:r>
        <w:rPr>
          <w:rStyle w:val="VerbatimChar"/>
        </w:rPr>
        <w:t>atively uniform throughout the first lockdown, we can see the value observed was mostly in the [-50%,-75%] range.</w:t>
      </w:r>
      <w:r>
        <w:br/>
      </w:r>
      <w:r>
        <w:rPr>
          <w:rStyle w:val="VerbatimChar"/>
        </w:rPr>
        <w:t xml:space="preserve"> There is a notable decrease in visits visible in the centre of plot.</w:t>
      </w:r>
    </w:p>
    <w:p w14:paraId="252F7265" w14:textId="77777777" w:rsidR="00DA17FE" w:rsidRDefault="00404AC4">
      <w:pPr>
        <w:pStyle w:val="FirstParagraph"/>
      </w:pPr>
      <w:r>
        <w:rPr>
          <w:noProof/>
        </w:rPr>
        <w:drawing>
          <wp:inline distT="0" distB="0" distL="0" distR="0" wp14:anchorId="3BC38470" wp14:editId="56BC8F7B">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first%20lockdown%20plots-3.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28444B55" w14:textId="77777777" w:rsidR="00DA17FE" w:rsidRDefault="00404AC4">
      <w:pPr>
        <w:pStyle w:val="SourceCode"/>
      </w:pPr>
      <w:r>
        <w:rPr>
          <w:rStyle w:val="VerbatimChar"/>
        </w:rPr>
        <w:lastRenderedPageBreak/>
        <w:t>Here we can see the mobility data for grocery shops and pharmacies.</w:t>
      </w:r>
      <w:r>
        <w:br/>
      </w:r>
      <w:r>
        <w:rPr>
          <w:rStyle w:val="VerbatimChar"/>
        </w:rPr>
        <w:t xml:space="preserve"> T</w:t>
      </w:r>
      <w:r>
        <w:rPr>
          <w:rStyle w:val="VerbatimChar"/>
        </w:rPr>
        <w:t>his plot shows that visits to these locations were reasonably consistent throughout the lockdown, mostly in the range of [0,-25]</w:t>
      </w:r>
      <w:r>
        <w:br/>
      </w:r>
      <w:r>
        <w:rPr>
          <w:rStyle w:val="VerbatimChar"/>
        </w:rPr>
        <w:t xml:space="preserve"> There is a noticible sharp decrease around the 12th of April.</w:t>
      </w:r>
    </w:p>
    <w:p w14:paraId="5F0AD006" w14:textId="77777777" w:rsidR="00DA17FE" w:rsidRDefault="00404AC4">
      <w:pPr>
        <w:pStyle w:val="FirstParagraph"/>
      </w:pPr>
      <w:r>
        <w:rPr>
          <w:noProof/>
        </w:rPr>
        <w:drawing>
          <wp:inline distT="0" distB="0" distL="0" distR="0" wp14:anchorId="1AD956E0" wp14:editId="1EE68626">
            <wp:extent cx="5334000" cy="3556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first%20lockdown%20plots-4.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3CDB4F58" w14:textId="77777777" w:rsidR="00DA17FE" w:rsidRDefault="00404AC4">
      <w:pPr>
        <w:pStyle w:val="SourceCode"/>
      </w:pPr>
      <w:r>
        <w:rPr>
          <w:rStyle w:val="VerbatimChar"/>
        </w:rPr>
        <w:t>Next we have the mobility data for parks.</w:t>
      </w:r>
      <w:r>
        <w:br/>
      </w:r>
      <w:r>
        <w:rPr>
          <w:rStyle w:val="VerbatimChar"/>
        </w:rPr>
        <w:t xml:space="preserve"> The plot fluctuates</w:t>
      </w:r>
      <w:r>
        <w:rPr>
          <w:rStyle w:val="VerbatimChar"/>
        </w:rPr>
        <w:t xml:space="preserve"> wildy throughout the lockdown, with high peaks and low troughs, overall however there is a mean decrease.</w:t>
      </w:r>
      <w:r>
        <w:br/>
      </w:r>
      <w:r>
        <w:rPr>
          <w:rStyle w:val="VerbatimChar"/>
        </w:rPr>
        <w:t xml:space="preserve"> These comparitavely high fluctuations may corresond with weather/weekends, when conditions are pleasant many people head to these areas.</w:t>
      </w:r>
    </w:p>
    <w:p w14:paraId="447FC2A7" w14:textId="77777777" w:rsidR="00DA17FE" w:rsidRDefault="00404AC4">
      <w:pPr>
        <w:pStyle w:val="FirstParagraph"/>
      </w:pPr>
      <w:r>
        <w:rPr>
          <w:noProof/>
        </w:rPr>
        <w:lastRenderedPageBreak/>
        <w:drawing>
          <wp:inline distT="0" distB="0" distL="0" distR="0" wp14:anchorId="0CB5312E" wp14:editId="1E2C6F3B">
            <wp:extent cx="5334000" cy="3556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first%20lockdown%20plots-5.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14:paraId="745B58C8" w14:textId="77777777" w:rsidR="00DA17FE" w:rsidRDefault="00404AC4">
      <w:pPr>
        <w:pStyle w:val="SourceCode"/>
      </w:pPr>
      <w:r>
        <w:rPr>
          <w:rStyle w:val="VerbatimChar"/>
        </w:rPr>
        <w:t xml:space="preserve">Similiar </w:t>
      </w:r>
      <w:r>
        <w:rPr>
          <w:rStyle w:val="VerbatimChar"/>
        </w:rPr>
        <w:t>trends to the retail and recreational data can be seen in this category; transit stations.</w:t>
      </w:r>
      <w:r>
        <w:br/>
      </w:r>
      <w:r>
        <w:rPr>
          <w:rStyle w:val="VerbatimChar"/>
        </w:rPr>
        <w:t xml:space="preserve"> Throughout the first lockdown the decrease in visits to stations remained relatively constant, in the [-50%,-75%] range.</w:t>
      </w:r>
    </w:p>
    <w:p w14:paraId="6F69E1DF" w14:textId="77777777" w:rsidR="00DA17FE" w:rsidRDefault="00404AC4">
      <w:pPr>
        <w:pStyle w:val="FirstParagraph"/>
      </w:pPr>
      <w:r>
        <w:rPr>
          <w:noProof/>
        </w:rPr>
        <w:drawing>
          <wp:inline distT="0" distB="0" distL="0" distR="0" wp14:anchorId="29B3E2C8" wp14:editId="750FDCE8">
            <wp:extent cx="5334000" cy="3556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first%20lockdown%20plots-6.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p>
    <w:p w14:paraId="4C0B1389" w14:textId="77777777" w:rsidR="00DA17FE" w:rsidRDefault="00404AC4">
      <w:pPr>
        <w:pStyle w:val="SourceCode"/>
      </w:pPr>
      <w:r>
        <w:rPr>
          <w:rStyle w:val="VerbatimChar"/>
        </w:rPr>
        <w:lastRenderedPageBreak/>
        <w:t>Here we can see the mobility data for wor</w:t>
      </w:r>
      <w:r>
        <w:rPr>
          <w:rStyle w:val="VerbatimChar"/>
        </w:rPr>
        <w:t>kplaces, which exhibits a similiar trend to the overall data for this category.</w:t>
      </w:r>
      <w:r>
        <w:br/>
      </w:r>
      <w:r>
        <w:rPr>
          <w:rStyle w:val="VerbatimChar"/>
        </w:rPr>
        <w:t xml:space="preserve"> We can see a regular decrease in visits to these areas on weekends, reflective of the typical 5 day work week.</w:t>
      </w:r>
      <w:r>
        <w:br/>
      </w:r>
      <w:r>
        <w:rPr>
          <w:rStyle w:val="VerbatimChar"/>
        </w:rPr>
        <w:t xml:space="preserve"> This value is mianly distributed in the [-50%,-75%] range, simi</w:t>
      </w:r>
      <w:r>
        <w:rPr>
          <w:rStyle w:val="VerbatimChar"/>
        </w:rPr>
        <w:t>liar to transit stations and retail and recreational data.</w:t>
      </w:r>
    </w:p>
    <w:p w14:paraId="5FF93B6B" w14:textId="77777777" w:rsidR="00DA17FE" w:rsidRDefault="00404AC4">
      <w:pPr>
        <w:pStyle w:val="FirstParagraph"/>
      </w:pPr>
      <w:r>
        <w:rPr>
          <w:noProof/>
        </w:rPr>
        <w:drawing>
          <wp:inline distT="0" distB="0" distL="0" distR="0" wp14:anchorId="7C9AB0B4" wp14:editId="5579F67B">
            <wp:extent cx="5334000" cy="355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first%20lockdown%20plots-7.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p>
    <w:p w14:paraId="7769711A" w14:textId="77777777" w:rsidR="00DA17FE" w:rsidRDefault="00404AC4">
      <w:pPr>
        <w:pStyle w:val="SourceCode"/>
      </w:pPr>
      <w:r>
        <w:rPr>
          <w:rStyle w:val="VerbatimChar"/>
        </w:rPr>
        <w:t>Lastly we have the residential data, which is once again almost a reversed graph of the mobility data for workplaces.</w:t>
      </w:r>
      <w:r>
        <w:br/>
      </w:r>
      <w:r>
        <w:rPr>
          <w:rStyle w:val="VerbatimChar"/>
        </w:rPr>
        <w:t xml:space="preserve"> The value is higher than the baseline for the entirety of the first lockdown</w:t>
      </w:r>
      <w:r>
        <w:rPr>
          <w:rStyle w:val="VerbatimChar"/>
        </w:rPr>
        <w:t>, mostly in the [15%,30%] range.</w:t>
      </w:r>
    </w:p>
    <w:p w14:paraId="2324EE9B" w14:textId="77777777" w:rsidR="00DA17FE" w:rsidRDefault="00404AC4">
      <w:pPr>
        <w:pStyle w:val="SourceCode"/>
      </w:pPr>
      <w:r>
        <w:rPr>
          <w:rStyle w:val="VerbatimChar"/>
        </w:rPr>
        <w:t>Summary Statistics for first lockdown</w:t>
      </w:r>
      <w:r>
        <w:br/>
      </w:r>
      <w:r>
        <w:rPr>
          <w:rStyle w:val="VerbatimChar"/>
        </w:rPr>
        <w:t xml:space="preserve"> </w:t>
      </w:r>
      <w:r>
        <w:br/>
      </w:r>
      <w:r>
        <w:rPr>
          <w:rStyle w:val="VerbatimChar"/>
        </w:rPr>
        <w:t xml:space="preserve">Mean number of deaths:  24.46 </w:t>
      </w:r>
      <w:r>
        <w:br/>
      </w:r>
      <w:r>
        <w:rPr>
          <w:rStyle w:val="VerbatimChar"/>
        </w:rPr>
        <w:t xml:space="preserve">Standard Deviation of deaths:  31.28 </w:t>
      </w:r>
    </w:p>
    <w:p w14:paraId="5AE26309" w14:textId="77777777" w:rsidR="00DA17FE" w:rsidRDefault="00404AC4">
      <w:pPr>
        <w:pStyle w:val="SourceCode"/>
      </w:pPr>
      <w:r>
        <w:rPr>
          <w:rStyle w:val="VerbatimChar"/>
        </w:rPr>
        <w:t>This value is considerably higher the corresponding overall value, indicitave of the severity of the pandemic duri</w:t>
      </w:r>
      <w:r>
        <w:rPr>
          <w:rStyle w:val="VerbatimChar"/>
        </w:rPr>
        <w:t>ng this time of the year.</w:t>
      </w:r>
    </w:p>
    <w:p w14:paraId="39FE28FC" w14:textId="77777777" w:rsidR="00DA17FE" w:rsidRDefault="00404AC4">
      <w:pPr>
        <w:pStyle w:val="SourceCode"/>
      </w:pPr>
      <w:r>
        <w:rPr>
          <w:rStyle w:val="VerbatimChar"/>
        </w:rPr>
        <w:t>Mean change from baseline and standard deviation for each mobility category</w:t>
      </w:r>
    </w:p>
    <w:tbl>
      <w:tblPr>
        <w:tblStyle w:val="Table"/>
        <w:tblW w:w="0" w:type="auto"/>
        <w:jc w:val="center"/>
        <w:tblLayout w:type="fixed"/>
        <w:tblLook w:val="0420" w:firstRow="1" w:lastRow="0" w:firstColumn="0" w:lastColumn="0" w:noHBand="0" w:noVBand="1"/>
      </w:tblPr>
      <w:tblGrid>
        <w:gridCol w:w="2346"/>
        <w:gridCol w:w="3507"/>
        <w:gridCol w:w="2309"/>
      </w:tblGrid>
      <w:tr w:rsidR="00DA17FE" w14:paraId="49D95506" w14:textId="77777777">
        <w:trPr>
          <w:cantSplit/>
          <w:tblHeader/>
          <w:jc w:val="center"/>
        </w:trPr>
        <w:tc>
          <w:tcPr>
            <w:tcW w:w="234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67727C8" w14:textId="77777777" w:rsidR="00DA17FE" w:rsidRDefault="00404AC4">
            <w:pPr>
              <w:spacing w:before="60" w:after="60"/>
              <w:ind w:left="60" w:right="60"/>
            </w:pPr>
            <w:r>
              <w:rPr>
                <w:rFonts w:ascii="Helvetica" w:eastAsia="Helvetica" w:hAnsi="Helvetica" w:cs="Helvetica"/>
                <w:b/>
                <w:color w:val="000000"/>
                <w:sz w:val="22"/>
                <w:szCs w:val="22"/>
              </w:rPr>
              <w:t>Category</w:t>
            </w:r>
          </w:p>
        </w:tc>
        <w:tc>
          <w:tcPr>
            <w:tcW w:w="350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43E1481" w14:textId="77777777" w:rsidR="00DA17FE" w:rsidRDefault="00404AC4">
            <w:pPr>
              <w:spacing w:before="60" w:after="60"/>
              <w:ind w:left="60" w:right="60"/>
              <w:jc w:val="right"/>
            </w:pPr>
            <w:r>
              <w:rPr>
                <w:rFonts w:ascii="Helvetica" w:eastAsia="Helvetica" w:hAnsi="Helvetica" w:cs="Helvetica"/>
                <w:b/>
                <w:color w:val="000000"/>
                <w:sz w:val="22"/>
                <w:szCs w:val="22"/>
              </w:rPr>
              <w:t>Mean % Change from Baseline</w:t>
            </w:r>
          </w:p>
        </w:tc>
        <w:tc>
          <w:tcPr>
            <w:tcW w:w="230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5CA53B1B" w14:textId="77777777" w:rsidR="00DA17FE" w:rsidRDefault="00404AC4">
            <w:pPr>
              <w:spacing w:before="60" w:after="60"/>
              <w:ind w:left="60" w:right="60"/>
              <w:jc w:val="right"/>
            </w:pPr>
            <w:r>
              <w:rPr>
                <w:rFonts w:ascii="Helvetica" w:eastAsia="Helvetica" w:hAnsi="Helvetica" w:cs="Helvetica"/>
                <w:b/>
                <w:color w:val="000000"/>
                <w:sz w:val="22"/>
                <w:szCs w:val="22"/>
              </w:rPr>
              <w:t>Standard Deviation</w:t>
            </w:r>
          </w:p>
        </w:tc>
      </w:tr>
      <w:tr w:rsidR="00DA17FE" w14:paraId="74B56910" w14:textId="77777777">
        <w:trPr>
          <w:cantSplit/>
          <w:jc w:val="center"/>
        </w:trPr>
        <w:tc>
          <w:tcPr>
            <w:tcW w:w="2346" w:type="dxa"/>
            <w:tcBorders>
              <w:bottom w:val="single" w:sz="4" w:space="0" w:color="000000"/>
            </w:tcBorders>
            <w:shd w:val="clear" w:color="auto" w:fill="FFFFFF"/>
            <w:tcMar>
              <w:top w:w="0" w:type="dxa"/>
              <w:left w:w="0" w:type="dxa"/>
              <w:bottom w:w="0" w:type="dxa"/>
              <w:right w:w="0" w:type="dxa"/>
            </w:tcMar>
            <w:vAlign w:val="center"/>
          </w:tcPr>
          <w:p w14:paraId="319F9555" w14:textId="77777777" w:rsidR="00DA17FE" w:rsidRDefault="00404AC4">
            <w:pPr>
              <w:spacing w:before="60" w:after="60"/>
              <w:ind w:left="60" w:right="60"/>
            </w:pPr>
            <w:r>
              <w:rPr>
                <w:rFonts w:ascii="Helvetica" w:eastAsia="Helvetica" w:hAnsi="Helvetica" w:cs="Helvetica"/>
                <w:color w:val="000000"/>
                <w:sz w:val="22"/>
                <w:szCs w:val="22"/>
              </w:rPr>
              <w:t>Retail &amp; Recreation</w:t>
            </w:r>
          </w:p>
        </w:tc>
        <w:tc>
          <w:tcPr>
            <w:tcW w:w="3507" w:type="dxa"/>
            <w:tcBorders>
              <w:bottom w:val="single" w:sz="4" w:space="0" w:color="000000"/>
            </w:tcBorders>
            <w:shd w:val="clear" w:color="auto" w:fill="FFFFFF"/>
            <w:tcMar>
              <w:top w:w="0" w:type="dxa"/>
              <w:left w:w="0" w:type="dxa"/>
              <w:bottom w:w="0" w:type="dxa"/>
              <w:right w:w="0" w:type="dxa"/>
            </w:tcMar>
            <w:vAlign w:val="center"/>
          </w:tcPr>
          <w:p w14:paraId="5230A2AA" w14:textId="77777777" w:rsidR="00DA17FE" w:rsidRDefault="00404AC4">
            <w:pPr>
              <w:spacing w:before="60" w:after="60"/>
              <w:ind w:left="60" w:right="60"/>
              <w:jc w:val="right"/>
            </w:pPr>
            <w:r>
              <w:rPr>
                <w:rFonts w:ascii="Helvetica" w:eastAsia="Helvetica" w:hAnsi="Helvetica" w:cs="Helvetica"/>
                <w:color w:val="FF0000"/>
                <w:sz w:val="22"/>
                <w:szCs w:val="22"/>
              </w:rPr>
              <w:t>-72.19</w:t>
            </w:r>
          </w:p>
        </w:tc>
        <w:tc>
          <w:tcPr>
            <w:tcW w:w="2309" w:type="dxa"/>
            <w:tcBorders>
              <w:bottom w:val="single" w:sz="4" w:space="0" w:color="000000"/>
            </w:tcBorders>
            <w:shd w:val="clear" w:color="auto" w:fill="FFFFFF"/>
            <w:tcMar>
              <w:top w:w="0" w:type="dxa"/>
              <w:left w:w="0" w:type="dxa"/>
              <w:bottom w:w="0" w:type="dxa"/>
              <w:right w:w="0" w:type="dxa"/>
            </w:tcMar>
            <w:vAlign w:val="center"/>
          </w:tcPr>
          <w:p w14:paraId="2EDD23DC" w14:textId="77777777" w:rsidR="00DA17FE" w:rsidRDefault="00404AC4">
            <w:pPr>
              <w:spacing w:before="60" w:after="60"/>
              <w:ind w:left="60" w:right="60"/>
              <w:jc w:val="right"/>
            </w:pPr>
            <w:r>
              <w:rPr>
                <w:rFonts w:ascii="Helvetica" w:eastAsia="Helvetica" w:hAnsi="Helvetica" w:cs="Helvetica"/>
                <w:color w:val="000000"/>
                <w:sz w:val="22"/>
                <w:szCs w:val="22"/>
              </w:rPr>
              <w:t>10.0</w:t>
            </w:r>
          </w:p>
        </w:tc>
      </w:tr>
      <w:tr w:rsidR="00DA17FE" w14:paraId="2EF4D793"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6E8C8937" w14:textId="77777777" w:rsidR="00DA17FE" w:rsidRDefault="00404AC4">
            <w:pPr>
              <w:spacing w:before="60" w:after="60"/>
              <w:ind w:left="60" w:right="60"/>
            </w:pPr>
            <w:r>
              <w:rPr>
                <w:rFonts w:ascii="Helvetica" w:eastAsia="Helvetica" w:hAnsi="Helvetica" w:cs="Helvetica"/>
                <w:color w:val="000000"/>
                <w:sz w:val="22"/>
                <w:szCs w:val="22"/>
              </w:rPr>
              <w:t>Grocery &amp; Pharmacy</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2078ED4E" w14:textId="77777777" w:rsidR="00DA17FE" w:rsidRDefault="00404AC4">
            <w:pPr>
              <w:spacing w:before="60" w:after="60"/>
              <w:ind w:left="60" w:right="60"/>
              <w:jc w:val="right"/>
            </w:pPr>
            <w:r>
              <w:rPr>
                <w:rFonts w:ascii="Helvetica" w:eastAsia="Helvetica" w:hAnsi="Helvetica" w:cs="Helvetica"/>
                <w:color w:val="FF0000"/>
                <w:sz w:val="22"/>
                <w:szCs w:val="22"/>
              </w:rPr>
              <w:t>-18.46</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5A349995" w14:textId="77777777" w:rsidR="00DA17FE" w:rsidRDefault="00404AC4">
            <w:pPr>
              <w:spacing w:before="60" w:after="60"/>
              <w:ind w:left="60" w:right="60"/>
              <w:jc w:val="right"/>
            </w:pPr>
            <w:r>
              <w:rPr>
                <w:rFonts w:ascii="Helvetica" w:eastAsia="Helvetica" w:hAnsi="Helvetica" w:cs="Helvetica"/>
                <w:color w:val="000000"/>
                <w:sz w:val="22"/>
                <w:szCs w:val="22"/>
              </w:rPr>
              <w:t>8.6</w:t>
            </w:r>
          </w:p>
        </w:tc>
      </w:tr>
      <w:tr w:rsidR="00DA17FE" w14:paraId="2A60B4A5"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01FEF235" w14:textId="77777777" w:rsidR="00DA17FE" w:rsidRDefault="00404AC4">
            <w:pPr>
              <w:spacing w:before="60" w:after="60"/>
              <w:ind w:left="60" w:right="60"/>
            </w:pPr>
            <w:r>
              <w:rPr>
                <w:rFonts w:ascii="Helvetica" w:eastAsia="Helvetica" w:hAnsi="Helvetica" w:cs="Helvetica"/>
                <w:color w:val="000000"/>
                <w:sz w:val="22"/>
                <w:szCs w:val="22"/>
              </w:rPr>
              <w:t>Parks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2C9E7987" w14:textId="77777777" w:rsidR="00DA17FE" w:rsidRDefault="00404AC4">
            <w:pPr>
              <w:spacing w:before="60" w:after="60"/>
              <w:ind w:left="60" w:right="60"/>
              <w:jc w:val="right"/>
            </w:pPr>
            <w:r>
              <w:rPr>
                <w:rFonts w:ascii="Helvetica" w:eastAsia="Helvetica" w:hAnsi="Helvetica" w:cs="Helvetica"/>
                <w:color w:val="FF0000"/>
                <w:sz w:val="22"/>
                <w:szCs w:val="22"/>
              </w:rPr>
              <w:t>-12.57</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56A8F235" w14:textId="77777777" w:rsidR="00DA17FE" w:rsidRDefault="00404AC4">
            <w:pPr>
              <w:spacing w:before="60" w:after="60"/>
              <w:ind w:left="60" w:right="60"/>
              <w:jc w:val="right"/>
            </w:pPr>
            <w:r>
              <w:rPr>
                <w:rFonts w:ascii="Helvetica" w:eastAsia="Helvetica" w:hAnsi="Helvetica" w:cs="Helvetica"/>
                <w:color w:val="000000"/>
                <w:sz w:val="22"/>
                <w:szCs w:val="22"/>
              </w:rPr>
              <w:t>30.0</w:t>
            </w:r>
          </w:p>
        </w:tc>
      </w:tr>
      <w:tr w:rsidR="00DA17FE" w14:paraId="695FC314"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5AFEEC2A" w14:textId="77777777" w:rsidR="00DA17FE" w:rsidRDefault="00404AC4">
            <w:pPr>
              <w:spacing w:before="60" w:after="60"/>
              <w:ind w:left="60" w:right="60"/>
            </w:pPr>
            <w:r>
              <w:rPr>
                <w:rFonts w:ascii="Helvetica" w:eastAsia="Helvetica" w:hAnsi="Helvetica" w:cs="Helvetica"/>
                <w:color w:val="000000"/>
                <w:sz w:val="22"/>
                <w:szCs w:val="22"/>
              </w:rPr>
              <w:lastRenderedPageBreak/>
              <w:t>Transit Stations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00B6F961" w14:textId="77777777" w:rsidR="00DA17FE" w:rsidRDefault="00404AC4">
            <w:pPr>
              <w:spacing w:before="60" w:after="60"/>
              <w:ind w:left="60" w:right="60"/>
              <w:jc w:val="right"/>
            </w:pPr>
            <w:r>
              <w:rPr>
                <w:rFonts w:ascii="Helvetica" w:eastAsia="Helvetica" w:hAnsi="Helvetica" w:cs="Helvetica"/>
                <w:color w:val="FF0000"/>
                <w:sz w:val="22"/>
                <w:szCs w:val="22"/>
              </w:rPr>
              <w:t>-65.14</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0689A3DB" w14:textId="77777777" w:rsidR="00DA17FE" w:rsidRDefault="00404AC4">
            <w:pPr>
              <w:spacing w:before="60" w:after="60"/>
              <w:ind w:left="60" w:right="60"/>
              <w:jc w:val="right"/>
            </w:pPr>
            <w:r>
              <w:rPr>
                <w:rFonts w:ascii="Helvetica" w:eastAsia="Helvetica" w:hAnsi="Helvetica" w:cs="Helvetica"/>
                <w:color w:val="000000"/>
                <w:sz w:val="22"/>
                <w:szCs w:val="22"/>
              </w:rPr>
              <w:t>8.0</w:t>
            </w:r>
          </w:p>
        </w:tc>
      </w:tr>
      <w:tr w:rsidR="00DA17FE" w14:paraId="6D56D8EE"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19CBB649" w14:textId="77777777" w:rsidR="00DA17FE" w:rsidRDefault="00404AC4">
            <w:pPr>
              <w:spacing w:before="60" w:after="60"/>
              <w:ind w:left="60" w:right="60"/>
            </w:pPr>
            <w:r>
              <w:rPr>
                <w:rFonts w:ascii="Helvetica" w:eastAsia="Helvetica" w:hAnsi="Helvetica" w:cs="Helvetica"/>
                <w:color w:val="000000"/>
                <w:sz w:val="22"/>
                <w:szCs w:val="22"/>
              </w:rPr>
              <w:t>Workplaces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371CC4D8" w14:textId="77777777" w:rsidR="00DA17FE" w:rsidRDefault="00404AC4">
            <w:pPr>
              <w:spacing w:before="60" w:after="60"/>
              <w:ind w:left="60" w:right="60"/>
              <w:jc w:val="right"/>
            </w:pPr>
            <w:r>
              <w:rPr>
                <w:rFonts w:ascii="Helvetica" w:eastAsia="Helvetica" w:hAnsi="Helvetica" w:cs="Helvetica"/>
                <w:color w:val="FF0000"/>
                <w:sz w:val="22"/>
                <w:szCs w:val="22"/>
              </w:rPr>
              <w:t>-58.92</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65B86064" w14:textId="77777777" w:rsidR="00DA17FE" w:rsidRDefault="00404AC4">
            <w:pPr>
              <w:spacing w:before="60" w:after="60"/>
              <w:ind w:left="60" w:right="60"/>
              <w:jc w:val="right"/>
            </w:pPr>
            <w:r>
              <w:rPr>
                <w:rFonts w:ascii="Helvetica" w:eastAsia="Helvetica" w:hAnsi="Helvetica" w:cs="Helvetica"/>
                <w:color w:val="000000"/>
                <w:sz w:val="22"/>
                <w:szCs w:val="22"/>
              </w:rPr>
              <w:t>11.0</w:t>
            </w:r>
          </w:p>
        </w:tc>
      </w:tr>
      <w:tr w:rsidR="00DA17FE" w14:paraId="0A5D83CD" w14:textId="77777777">
        <w:trPr>
          <w:cantSplit/>
          <w:jc w:val="center"/>
        </w:trPr>
        <w:tc>
          <w:tcPr>
            <w:tcW w:w="2346"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37CD2549" w14:textId="77777777" w:rsidR="00DA17FE" w:rsidRDefault="00404AC4">
            <w:pPr>
              <w:spacing w:before="60" w:after="60"/>
              <w:ind w:left="60" w:right="60"/>
            </w:pPr>
            <w:r>
              <w:rPr>
                <w:rFonts w:ascii="Helvetica" w:eastAsia="Helvetica" w:hAnsi="Helvetica" w:cs="Helvetica"/>
                <w:color w:val="000000"/>
                <w:sz w:val="22"/>
                <w:szCs w:val="22"/>
              </w:rPr>
              <w:t>Residential</w:t>
            </w:r>
          </w:p>
        </w:tc>
        <w:tc>
          <w:tcPr>
            <w:tcW w:w="3507"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541C410D" w14:textId="77777777" w:rsidR="00DA17FE" w:rsidRDefault="00404AC4">
            <w:pPr>
              <w:spacing w:before="60" w:after="60"/>
              <w:ind w:left="60" w:right="60"/>
              <w:jc w:val="right"/>
            </w:pPr>
            <w:r>
              <w:rPr>
                <w:rFonts w:ascii="Helvetica" w:eastAsia="Helvetica" w:hAnsi="Helvetica" w:cs="Helvetica"/>
                <w:color w:val="71CA97"/>
                <w:sz w:val="22"/>
                <w:szCs w:val="22"/>
              </w:rPr>
              <w:t>25.17</w:t>
            </w:r>
          </w:p>
        </w:tc>
        <w:tc>
          <w:tcPr>
            <w:tcW w:w="2309"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5AF88043" w14:textId="77777777" w:rsidR="00DA17FE" w:rsidRDefault="00404AC4">
            <w:pPr>
              <w:spacing w:before="60" w:after="60"/>
              <w:ind w:left="60" w:right="60"/>
              <w:jc w:val="right"/>
            </w:pPr>
            <w:r>
              <w:rPr>
                <w:rFonts w:ascii="Helvetica" w:eastAsia="Helvetica" w:hAnsi="Helvetica" w:cs="Helvetica"/>
                <w:color w:val="000000"/>
                <w:sz w:val="22"/>
                <w:szCs w:val="22"/>
              </w:rPr>
              <w:t>5.3</w:t>
            </w:r>
          </w:p>
        </w:tc>
      </w:tr>
    </w:tbl>
    <w:p w14:paraId="409613CF" w14:textId="77777777" w:rsidR="00DA17FE" w:rsidRDefault="00404AC4">
      <w:pPr>
        <w:pStyle w:val="SourceCode"/>
      </w:pPr>
      <w:r>
        <w:rPr>
          <w:rStyle w:val="VerbatimChar"/>
        </w:rPr>
        <w:t>The only category with a mean positive change is residential, which is no suprise with so many non-essential workers operating from home.</w:t>
      </w:r>
      <w:r>
        <w:br/>
      </w:r>
      <w:r>
        <w:rPr>
          <w:rStyle w:val="VerbatimChar"/>
        </w:rPr>
        <w:t xml:space="preserve"> Here Retail and Recreation is hit the hardest, followed by transit stations and workplaces.</w:t>
      </w:r>
      <w:r>
        <w:br/>
      </w:r>
      <w:r>
        <w:rPr>
          <w:rStyle w:val="VerbatimChar"/>
        </w:rPr>
        <w:t xml:space="preserve"> </w:t>
      </w:r>
    </w:p>
    <w:p w14:paraId="5882B8DA" w14:textId="77777777" w:rsidR="00DA17FE" w:rsidRDefault="00404AC4">
      <w:pPr>
        <w:pStyle w:val="SourceCode"/>
      </w:pPr>
      <w:r>
        <w:rPr>
          <w:rStyle w:val="VerbatimChar"/>
        </w:rPr>
        <w:t xml:space="preserve">----------------Second </w:t>
      </w:r>
      <w:r>
        <w:rPr>
          <w:rStyle w:val="VerbatimChar"/>
        </w:rPr>
        <w:t>Lockdown Summary----------------</w:t>
      </w:r>
      <w:r>
        <w:br/>
      </w:r>
      <w:r>
        <w:rPr>
          <w:rStyle w:val="VerbatimChar"/>
        </w:rPr>
        <w:t xml:space="preserve"> The first lockdown took place between the 21st October 2019, and the 1st December 2019.</w:t>
      </w:r>
      <w:r>
        <w:br/>
      </w:r>
      <w:r>
        <w:rPr>
          <w:rStyle w:val="VerbatimChar"/>
        </w:rPr>
        <w:t xml:space="preserve"> Once again a simple barchart shows us the distribution of COVID-19 attributed deaths throughout this lockdown.</w:t>
      </w:r>
      <w:r>
        <w:br/>
      </w:r>
      <w:r>
        <w:rPr>
          <w:rStyle w:val="VerbatimChar"/>
        </w:rPr>
        <w:t xml:space="preserve"> Also, we can see the </w:t>
      </w:r>
      <w:r>
        <w:rPr>
          <w:rStyle w:val="VerbatimChar"/>
        </w:rPr>
        <w:t>change for each of the categories of the mobility data throughout the entire pandemic.</w:t>
      </w:r>
      <w:r>
        <w:br/>
      </w:r>
      <w:r>
        <w:rPr>
          <w:rStyle w:val="VerbatimChar"/>
        </w:rPr>
        <w:t xml:space="preserve"> </w:t>
      </w:r>
    </w:p>
    <w:p w14:paraId="29FA5611" w14:textId="77777777" w:rsidR="00DA17FE" w:rsidRDefault="00404AC4">
      <w:pPr>
        <w:pStyle w:val="FirstParagraph"/>
      </w:pPr>
      <w:r>
        <w:rPr>
          <w:noProof/>
        </w:rPr>
        <w:drawing>
          <wp:inline distT="0" distB="0" distL="0" distR="0" wp14:anchorId="42F1A7B9" wp14:editId="4BBC3248">
            <wp:extent cx="5334000" cy="3556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second%20lockdown%20plots-1.png"/>
                    <pic:cNvPicPr>
                      <a:picLocks noChangeAspect="1" noChangeArrowheads="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p>
    <w:p w14:paraId="03C49FF9" w14:textId="77777777" w:rsidR="00DA17FE" w:rsidRDefault="00404AC4">
      <w:pPr>
        <w:pStyle w:val="SourceCode"/>
      </w:pPr>
      <w:r>
        <w:rPr>
          <w:rStyle w:val="VerbatimChar"/>
        </w:rPr>
        <w:t>Here the range of the death count is considerably lower than the first lockdown, with no values greater than 20.</w:t>
      </w:r>
      <w:r>
        <w:br/>
      </w:r>
      <w:r>
        <w:rPr>
          <w:rStyle w:val="VerbatimChar"/>
        </w:rPr>
        <w:t xml:space="preserve"> Unlike the first lockdown there is no obvious bell </w:t>
      </w:r>
      <w:r>
        <w:rPr>
          <w:rStyle w:val="VerbatimChar"/>
        </w:rPr>
        <w:t>shape or general peak here, the death counts appear reasonably constant throughout the second lockdown.</w:t>
      </w:r>
    </w:p>
    <w:p w14:paraId="2939C61C" w14:textId="77777777" w:rsidR="00DA17FE" w:rsidRDefault="00404AC4">
      <w:pPr>
        <w:pStyle w:val="FirstParagraph"/>
      </w:pPr>
      <w:r>
        <w:rPr>
          <w:noProof/>
        </w:rPr>
        <w:lastRenderedPageBreak/>
        <w:drawing>
          <wp:inline distT="0" distB="0" distL="0" distR="0" wp14:anchorId="0DE1D857" wp14:editId="2C352F77">
            <wp:extent cx="5334000" cy="3556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second%20lockdown%20plots-2.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14:paraId="2871F1EC" w14:textId="77777777" w:rsidR="00DA17FE" w:rsidRDefault="00404AC4">
      <w:pPr>
        <w:pStyle w:val="SourceCode"/>
      </w:pPr>
      <w:r>
        <w:rPr>
          <w:rStyle w:val="VerbatimChar"/>
        </w:rPr>
        <w:t>Visits to retail and recreational areas remained relatively uniform throughout the second lockdown, we can see the value observed lies mostly around -</w:t>
      </w:r>
      <w:r>
        <w:rPr>
          <w:rStyle w:val="VerbatimChar"/>
        </w:rPr>
        <w:t>50%.</w:t>
      </w:r>
      <w:r>
        <w:br/>
      </w:r>
      <w:r>
        <w:rPr>
          <w:rStyle w:val="VerbatimChar"/>
        </w:rPr>
        <w:t xml:space="preserve"> It appears to be quite similiar to plot for the first lockdown, only with slighly less extreme values.</w:t>
      </w:r>
    </w:p>
    <w:p w14:paraId="365AA4BB" w14:textId="77777777" w:rsidR="00DA17FE" w:rsidRDefault="00404AC4">
      <w:pPr>
        <w:pStyle w:val="FirstParagraph"/>
      </w:pPr>
      <w:r>
        <w:rPr>
          <w:noProof/>
        </w:rPr>
        <w:drawing>
          <wp:inline distT="0" distB="0" distL="0" distR="0" wp14:anchorId="0F6AA201" wp14:editId="08D5B591">
            <wp:extent cx="5334000" cy="3556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second%20lockdown%20plots-3.png"/>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14:paraId="4E6E640A" w14:textId="77777777" w:rsidR="00DA17FE" w:rsidRDefault="00404AC4">
      <w:pPr>
        <w:pStyle w:val="SourceCode"/>
      </w:pPr>
      <w:r>
        <w:rPr>
          <w:rStyle w:val="VerbatimChar"/>
        </w:rPr>
        <w:lastRenderedPageBreak/>
        <w:t>Here we can see the mobility data for grocery shops and pharmacies.</w:t>
      </w:r>
      <w:r>
        <w:br/>
      </w:r>
      <w:r>
        <w:rPr>
          <w:rStyle w:val="VerbatimChar"/>
        </w:rPr>
        <w:t xml:space="preserve"> This plot shows that visits to these locations were reasonably consistent an</w:t>
      </w:r>
      <w:r>
        <w:rPr>
          <w:rStyle w:val="VerbatimChar"/>
        </w:rPr>
        <w:t>d conservative throughout the second lockdown, with relatively low peaks and throughs all lying in the [-25%,25%] range.</w:t>
      </w:r>
    </w:p>
    <w:p w14:paraId="7C009FC2" w14:textId="77777777" w:rsidR="00DA17FE" w:rsidRDefault="00404AC4">
      <w:pPr>
        <w:pStyle w:val="FirstParagraph"/>
      </w:pPr>
      <w:r>
        <w:rPr>
          <w:noProof/>
        </w:rPr>
        <w:drawing>
          <wp:inline distT="0" distB="0" distL="0" distR="0" wp14:anchorId="09A32DCE" wp14:editId="5420FF2B">
            <wp:extent cx="5334000" cy="355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second%20lockdown%20plots-4.png"/>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14:paraId="3EFDC44C" w14:textId="77777777" w:rsidR="00DA17FE" w:rsidRDefault="00404AC4">
      <w:pPr>
        <w:pStyle w:val="SourceCode"/>
      </w:pPr>
      <w:r>
        <w:rPr>
          <w:rStyle w:val="VerbatimChar"/>
        </w:rPr>
        <w:t>Next we have the mobility data for parks.</w:t>
      </w:r>
      <w:r>
        <w:br/>
      </w:r>
      <w:r>
        <w:rPr>
          <w:rStyle w:val="VerbatimChar"/>
        </w:rPr>
        <w:t xml:space="preserve"> The plot fluctuates wildy throughout the second lockdown, with high peaks and low troughs,</w:t>
      </w:r>
      <w:r>
        <w:rPr>
          <w:rStyle w:val="VerbatimChar"/>
        </w:rPr>
        <w:t xml:space="preserve"> similiar to the first lockdown and overall plots for this category.</w:t>
      </w:r>
      <w:r>
        <w:br/>
      </w:r>
      <w:r>
        <w:rPr>
          <w:rStyle w:val="VerbatimChar"/>
        </w:rPr>
        <w:t xml:space="preserve"> Unlike the first lockdown there appears to be no mean decrease in this plot, in other words there is a similiar area/density above and below the x-axis.</w:t>
      </w:r>
    </w:p>
    <w:p w14:paraId="286063F7" w14:textId="77777777" w:rsidR="00DA17FE" w:rsidRDefault="00404AC4">
      <w:pPr>
        <w:pStyle w:val="FirstParagraph"/>
      </w:pPr>
      <w:r>
        <w:rPr>
          <w:noProof/>
        </w:rPr>
        <w:lastRenderedPageBreak/>
        <w:drawing>
          <wp:inline distT="0" distB="0" distL="0" distR="0" wp14:anchorId="10E9EB77" wp14:editId="78FAFBB5">
            <wp:extent cx="5334000" cy="355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second%20lockdown%20plots-5.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14E7B1BB" w14:textId="77777777" w:rsidR="00DA17FE" w:rsidRDefault="00404AC4">
      <w:pPr>
        <w:pStyle w:val="SourceCode"/>
      </w:pPr>
      <w:r>
        <w:rPr>
          <w:rStyle w:val="VerbatimChar"/>
        </w:rPr>
        <w:t>Next we have the mobility data for transit stations.</w:t>
      </w:r>
      <w:r>
        <w:br/>
      </w:r>
      <w:r>
        <w:rPr>
          <w:rStyle w:val="VerbatimChar"/>
        </w:rPr>
        <w:t xml:space="preserve"> This plot is similiar to the corresponding first lockdown plot, with a relatively constant decrease in the range of [-50%,-75%].</w:t>
      </w:r>
    </w:p>
    <w:p w14:paraId="179A12DA" w14:textId="77777777" w:rsidR="00DA17FE" w:rsidRDefault="00404AC4">
      <w:pPr>
        <w:pStyle w:val="FirstParagraph"/>
      </w:pPr>
      <w:r>
        <w:rPr>
          <w:noProof/>
        </w:rPr>
        <w:drawing>
          <wp:inline distT="0" distB="0" distL="0" distR="0" wp14:anchorId="4F9759E5" wp14:editId="7C608BDE">
            <wp:extent cx="5334000" cy="3556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second%20lockdown%20plots-6.png"/>
                    <pic:cNvPicPr>
                      <a:picLocks noChangeAspect="1" noChangeArrowheads="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p>
    <w:p w14:paraId="0CD1E65A" w14:textId="77777777" w:rsidR="00DA17FE" w:rsidRDefault="00404AC4">
      <w:pPr>
        <w:pStyle w:val="SourceCode"/>
      </w:pPr>
      <w:r>
        <w:rPr>
          <w:rStyle w:val="VerbatimChar"/>
        </w:rPr>
        <w:lastRenderedPageBreak/>
        <w:t>Here we can see the mobility data for workplaces, which exhibits a simi</w:t>
      </w:r>
      <w:r>
        <w:rPr>
          <w:rStyle w:val="VerbatimChar"/>
        </w:rPr>
        <w:t>liar trend to the first lockdown and the overall data for this category.</w:t>
      </w:r>
      <w:r>
        <w:br/>
      </w:r>
      <w:r>
        <w:rPr>
          <w:rStyle w:val="VerbatimChar"/>
        </w:rPr>
        <w:t xml:space="preserve"> We can see a regular decrease in visits to these areas on weekends, reflective of the typical 5 day work week.</w:t>
      </w:r>
      <w:r>
        <w:br/>
      </w:r>
      <w:r>
        <w:rPr>
          <w:rStyle w:val="VerbatimChar"/>
        </w:rPr>
        <w:t xml:space="preserve"> This value is mianly distributed in the [-50%,-75%] range, similiar to</w:t>
      </w:r>
      <w:r>
        <w:rPr>
          <w:rStyle w:val="VerbatimChar"/>
        </w:rPr>
        <w:t xml:space="preserve"> transit stations and retail and recreational data.</w:t>
      </w:r>
    </w:p>
    <w:p w14:paraId="6B7EC42A" w14:textId="77777777" w:rsidR="00DA17FE" w:rsidRDefault="00404AC4">
      <w:pPr>
        <w:pStyle w:val="FirstParagraph"/>
      </w:pPr>
      <w:r>
        <w:rPr>
          <w:noProof/>
        </w:rPr>
        <w:drawing>
          <wp:inline distT="0" distB="0" distL="0" distR="0" wp14:anchorId="1EE2B026" wp14:editId="798C55E0">
            <wp:extent cx="5334000" cy="3556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ST417_Project_Visualisation_files/figure-docx/second%20lockdown%20plots-7.png"/>
                    <pic:cNvPicPr>
                      <a:picLocks noChangeAspect="1" noChangeArrowheads="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14:paraId="7938654F" w14:textId="77777777" w:rsidR="00DA17FE" w:rsidRDefault="00404AC4">
      <w:pPr>
        <w:pStyle w:val="SourceCode"/>
      </w:pPr>
      <w:r>
        <w:rPr>
          <w:rStyle w:val="VerbatimChar"/>
        </w:rPr>
        <w:t>Lastly we have the residential data, which is once again almost a reversed graph of the mobility data for workplaces.</w:t>
      </w:r>
      <w:r>
        <w:br/>
      </w:r>
      <w:r>
        <w:rPr>
          <w:rStyle w:val="VerbatimChar"/>
        </w:rPr>
        <w:t xml:space="preserve"> The value is higher than the baseline for the entirety of the second lockdown, mostly in the [15%,30%] range.</w:t>
      </w:r>
    </w:p>
    <w:p w14:paraId="039370D4" w14:textId="77777777" w:rsidR="00DA17FE" w:rsidRDefault="00404AC4">
      <w:pPr>
        <w:pStyle w:val="SourceCode"/>
      </w:pPr>
      <w:r>
        <w:rPr>
          <w:rStyle w:val="VerbatimChar"/>
        </w:rPr>
        <w:t>Summary Statistics for seco</w:t>
      </w:r>
      <w:r>
        <w:rPr>
          <w:rStyle w:val="VerbatimChar"/>
        </w:rPr>
        <w:t>nd lockdown</w:t>
      </w:r>
      <w:r>
        <w:br/>
      </w:r>
      <w:r>
        <w:rPr>
          <w:rStyle w:val="VerbatimChar"/>
        </w:rPr>
        <w:t xml:space="preserve"> </w:t>
      </w:r>
      <w:r>
        <w:br/>
      </w:r>
      <w:r>
        <w:rPr>
          <w:rStyle w:val="VerbatimChar"/>
        </w:rPr>
        <w:t xml:space="preserve">Mean number of deaths:  4.79 </w:t>
      </w:r>
      <w:r>
        <w:br/>
      </w:r>
      <w:r>
        <w:rPr>
          <w:rStyle w:val="VerbatimChar"/>
        </w:rPr>
        <w:t xml:space="preserve">Standard Deviation of deaths:  3.47 </w:t>
      </w:r>
    </w:p>
    <w:p w14:paraId="4A5C227F" w14:textId="77777777" w:rsidR="00DA17FE" w:rsidRDefault="00404AC4">
      <w:pPr>
        <w:pStyle w:val="SourceCode"/>
      </w:pPr>
      <w:r>
        <w:rPr>
          <w:rStyle w:val="VerbatimChar"/>
        </w:rPr>
        <w:t>This value is considerably lower than that of the first lockdown, and the corresponding overall value.</w:t>
      </w:r>
    </w:p>
    <w:p w14:paraId="4BA445CA" w14:textId="77777777" w:rsidR="00DA17FE" w:rsidRDefault="00404AC4">
      <w:pPr>
        <w:pStyle w:val="SourceCode"/>
      </w:pPr>
      <w:r>
        <w:rPr>
          <w:rStyle w:val="VerbatimChar"/>
        </w:rPr>
        <w:t>Mean change from baseline and standard deviation for each mobility categ</w:t>
      </w:r>
      <w:r>
        <w:rPr>
          <w:rStyle w:val="VerbatimChar"/>
        </w:rPr>
        <w:t>ory</w:t>
      </w:r>
    </w:p>
    <w:tbl>
      <w:tblPr>
        <w:tblStyle w:val="Table"/>
        <w:tblW w:w="0" w:type="auto"/>
        <w:jc w:val="center"/>
        <w:tblLayout w:type="fixed"/>
        <w:tblLook w:val="0420" w:firstRow="1" w:lastRow="0" w:firstColumn="0" w:lastColumn="0" w:noHBand="0" w:noVBand="1"/>
      </w:tblPr>
      <w:tblGrid>
        <w:gridCol w:w="2346"/>
        <w:gridCol w:w="3507"/>
        <w:gridCol w:w="2309"/>
      </w:tblGrid>
      <w:tr w:rsidR="00DA17FE" w14:paraId="46191123" w14:textId="77777777">
        <w:trPr>
          <w:cantSplit/>
          <w:tblHeader/>
          <w:jc w:val="center"/>
        </w:trPr>
        <w:tc>
          <w:tcPr>
            <w:tcW w:w="234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816468C" w14:textId="77777777" w:rsidR="00DA17FE" w:rsidRDefault="00404AC4">
            <w:pPr>
              <w:spacing w:before="60" w:after="60"/>
              <w:ind w:left="60" w:right="60"/>
            </w:pPr>
            <w:r>
              <w:rPr>
                <w:rFonts w:ascii="Helvetica" w:eastAsia="Helvetica" w:hAnsi="Helvetica" w:cs="Helvetica"/>
                <w:b/>
                <w:color w:val="000000"/>
                <w:sz w:val="22"/>
                <w:szCs w:val="22"/>
              </w:rPr>
              <w:t>Category</w:t>
            </w:r>
          </w:p>
        </w:tc>
        <w:tc>
          <w:tcPr>
            <w:tcW w:w="350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099D65D8" w14:textId="77777777" w:rsidR="00DA17FE" w:rsidRDefault="00404AC4">
            <w:pPr>
              <w:spacing w:before="60" w:after="60"/>
              <w:ind w:left="60" w:right="60"/>
              <w:jc w:val="right"/>
            </w:pPr>
            <w:r>
              <w:rPr>
                <w:rFonts w:ascii="Helvetica" w:eastAsia="Helvetica" w:hAnsi="Helvetica" w:cs="Helvetica"/>
                <w:b/>
                <w:color w:val="000000"/>
                <w:sz w:val="22"/>
                <w:szCs w:val="22"/>
              </w:rPr>
              <w:t>Mean % Change from Baseline</w:t>
            </w:r>
          </w:p>
        </w:tc>
        <w:tc>
          <w:tcPr>
            <w:tcW w:w="230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658C20B" w14:textId="77777777" w:rsidR="00DA17FE" w:rsidRDefault="00404AC4">
            <w:pPr>
              <w:spacing w:before="60" w:after="60"/>
              <w:ind w:left="60" w:right="60"/>
              <w:jc w:val="right"/>
            </w:pPr>
            <w:r>
              <w:rPr>
                <w:rFonts w:ascii="Helvetica" w:eastAsia="Helvetica" w:hAnsi="Helvetica" w:cs="Helvetica"/>
                <w:b/>
                <w:color w:val="000000"/>
                <w:sz w:val="22"/>
                <w:szCs w:val="22"/>
              </w:rPr>
              <w:t>Standard Deviation</w:t>
            </w:r>
          </w:p>
        </w:tc>
      </w:tr>
      <w:tr w:rsidR="00DA17FE" w14:paraId="30FBA493" w14:textId="77777777">
        <w:trPr>
          <w:cantSplit/>
          <w:jc w:val="center"/>
        </w:trPr>
        <w:tc>
          <w:tcPr>
            <w:tcW w:w="2346" w:type="dxa"/>
            <w:tcBorders>
              <w:bottom w:val="single" w:sz="4" w:space="0" w:color="000000"/>
            </w:tcBorders>
            <w:shd w:val="clear" w:color="auto" w:fill="FFFFFF"/>
            <w:tcMar>
              <w:top w:w="0" w:type="dxa"/>
              <w:left w:w="0" w:type="dxa"/>
              <w:bottom w:w="0" w:type="dxa"/>
              <w:right w:w="0" w:type="dxa"/>
            </w:tcMar>
            <w:vAlign w:val="center"/>
          </w:tcPr>
          <w:p w14:paraId="4AB35058" w14:textId="77777777" w:rsidR="00DA17FE" w:rsidRDefault="00404AC4">
            <w:pPr>
              <w:spacing w:before="60" w:after="60"/>
              <w:ind w:left="60" w:right="60"/>
            </w:pPr>
            <w:r>
              <w:rPr>
                <w:rFonts w:ascii="Helvetica" w:eastAsia="Helvetica" w:hAnsi="Helvetica" w:cs="Helvetica"/>
                <w:color w:val="000000"/>
                <w:sz w:val="22"/>
                <w:szCs w:val="22"/>
              </w:rPr>
              <w:t>Retail &amp; Recreation</w:t>
            </w:r>
          </w:p>
        </w:tc>
        <w:tc>
          <w:tcPr>
            <w:tcW w:w="3507" w:type="dxa"/>
            <w:tcBorders>
              <w:bottom w:val="single" w:sz="4" w:space="0" w:color="000000"/>
            </w:tcBorders>
            <w:shd w:val="clear" w:color="auto" w:fill="FFFFFF"/>
            <w:tcMar>
              <w:top w:w="0" w:type="dxa"/>
              <w:left w:w="0" w:type="dxa"/>
              <w:bottom w:w="0" w:type="dxa"/>
              <w:right w:w="0" w:type="dxa"/>
            </w:tcMar>
            <w:vAlign w:val="center"/>
          </w:tcPr>
          <w:p w14:paraId="5C1E17A2" w14:textId="77777777" w:rsidR="00DA17FE" w:rsidRDefault="00404AC4">
            <w:pPr>
              <w:spacing w:before="60" w:after="60"/>
              <w:ind w:left="60" w:right="60"/>
              <w:jc w:val="right"/>
            </w:pPr>
            <w:r>
              <w:rPr>
                <w:rFonts w:ascii="Helvetica" w:eastAsia="Helvetica" w:hAnsi="Helvetica" w:cs="Helvetica"/>
                <w:color w:val="FF0000"/>
                <w:sz w:val="22"/>
                <w:szCs w:val="22"/>
              </w:rPr>
              <w:t>-46.26</w:t>
            </w:r>
          </w:p>
        </w:tc>
        <w:tc>
          <w:tcPr>
            <w:tcW w:w="2309" w:type="dxa"/>
            <w:tcBorders>
              <w:bottom w:val="single" w:sz="4" w:space="0" w:color="000000"/>
            </w:tcBorders>
            <w:shd w:val="clear" w:color="auto" w:fill="FFFFFF"/>
            <w:tcMar>
              <w:top w:w="0" w:type="dxa"/>
              <w:left w:w="0" w:type="dxa"/>
              <w:bottom w:w="0" w:type="dxa"/>
              <w:right w:w="0" w:type="dxa"/>
            </w:tcMar>
            <w:vAlign w:val="center"/>
          </w:tcPr>
          <w:p w14:paraId="097D8FA0" w14:textId="77777777" w:rsidR="00DA17FE" w:rsidRDefault="00404AC4">
            <w:pPr>
              <w:spacing w:before="60" w:after="60"/>
              <w:ind w:left="60" w:right="60"/>
              <w:jc w:val="right"/>
            </w:pPr>
            <w:r>
              <w:rPr>
                <w:rFonts w:ascii="Helvetica" w:eastAsia="Helvetica" w:hAnsi="Helvetica" w:cs="Helvetica"/>
                <w:color w:val="000000"/>
                <w:sz w:val="22"/>
                <w:szCs w:val="22"/>
              </w:rPr>
              <w:t>9.3</w:t>
            </w:r>
          </w:p>
        </w:tc>
      </w:tr>
      <w:tr w:rsidR="00DA17FE" w14:paraId="0AECF8FC"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40E55EC3" w14:textId="77777777" w:rsidR="00DA17FE" w:rsidRDefault="00404AC4">
            <w:pPr>
              <w:spacing w:before="60" w:after="60"/>
              <w:ind w:left="60" w:right="60"/>
            </w:pPr>
            <w:r>
              <w:rPr>
                <w:rFonts w:ascii="Helvetica" w:eastAsia="Helvetica" w:hAnsi="Helvetica" w:cs="Helvetica"/>
                <w:color w:val="000000"/>
                <w:sz w:val="22"/>
                <w:szCs w:val="22"/>
              </w:rPr>
              <w:t>Grocery &amp; Pharmacy</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3A7143FE" w14:textId="77777777" w:rsidR="00DA17FE" w:rsidRDefault="00404AC4">
            <w:pPr>
              <w:spacing w:before="60" w:after="60"/>
              <w:ind w:left="60" w:right="60"/>
              <w:jc w:val="right"/>
            </w:pPr>
            <w:r>
              <w:rPr>
                <w:rFonts w:ascii="Helvetica" w:eastAsia="Helvetica" w:hAnsi="Helvetica" w:cs="Helvetica"/>
                <w:color w:val="FF0000"/>
                <w:sz w:val="22"/>
                <w:szCs w:val="22"/>
              </w:rPr>
              <w:t>-2.31</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264A495B" w14:textId="77777777" w:rsidR="00DA17FE" w:rsidRDefault="00404AC4">
            <w:pPr>
              <w:spacing w:before="60" w:after="60"/>
              <w:ind w:left="60" w:right="60"/>
              <w:jc w:val="right"/>
            </w:pPr>
            <w:r>
              <w:rPr>
                <w:rFonts w:ascii="Helvetica" w:eastAsia="Helvetica" w:hAnsi="Helvetica" w:cs="Helvetica"/>
                <w:color w:val="000000"/>
                <w:sz w:val="22"/>
                <w:szCs w:val="22"/>
              </w:rPr>
              <w:t>5.9</w:t>
            </w:r>
          </w:p>
        </w:tc>
      </w:tr>
      <w:tr w:rsidR="00DA17FE" w14:paraId="12924890"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4018959E" w14:textId="77777777" w:rsidR="00DA17FE" w:rsidRDefault="00404AC4">
            <w:pPr>
              <w:spacing w:before="60" w:after="60"/>
              <w:ind w:left="60" w:right="60"/>
            </w:pPr>
            <w:r>
              <w:rPr>
                <w:rFonts w:ascii="Helvetica" w:eastAsia="Helvetica" w:hAnsi="Helvetica" w:cs="Helvetica"/>
                <w:color w:val="000000"/>
                <w:sz w:val="22"/>
                <w:szCs w:val="22"/>
              </w:rPr>
              <w:t>Parks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0A309F79" w14:textId="77777777" w:rsidR="00DA17FE" w:rsidRDefault="00404AC4">
            <w:pPr>
              <w:spacing w:before="60" w:after="60"/>
              <w:ind w:left="60" w:right="60"/>
              <w:jc w:val="right"/>
            </w:pPr>
            <w:r>
              <w:rPr>
                <w:rFonts w:ascii="Helvetica" w:eastAsia="Helvetica" w:hAnsi="Helvetica" w:cs="Helvetica"/>
                <w:color w:val="71CA97"/>
                <w:sz w:val="22"/>
                <w:szCs w:val="22"/>
              </w:rPr>
              <w:t>0.62</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0662ACF8" w14:textId="77777777" w:rsidR="00DA17FE" w:rsidRDefault="00404AC4">
            <w:pPr>
              <w:spacing w:before="60" w:after="60"/>
              <w:ind w:left="60" w:right="60"/>
              <w:jc w:val="right"/>
            </w:pPr>
            <w:r>
              <w:rPr>
                <w:rFonts w:ascii="Helvetica" w:eastAsia="Helvetica" w:hAnsi="Helvetica" w:cs="Helvetica"/>
                <w:color w:val="000000"/>
                <w:sz w:val="22"/>
                <w:szCs w:val="22"/>
              </w:rPr>
              <w:t>17.0</w:t>
            </w:r>
          </w:p>
        </w:tc>
      </w:tr>
      <w:tr w:rsidR="00DA17FE" w14:paraId="767A3421"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10F68512" w14:textId="77777777" w:rsidR="00DA17FE" w:rsidRDefault="00404AC4">
            <w:pPr>
              <w:spacing w:before="60" w:after="60"/>
              <w:ind w:left="60" w:right="60"/>
            </w:pPr>
            <w:r>
              <w:rPr>
                <w:rFonts w:ascii="Helvetica" w:eastAsia="Helvetica" w:hAnsi="Helvetica" w:cs="Helvetica"/>
                <w:color w:val="000000"/>
                <w:sz w:val="22"/>
                <w:szCs w:val="22"/>
              </w:rPr>
              <w:lastRenderedPageBreak/>
              <w:t>Transit Stations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5C5BC553" w14:textId="77777777" w:rsidR="00DA17FE" w:rsidRDefault="00404AC4">
            <w:pPr>
              <w:spacing w:before="60" w:after="60"/>
              <w:ind w:left="60" w:right="60"/>
              <w:jc w:val="right"/>
            </w:pPr>
            <w:r>
              <w:rPr>
                <w:rFonts w:ascii="Helvetica" w:eastAsia="Helvetica" w:hAnsi="Helvetica" w:cs="Helvetica"/>
                <w:color w:val="FF0000"/>
                <w:sz w:val="22"/>
                <w:szCs w:val="22"/>
              </w:rPr>
              <w:t>-55.17</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47ADED6C" w14:textId="77777777" w:rsidR="00DA17FE" w:rsidRDefault="00404AC4">
            <w:pPr>
              <w:spacing w:before="60" w:after="60"/>
              <w:ind w:left="60" w:right="60"/>
              <w:jc w:val="right"/>
            </w:pPr>
            <w:r>
              <w:rPr>
                <w:rFonts w:ascii="Helvetica" w:eastAsia="Helvetica" w:hAnsi="Helvetica" w:cs="Helvetica"/>
                <w:color w:val="000000"/>
                <w:sz w:val="22"/>
                <w:szCs w:val="22"/>
              </w:rPr>
              <w:t>4.9</w:t>
            </w:r>
          </w:p>
        </w:tc>
      </w:tr>
      <w:tr w:rsidR="00DA17FE" w14:paraId="3D50EF07" w14:textId="77777777">
        <w:trPr>
          <w:cantSplit/>
          <w:jc w:val="center"/>
        </w:trPr>
        <w:tc>
          <w:tcPr>
            <w:tcW w:w="2346"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492EC568" w14:textId="77777777" w:rsidR="00DA17FE" w:rsidRDefault="00404AC4">
            <w:pPr>
              <w:spacing w:before="60" w:after="60"/>
              <w:ind w:left="60" w:right="60"/>
            </w:pPr>
            <w:r>
              <w:rPr>
                <w:rFonts w:ascii="Helvetica" w:eastAsia="Helvetica" w:hAnsi="Helvetica" w:cs="Helvetica"/>
                <w:color w:val="000000"/>
                <w:sz w:val="22"/>
                <w:szCs w:val="22"/>
              </w:rPr>
              <w:t>Workplaces</w:t>
            </w:r>
          </w:p>
        </w:tc>
        <w:tc>
          <w:tcPr>
            <w:tcW w:w="3507"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22580485" w14:textId="77777777" w:rsidR="00DA17FE" w:rsidRDefault="00404AC4">
            <w:pPr>
              <w:spacing w:before="60" w:after="60"/>
              <w:ind w:left="60" w:right="60"/>
              <w:jc w:val="right"/>
            </w:pPr>
            <w:r>
              <w:rPr>
                <w:rFonts w:ascii="Helvetica" w:eastAsia="Helvetica" w:hAnsi="Helvetica" w:cs="Helvetica"/>
                <w:color w:val="FF0000"/>
                <w:sz w:val="22"/>
                <w:szCs w:val="22"/>
              </w:rPr>
              <w:t>-34.00</w:t>
            </w:r>
          </w:p>
        </w:tc>
        <w:tc>
          <w:tcPr>
            <w:tcW w:w="2309" w:type="dxa"/>
            <w:tcBorders>
              <w:top w:val="single" w:sz="4" w:space="0" w:color="000000"/>
              <w:bottom w:val="single" w:sz="4" w:space="0" w:color="000000"/>
            </w:tcBorders>
            <w:shd w:val="clear" w:color="auto" w:fill="FFFFFF"/>
            <w:tcMar>
              <w:top w:w="0" w:type="dxa"/>
              <w:left w:w="0" w:type="dxa"/>
              <w:bottom w:w="0" w:type="dxa"/>
              <w:right w:w="0" w:type="dxa"/>
            </w:tcMar>
            <w:vAlign w:val="center"/>
          </w:tcPr>
          <w:p w14:paraId="25B21EB6" w14:textId="77777777" w:rsidR="00DA17FE" w:rsidRDefault="00404AC4">
            <w:pPr>
              <w:spacing w:before="60" w:after="60"/>
              <w:ind w:left="60" w:right="60"/>
              <w:jc w:val="right"/>
            </w:pPr>
            <w:r>
              <w:rPr>
                <w:rFonts w:ascii="Helvetica" w:eastAsia="Helvetica" w:hAnsi="Helvetica" w:cs="Helvetica"/>
                <w:color w:val="000000"/>
                <w:sz w:val="22"/>
                <w:szCs w:val="22"/>
              </w:rPr>
              <w:t>10.0</w:t>
            </w:r>
          </w:p>
        </w:tc>
      </w:tr>
      <w:tr w:rsidR="00DA17FE" w14:paraId="0DBE4FCF" w14:textId="77777777">
        <w:trPr>
          <w:cantSplit/>
          <w:jc w:val="center"/>
        </w:trPr>
        <w:tc>
          <w:tcPr>
            <w:tcW w:w="2346"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64EEC13F" w14:textId="77777777" w:rsidR="00DA17FE" w:rsidRDefault="00404AC4">
            <w:pPr>
              <w:spacing w:before="60" w:after="60"/>
              <w:ind w:left="60" w:right="60"/>
            </w:pPr>
            <w:r>
              <w:rPr>
                <w:rFonts w:ascii="Helvetica" w:eastAsia="Helvetica" w:hAnsi="Helvetica" w:cs="Helvetica"/>
                <w:color w:val="000000"/>
                <w:sz w:val="22"/>
                <w:szCs w:val="22"/>
              </w:rPr>
              <w:t>Residential</w:t>
            </w:r>
          </w:p>
        </w:tc>
        <w:tc>
          <w:tcPr>
            <w:tcW w:w="3507"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367888B2" w14:textId="77777777" w:rsidR="00DA17FE" w:rsidRDefault="00404AC4">
            <w:pPr>
              <w:spacing w:before="60" w:after="60"/>
              <w:ind w:left="60" w:right="60"/>
              <w:jc w:val="right"/>
            </w:pPr>
            <w:r>
              <w:rPr>
                <w:rFonts w:ascii="Helvetica" w:eastAsia="Helvetica" w:hAnsi="Helvetica" w:cs="Helvetica"/>
                <w:color w:val="71CA97"/>
                <w:sz w:val="22"/>
                <w:szCs w:val="22"/>
              </w:rPr>
              <w:t>14.90</w:t>
            </w:r>
          </w:p>
        </w:tc>
        <w:tc>
          <w:tcPr>
            <w:tcW w:w="2309" w:type="dxa"/>
            <w:tcBorders>
              <w:top w:val="single" w:sz="4" w:space="0" w:color="000000"/>
              <w:bottom w:val="single" w:sz="16" w:space="0" w:color="000000"/>
            </w:tcBorders>
            <w:shd w:val="clear" w:color="auto" w:fill="FFFFFF"/>
            <w:tcMar>
              <w:top w:w="0" w:type="dxa"/>
              <w:left w:w="0" w:type="dxa"/>
              <w:bottom w:w="0" w:type="dxa"/>
              <w:right w:w="0" w:type="dxa"/>
            </w:tcMar>
            <w:vAlign w:val="center"/>
          </w:tcPr>
          <w:p w14:paraId="4920E357" w14:textId="77777777" w:rsidR="00DA17FE" w:rsidRDefault="00404AC4">
            <w:pPr>
              <w:spacing w:before="60" w:after="60"/>
              <w:ind w:left="60" w:right="60"/>
              <w:jc w:val="right"/>
            </w:pPr>
            <w:r>
              <w:rPr>
                <w:rFonts w:ascii="Helvetica" w:eastAsia="Helvetica" w:hAnsi="Helvetica" w:cs="Helvetica"/>
                <w:color w:val="000000"/>
                <w:sz w:val="22"/>
                <w:szCs w:val="22"/>
              </w:rPr>
              <w:t>3.2</w:t>
            </w:r>
          </w:p>
        </w:tc>
      </w:tr>
    </w:tbl>
    <w:p w14:paraId="59086B73" w14:textId="77777777" w:rsidR="00DA17FE" w:rsidRDefault="00404AC4">
      <w:pPr>
        <w:pStyle w:val="SourceCode"/>
      </w:pPr>
      <w:r>
        <w:rPr>
          <w:rStyle w:val="VerbatimChar"/>
        </w:rPr>
        <w:t>Once again the 'hardest hit' categories are transit stations and retail and recreational.</w:t>
      </w:r>
      <w:r>
        <w:br/>
      </w:r>
      <w:r>
        <w:rPr>
          <w:rStyle w:val="VerbatimChar"/>
        </w:rPr>
        <w:t xml:space="preserve"> Parks show a roughly equal value to the baseline, along with grocery and pharmacy, however parks still have a high standard deviation</w:t>
      </w:r>
      <w:r>
        <w:br/>
      </w:r>
      <w:r>
        <w:rPr>
          <w:rStyle w:val="VerbatimChar"/>
        </w:rPr>
        <w:t xml:space="preserve"> </w:t>
      </w:r>
    </w:p>
    <w:sectPr w:rsidR="00DA17F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B5903" w14:textId="77777777" w:rsidR="00404AC4" w:rsidRDefault="00404AC4">
      <w:pPr>
        <w:spacing w:after="0"/>
      </w:pPr>
      <w:r>
        <w:separator/>
      </w:r>
    </w:p>
  </w:endnote>
  <w:endnote w:type="continuationSeparator" w:id="0">
    <w:p w14:paraId="68FFB9F7" w14:textId="77777777" w:rsidR="00404AC4" w:rsidRDefault="00404A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740BDD" w14:textId="77777777" w:rsidR="00404AC4" w:rsidRDefault="00404AC4">
      <w:r>
        <w:separator/>
      </w:r>
    </w:p>
  </w:footnote>
  <w:footnote w:type="continuationSeparator" w:id="0">
    <w:p w14:paraId="32039371" w14:textId="77777777" w:rsidR="00404AC4" w:rsidRDefault="00404A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960E4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04AC4"/>
    <w:rsid w:val="004E29B3"/>
    <w:rsid w:val="00590D07"/>
    <w:rsid w:val="00784D58"/>
    <w:rsid w:val="008D6863"/>
    <w:rsid w:val="00B86B75"/>
    <w:rsid w:val="00BC48D5"/>
    <w:rsid w:val="00C36279"/>
    <w:rsid w:val="00DA17FE"/>
    <w:rsid w:val="00E315A3"/>
    <w:rsid w:val="00F508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17F99D"/>
  <w15:docId w15:val="{2735CC6F-3C27-6A4C-9BA1-3833CE75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1681</Words>
  <Characters>9582</Characters>
  <Application>Microsoft Office Word</Application>
  <DocSecurity>0</DocSecurity>
  <Lines>79</Lines>
  <Paragraphs>22</Paragraphs>
  <ScaleCrop>false</ScaleCrop>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ST417 Project Visualisation</dc:title>
  <dc:creator>Oisín Hodgins</dc:creator>
  <cp:keywords/>
  <cp:lastModifiedBy>Hodgins, Margaret</cp:lastModifiedBy>
  <cp:revision>2</cp:revision>
  <dcterms:created xsi:type="dcterms:W3CDTF">2021-01-15T15:34:00Z</dcterms:created>
  <dcterms:modified xsi:type="dcterms:W3CDTF">2021-01-15T15:34:00Z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12/21/2020</vt:lpwstr>
  </property>
  <property fmtid="{D5CDD505-2E9C-101B-9397-08002B2CF9AE}" pid="3" name="output">
    <vt:lpwstr/>
  </property>
</Properties>
</file>