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ex_linkml_schemas_artifacts_guid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MOEX LinkML Schemas Artifacts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назначе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Назначение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Этот документ предназначен для разработчиков, сопровождающих репозиторий модели данных MOEX на базе LinkML. Он описывает, как оформлять каталог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</w:t>
      </w:r>
      <w:r>
        <w:rPr>
          <w:rFonts w:eastAsia="source serif 4" w:cs="source serif 4" w:ascii="source serif 4" w:hAnsi="source serif 4"/>
          <w:color w:val="000000"/>
        </w:rPr>
        <w:t xml:space="preserve">, где задаётся иерархия артефактов, где хранится их описание и как это должно быть связано с метамоделью, сборкой и стандартом моделирования.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Корпоративная модель данных MOEX рассматривается как единая машиночитаемая структура, включающая концептуальный, логический и физический уровни, а метамодель задаёт объекты управления и связи между ними.[file:189][file:177] Поэтому файловая организация артефактов должна быть формализована и воспроизводима, но не должна подменять семантическую структуру самой модели.[file:189]</w:t>
      </w:r>
    </w:p>
    <w:p>
      <w:pPr>
        <w:spacing w:line="360" w:before="315" w:after="105" w:lineRule="auto"/>
        <w:ind w:left="-30"/>
        <w:jc w:val="left"/>
      </w:pPr>
      <w:bookmarkStart w:id="2" w:name="основной_принцип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Основной принцип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Иерархия артефактов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Fonts w:eastAsia="source serif 4" w:cs="source serif 4" w:ascii="source serif 4" w:hAnsi="source serif 4"/>
          <w:b/>
          <w:color w:val="000000"/>
        </w:rPr>
        <w:t xml:space="preserve">не задаётся только папками</w:t>
      </w:r>
      <w:r>
        <w:rPr>
          <w:rFonts w:eastAsia="source serif 4" w:cs="source serif 4" w:ascii="source serif 4" w:hAnsi="source serif 4"/>
          <w:color w:val="000000"/>
        </w:rPr>
        <w:t xml:space="preserve">. Папки являются удобной организацией репозитория, но нормативная структура должна быть выражена одновременно в трёх формах: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дереве каталогов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машиночитаемом реестре артефактов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schemas/registry.yaml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заголовках самих LinkML-модулей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title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description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Такой подход согласуется с общей идеей MOEX: модель данных должна быть не просто документом, а машиночитаемой системой описания данных, связанной с другими доменами архитектуры и пригодной для автоматического контроля.[file:176][file:177][file:189]</w:t>
      </w:r>
    </w:p>
    <w:p>
      <w:pPr>
        <w:spacing w:line="360" w:before="315" w:after="105" w:lineRule="auto"/>
        <w:ind w:left="-30"/>
        <w:jc w:val="left"/>
      </w:pPr>
      <w:bookmarkStart w:id="3" w:name="что_именно_считается_иерархие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именно считается иерархией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Нужно различать четыре разных вида структуры.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Вид структуры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Где задаётся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Для чего нужна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Файловая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Каталог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schemas/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и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registry.yaml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Организация репозитория и сборки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Техническая зависимость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внутри LinkML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Управление загрузкой и компиляцией схем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Семантическая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classes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is_a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mixins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slot_usage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ссылки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Описание смысла модели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Жизненный цикл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registry.yaml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Git, release process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Управление версиями и статусом артефактов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Ключевое правило: </w:t>
      </w:r>
      <w:r>
        <w:rPr>
          <w:rFonts w:eastAsia="source serif 4" w:cs="source serif 4" w:ascii="source serif 4" w:hAnsi="source serif 4"/>
          <w:b/>
          <w:color w:val="000000"/>
        </w:rPr>
        <w:t xml:space="preserve">файловая иерархия не должна трактоваться как семантическая модель</w:t>
      </w:r>
      <w:r>
        <w:rPr>
          <w:rFonts w:eastAsia="source serif 4" w:cs="source serif 4" w:ascii="source serif 4" w:hAnsi="source serif 4"/>
          <w:color w:val="000000"/>
        </w:rPr>
        <w:t xml:space="preserve">. Семантика задаётся в самой метамодели через классы, связи и наследование; в MOEX это особенно важно, потому что логический уровень связывается как с концептуальным, так и с физическим уровнем, а концептуальная сущность может выступать как абстрактный класс для логических реализаций.[file:189]</w:t>
      </w:r>
    </w:p>
    <w:p>
      <w:pPr>
        <w:spacing w:line="360" w:before="315" w:after="105" w:lineRule="auto"/>
        <w:ind w:left="-30"/>
        <w:jc w:val="left"/>
      </w:pPr>
      <w:bookmarkStart w:id="4" w:name="рекомендуемая_структура_каталог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Рекомендуемая структура каталога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Базовая структура каталога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</w:t>
      </w:r>
      <w:r>
        <w:rPr>
          <w:rFonts w:eastAsia="source serif 4" w:cs="source serif 4" w:ascii="source serif 4" w:hAnsi="source serif 4"/>
          <w:color w:val="000000"/>
        </w:rPr>
        <w:t xml:space="preserve"> должна быть следующей: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schemas/</w:t>
        <w:br/>
        <w:t xml:space="preserve">├── registry.yaml</w:t>
        <w:br/>
        <w:t xml:space="preserve">├── README.md</w:t>
        <w:br/>
        <w:t xml:space="preserve">├── moex-mdms.yaml</w:t>
        <w:br/>
        <w:t xml:space="preserve">├── core/</w:t>
        <w:br/>
        <w:t xml:space="preserve">│   ├── core-types.yaml</w:t>
        <w:br/>
        <w:t xml:space="preserve">│   ├── identifiers.yaml</w:t>
        <w:br/>
        <w:t xml:space="preserve">│   ├── common-enums.yaml</w:t>
        <w:br/>
        <w:t xml:space="preserve">│   └── annotations.yaml</w:t>
        <w:br/>
        <w:t xml:space="preserve">├── metamodel/</w:t>
        <w:br/>
        <w:t xml:space="preserve">│   ├── model-package.yaml</w:t>
        <w:br/>
        <w:t xml:space="preserve">│   ├── conceptual-model.yaml</w:t>
        <w:br/>
        <w:t xml:space="preserve">│   ├── logical-model.yaml</w:t>
        <w:br/>
        <w:t xml:space="preserve">│   ├── physical-model.yaml</w:t>
        <w:br/>
        <w:t xml:space="preserve">│   ├── mapping-model.yaml</w:t>
        <w:br/>
        <w:t xml:space="preserve">│   └── governance-model.yaml</w:t>
        <w:br/>
        <w:t xml:space="preserve">├── profiles/</w:t>
        <w:br/>
        <w:t xml:space="preserve">│   ├── corporate-model.yaml</w:t>
        <w:br/>
        <w:t xml:space="preserve">│   ├── solution-model.yaml</w:t>
        <w:br/>
        <w:t xml:space="preserve">│   ├── integration-model.yaml</w:t>
        <w:br/>
        <w:t xml:space="preserve">│   └── data-contract-model.yaml</w:t>
        <w:br/>
        <w:t xml:space="preserve">├── policies/</w:t>
        <w:br/>
        <w:t xml:space="preserve">│   ├── naming-policy.yaml</w:t>
        <w:br/>
        <w:t xml:space="preserve">│   ├── compatibility-policy.yaml</w:t>
        <w:br/>
        <w:t xml:space="preserve">│   ├── classification-policy.yaml</w:t>
        <w:br/>
        <w:t xml:space="preserve">│   └── quality-rules.yaml</w:t>
        <w:br/>
        <w:t xml:space="preserve">└── external/</w:t>
        <w:br/>
        <w:t xml:space="preserve">    ├── eam.yaml</w:t>
        <w:br/>
        <w:t xml:space="preserve">    ├── clinkr.yaml</w:t>
        <w:br/>
        <w:t xml:space="preserve">    ├── data-catalog.yaml</w:t>
        <w:br/>
        <w:t xml:space="preserve">    └── glossary.yaml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Эта структура отражает задачи референтной архитектуры MOEX: выделение объектов управления, формализацию метамодели, связь с интеграциями, каталогом данных, политиками и другими доменами архитектуры предприятия.[file:177][file:176]</w:t>
      </w:r>
    </w:p>
    <w:p>
      <w:pPr>
        <w:spacing w:line="360" w:before="315" w:after="105" w:lineRule="auto"/>
        <w:ind w:left="-30"/>
        <w:jc w:val="left"/>
      </w:pPr>
      <w:bookmarkStart w:id="5" w:name="назначение_ключевых_артефакт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Назначение ключевых артефактов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schemas_registry_yaml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schemas/registry.yaml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главный машиночитаемый реестр каталога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</w:t>
      </w:r>
      <w:r>
        <w:rPr>
          <w:rFonts w:eastAsia="source serif 4" w:cs="source serif 4" w:ascii="source serif 4" w:hAnsi="source serif 4"/>
          <w:color w:val="000000"/>
        </w:rPr>
        <w:t xml:space="preserve">. Именно он задаёт формальную иерархию артефактов, их принадлежность к пакетам, статус, владельца, зависимости и назначение.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Он должен отвечать на вопросы: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артефакты вообще существуют;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 какому пакету относится артефакт;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какой у артефакта тип;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какой файл является точкой входа;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 чего зависит артефакт;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кто им владеет;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каком статусе он находится.</w:t>
      </w:r>
    </w:p>
    <w:p>
      <w:pPr>
        <w:spacing w:line="360" w:before="315" w:after="105" w:lineRule="auto"/>
        <w:ind w:left="-30"/>
        <w:jc w:val="left"/>
      </w:pPr>
      <w:bookmarkStart w:id="7" w:name="schemas_readme_md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schemas/README.md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человеко-читаемое описание структуры каталога. Здесь объясняется, что лежит в каждом подкаталоге, как добавлять новые схемы и в каком порядке подключать модули. Этот файл не заменяет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registry.yaml</w:t>
      </w:r>
      <w:r>
        <w:rPr>
          <w:rFonts w:eastAsia="source serif 4" w:cs="source serif 4" w:ascii="source serif 4" w:hAnsi="source serif 4"/>
          <w:color w:val="000000"/>
        </w:rPr>
        <w:t xml:space="preserve">, а дополняет его.</w:t>
      </w:r>
    </w:p>
    <w:p>
      <w:pPr>
        <w:spacing w:line="360" w:before="315" w:after="105" w:lineRule="auto"/>
        <w:ind w:left="-30"/>
        <w:jc w:val="left"/>
      </w:pPr>
      <w:bookmarkStart w:id="8" w:name="schemas_moex_mdms_yaml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schemas/moex-mdms.yaml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корневая LinkML-схема или главная точка входа. Она импортирует утверждённые модули в нужном порядке и используется для генерации артефактов, валидации и интеграции с tooling.</w:t>
      </w:r>
    </w:p>
    <w:p>
      <w:pPr>
        <w:spacing w:line="360" w:before="315" w:after="105" w:lineRule="auto"/>
        <w:ind w:left="-30"/>
        <w:jc w:val="left"/>
      </w:pPr>
      <w:bookmarkStart w:id="9" w:name="подкаталог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Подкаталоги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Каталог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core/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Базовые типы, идентификаторы, enums, общие аннотации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metamodel/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Канонические классы метамодели MOEX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profiles/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Специализированные профили применения метамодели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policies/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Формальные правила именования, совместимости, классификации и качества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external/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Ссылочные схемы и проекции внешних реестров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что_должно_быть_в_registry_yam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должно быть в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registry.yaml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Рекомендуемый минимум структуры: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moex-schema-registry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Schema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Реестр модулей метамодели и профилей корпоративной модели данных MOEX.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default_schema: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moex-mdms.yaml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packages: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schemas: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паке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Пакеты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Пакет — это организационная единица верхнего уровня, соответствующая одной логической группе артефактов. Например: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metamodel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profiles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policies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external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описания пакета: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packages: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Метамодель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metamodel/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purpose: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  Каноническое описание классов и связей корпоративной модели данных MOEX.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Architecture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lifecycle_status: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depends_on: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схем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Схемы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Каждая схема регистрируется отдельно.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schemas: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moex-logical-model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metamodel/logical-model.yaml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Логическая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модель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данных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artifact_type: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metamodel-module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purpose: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    Определяет объекты логического уровня: доменные контексты, логические сущности,</w:t>
        <w:br/>
        <w:t xml:space="preserve">      атрибуты, идентификаторы и отношения.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package_ref: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Architecture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lifecycle_status: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core/core-types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core/identifiers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metamodel/model-package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что_должно_быть_в_заголовке_каждо_4b211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должно быть в заголовке каждого LinkML-файла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Каждый LinkML-модуль должен содержать минимальный паспорт. Это необходимо и для сопровождения, и для автоматических проверок.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https://data.moex.com/linkml/metamodel/logical-model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moex_logical_model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Логическая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модель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данных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description: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Модуль метамодели, определяющий объекты логического уровня.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default_prefix: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default_range: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../core/core-types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../core/identifiers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./model-package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обязательные_пол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Обязательные поля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Обязательно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Глобально уникальный идентификатор схемы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Системное имя схемы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Читаемое имя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Назначение модуля и его границы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Версия схемы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default_prefix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Базовый префикс пространства имён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Условно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Перечень зависимостей от других модулей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как_связать_это_со_стандартом_мод_3a379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связать это со стандартом моделирования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документ предназначен для разработчиков, не нужно переписывать туда весь стандарт. Достаточно явно зафиксировать, что этот гайд </w:t>
      </w:r>
      <w:r>
        <w:rPr>
          <w:rFonts w:eastAsia="source serif 4" w:cs="source serif 4" w:ascii="source serif 4" w:hAnsi="source serif 4"/>
          <w:b/>
          <w:color w:val="000000"/>
        </w:rPr>
        <w:t xml:space="preserve">реализует требования стандарта</w:t>
      </w:r>
      <w:r>
        <w:rPr>
          <w:rFonts w:eastAsia="source serif 4" w:cs="source serif 4" w:ascii="source serif 4" w:hAnsi="source serif 4"/>
          <w:color w:val="000000"/>
        </w:rPr>
        <w:t xml:space="preserve"> в части организации репозитория спецификаций.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Рекомендуемая формулировка: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Настоящий документ является прикладным руководством по реализации требований корпоративного стандарта моделирования данных MOEX в части организации каталога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</w:t>
      </w:r>
      <w:r>
        <w:rPr>
          <w:rFonts w:eastAsia="source serif 4" w:cs="source serif 4" w:ascii="source serif 4" w:hAnsi="source serif 4"/>
          <w:color w:val="000000"/>
        </w:rPr>
        <w:t xml:space="preserve">, регистрации артефактов, описания модулей LinkML и сопровождения их зависимостей.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Таким образом: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стандарт отвечает на вопрос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что должно быть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данный файл отвечает на вопрос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как именно это оформлять в репозитории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6" w:name="рекомендуемые_правила_для_разработчик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Рекомендуемые правила для разработчиков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правило_1_не_использовать_папки_к_5def9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Правило 1. Не использовать папки как единственный источник истины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схема лежит в папке, но не зарегистрирована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registry.yaml</w:t>
      </w:r>
      <w:r>
        <w:rPr>
          <w:rFonts w:eastAsia="source serif 4" w:cs="source serif 4" w:ascii="source serif 4" w:hAnsi="source serif 4"/>
          <w:color w:val="000000"/>
        </w:rPr>
        <w:t xml:space="preserve">, она считается не введённой в нормативный контур.</w:t>
      </w:r>
    </w:p>
    <w:p>
      <w:pPr>
        <w:spacing w:line="360" w:before="315" w:after="105" w:lineRule="auto"/>
        <w:ind w:left="-30"/>
        <w:jc w:val="left"/>
      </w:pPr>
      <w:bookmarkStart w:id="18" w:name="правило_2_не_использовать_корневу_8f4ee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Правило 2. Не использовать корневую схему как место бизнес-логики</w:t>
      </w:r>
      <w:bookmarkEnd w:id="1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moex-mdms.yaml</w:t>
      </w:r>
      <w:r>
        <w:rPr>
          <w:rFonts w:eastAsia="source serif 4" w:cs="source serif 4" w:ascii="source serif 4" w:hAnsi="source serif 4"/>
          <w:color w:val="000000"/>
        </w:rPr>
        <w:t xml:space="preserve"> должен быть точкой сборки и импорта, а не свалкой всех описаний. Содержательная декомпозиция должна происходить в модульных файлах.</w:t>
      </w:r>
    </w:p>
    <w:p>
      <w:pPr>
        <w:spacing w:line="360" w:before="315" w:after="105" w:lineRule="auto"/>
        <w:ind w:left="-30"/>
        <w:jc w:val="left"/>
      </w:pPr>
      <w:bookmarkStart w:id="19" w:name="правило_3_не_смешивать_уровни_моде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Правило 3. Не смешивать уровни модели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Концептуальные, логические, физические, governance- и integration-конструкции должны быть разнесены по отдельным модулям. Такой подход соответствует общей многоуровневой модели MOEX: концептуальный, логический и физический уровни имеют разные роли и разные объекты описания.[file:189][file:177]</w:t>
      </w:r>
    </w:p>
    <w:p>
      <w:pPr>
        <w:spacing w:line="360" w:before="315" w:after="105" w:lineRule="auto"/>
        <w:ind w:left="-30"/>
        <w:jc w:val="left"/>
      </w:pPr>
      <w:bookmarkStart w:id="20" w:name="правило_4_хранить_политики_отдель_7b73c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Правило 4. Хранить политики отдельно от модели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Политики именования, качества, классификации и совместимости не должны растворяться внутри описания классов. Их лучше оформлять отдельными артефактами, чтобы ими можно было управлять как правилами.</w:t>
      </w:r>
    </w:p>
    <w:p>
      <w:pPr>
        <w:spacing w:line="360" w:before="315" w:after="105" w:lineRule="auto"/>
        <w:ind w:left="-30"/>
        <w:jc w:val="left"/>
      </w:pPr>
      <w:bookmarkStart w:id="21" w:name="правило_5_отделять_внешние_ссылки_bf116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Правило 5. Отделять внешние ссылки от внутренних сущностей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EAM, Clinkr, Data Catalog, Glossary и другие внешние источники должны оформляться как отдельные ссылочные артефакты, а не смешиваться с внутренними сущностями модели. Это отражает логику референтной архитектуры, где ландшафт данных связан с другими доменами архитектуры, но не поглощает их.[file:177]</w:t>
      </w:r>
    </w:p>
    <w:p>
      <w:pPr>
        <w:spacing w:line="360" w:before="315" w:after="105" w:lineRule="auto"/>
        <w:ind w:left="-30"/>
        <w:jc w:val="left"/>
      </w:pPr>
      <w:bookmarkStart w:id="22" w:name="минимальный_процесс_добавления_но_c0f21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Минимальный процесс добавления нового артефакта</w:t>
      </w:r>
      <w:bookmarkEnd w:id="22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Определить, к какому пакету относится новый артефакт.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или выбрать соответствующий каталог.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Создать LinkML-файл с обязательным заголовком.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запись о схеме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schemas/registry.yaml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 необходимости подключить модуль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корневую схему или профиль.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Обновить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если изменилась структура или назначение каталогов.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Прогнать валидацию и генерацию артефактов.</w:t>
      </w:r>
    </w:p>
    <w:p>
      <w:pPr>
        <w:spacing w:line="360" w:before="315" w:after="105" w:lineRule="auto"/>
        <w:ind w:left="-30"/>
        <w:jc w:val="left"/>
      </w:pPr>
      <w:bookmarkStart w:id="23" w:name="что_проверять_автоматичес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проверять автоматически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CI/CD рекомендуется добавить следующие проверки: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существование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schemas/registry.yaml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наличие всех зарегистрированных файлов;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отсутствие незарегистрированных YAML-модулей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обязательные поля заголовка в каждом модуле;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корректность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отсутствие циклических зависимостей;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единственность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схем;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соответствие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package_ref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фактическому пути файла;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корректность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default_schema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соответствует общему курсу MOEX на машиночитаемые модели, стандартизацию, качество данных и автоматический контроль жизненного цикла артефактов.[file:176][file:177]</w:t>
      </w:r>
    </w:p>
    <w:p>
      <w:pPr>
        <w:spacing w:line="360" w:before="315" w:after="105" w:lineRule="auto"/>
        <w:ind w:left="-30"/>
        <w:jc w:val="left"/>
      </w:pPr>
      <w:bookmarkStart w:id="24" w:name="антипаттерн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Антипаттерны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Ниже перечислены практики, которых следует избегать.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Хранить все классы в одном гигантском YAML-файле.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Использовать папки как единственную документацию по структуре.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указывать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description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у модулей.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 фиксировать владельца артефакта.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Подключать модули напрямую в произвольном порядке без регистрации в реестре.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Смешивать policy-артефакты с метамоделью.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Считать drawDB/DBML или другие производные форматы источником истины вместо LinkML.</w:t>
      </w:r>
    </w:p>
    <w:p>
      <w:pPr>
        <w:spacing w:line="360" w:before="315" w:after="105" w:lineRule="auto"/>
        <w:ind w:left="-30"/>
        <w:jc w:val="left"/>
      </w:pPr>
      <w:bookmarkStart w:id="25" w:name="рекомендуемый_стартовый_комплект_файл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Рекомендуемый стартовый комплект файлов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первого рабочего состояния достаточно создать следующий минимум: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schemas/</w:t>
        <w:br/>
        <w:t xml:space="preserve">├── registry.yaml</w:t>
        <w:br/>
        <w:t xml:space="preserve">├── README.md</w:t>
        <w:br/>
        <w:t xml:space="preserve">├── moex-mdms.yaml</w:t>
        <w:br/>
        <w:t xml:space="preserve">├── core/core-types.yaml</w:t>
        <w:br/>
        <w:t xml:space="preserve">├── core/identifiers.yaml</w:t>
        <w:br/>
        <w:t xml:space="preserve">├── metamodel/model-package.yaml</w:t>
        <w:br/>
        <w:t xml:space="preserve">├── metamodel/conceptual-model.yaml</w:t>
        <w:br/>
        <w:t xml:space="preserve">├── metamodel/logical-model.yaml</w:t>
        <w:br/>
        <w:t xml:space="preserve">├── metamodel/physical-model.yaml</w:t>
        <w:br/>
        <w:t xml:space="preserve">└── profiles/solution-model.yaml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Этого достаточно, чтобы: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формально задать состав артефактов;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отделить базовые конструкции от метамодели;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поддержать трёхуровневую модель MOEX;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иметь корневую точку сборки;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подготовить основу для последующего добавления governance, integration и external-слоёв.[file:189][file:177]</w:t>
      </w:r>
    </w:p>
    <w:p>
      <w:pPr>
        <w:spacing w:line="360" w:before="315" w:after="105" w:lineRule="auto"/>
        <w:ind w:left="-30"/>
        <w:jc w:val="left"/>
      </w:pPr>
      <w:bookmarkStart w:id="26" w:name="итог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Итог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коротко, иерархия артефактов и их описание должны быть оформлены так: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 каталоге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через понятную структуру папок;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 реестре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schemas/registry.yaml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 самих схемах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через заголовки LinkML-модулей;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 стандарте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нормативное требование;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 этом документе для разработчиков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как прикладное правило реализации.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Именно такая форма делает структуру одновременно понятной людям, проверяемой автоматически и согласованной с архитектурным подходом MOEX к моделированию данных и интеграций.[file:176][file:177][file:189]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2026-09-26T22:42:15.592Z</dcterms:created>
  <dcterms:modified xsi:type="dcterms:W3CDTF">2026-09-26T22:42:15.592Z</dcterms:modified>
</cp:coreProperties>
</file>