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moex_data_model_specification_v0_777ef1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MOEX Data Model Specification v0.1 на основе LinkML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статус_документ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Статус документа</w:t>
      </w:r>
      <w:bookmarkEnd w:id="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Атрибут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Наименование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MOEX Data Model Specification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Сокращение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MDMS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Версия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0.1.0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Статус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Архитектурный прототип / draft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Канонический формат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LinkML YAML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Область действия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Корпоративная модель данных и модели данных ИТ-решений Группы МБ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Основной исполняющий компонент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Репозиторий моделей и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dmr engine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MDMS (MOEX Data Model Specification)</w:t>
      </w:r>
      <w:r>
        <w:rPr>
          <w:rFonts w:eastAsia="source serif 4" w:cs="source serif 4" w:ascii="source serif 4" w:hAnsi="source serif 4"/>
          <w:color w:val="000000"/>
        </w:rPr>
        <w:t xml:space="preserve"> — внутренний стандарт MOEX, определяющий метамодель, правила представления и машинной проверки корпоративной модели данных и моделей данных ИТ-решений. MDMS не является новым языком моделирования: версия 0.1 использует LinkML как базовый язык метамодели и добавляет MOEX-специфичные сущности, профили, ограничения и интеграционные правила.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Версия 0.1 содержит одновременно нормативное описание и проверенный машинно-читаемый прототип. Прототип включает восемь LinkML-модулей, примеры модели ИТ-решения, потока из Clinkr и модельной спецификации дата-контракта, а также сгенерированные JSON Schema, SHACL и OWL-проекции.</w:t>
      </w:r>
    </w:p>
    <w:p>
      <w:pPr>
        <w:spacing w:line="270" w:before="157.5" w:after="157.5" w:lineRule="auto"/>
        <w:jc w:val="left"/>
      </w:pPr>
      <w:bookmarkStart w:id="2" w:name="часть_1_основания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Часть 1. Основания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назначение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Назначение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Каждое ИТ-решение MOEX, включающее одну или несколько ИТ-систем, должно иметь собственный версионируемый артефакт модели данных. Он описывает значимые данные решения на концептуальном, логическом и физическом уровнях, связывает бизнес-смысл с техническими представлениями и служит источником модельной части дата-контрактов.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Корпоративная архитектурная концепция определяет модель данных как машиночитаемую структуру из концептуального, логического и физического уровней. Логический уровень организован в доменные контексты и связан как с концептуальными сущностями, так и с физическими «квантами данных» — таблицами, файлами, API endpoints и другими управляемыми объектами.[^1]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Дата-контракт MOEX не должен становиться самостоятельным источником описания передаваемых данных. Он фиксирует факт, способ и условия использования данных, тогда как модель ИТ-решения фиксирует состав, физическое размещение, семантику и классификацию; в контракт могут включаться только заранее опубликованные физические объекты, связанные с логическими сущностями и атрибутами.[^2]</w:t>
      </w:r>
    </w:p>
    <w:p>
      <w:pPr>
        <w:spacing w:line="360" w:before="315" w:after="105" w:lineRule="auto"/>
        <w:ind w:left="-30"/>
        <w:jc w:val="left"/>
      </w:pPr>
      <w:bookmarkStart w:id="4" w:name="цел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Цели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MDMS должна обеспечивать: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единый способ описания моделей разных ИТ-решений;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стабильную идентичность элементов независимо от переименований и физической реализации;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явное разделение концептуального, логического и физического уровней;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описание кросс-системных понятий, например «Клиент» и «Финансовый инструмент»;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описание локальных реализаций корпоративных понятий в доменных контекстах и ИТ-решениях;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трассировку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ИТ-решение → физический объект → логическая сущность → интеграция → дата-контракт → DQ/SLA/политики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наследование классификации и маркировки данных модельной спецификацией дата-контракта;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использование внешних мастер-справочников без создания теневых копий;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Git-based authoring, review, diff, CI/CD и автоматическую генерацию производных артефактов;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детерминированный контекст для каталога, графа знаний и AI-агентов.</w:t>
      </w:r>
    </w:p>
    <w:p>
      <w:pPr>
        <w:spacing w:line="360" w:before="315" w:after="105" w:lineRule="auto"/>
        <w:ind w:left="-30"/>
        <w:jc w:val="left"/>
      </w:pPr>
      <w:bookmarkStart w:id="5" w:name="принцип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Принципы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модель_решения_обязательн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Модель решения обязательна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Владелец ИТ-решения отвечает за актуальность его модели. В ней должны быть описаны данные, создаваемые, изменяемые, публикуемые или принимаемые решением, если они участвуют в интеграции, управлении, контроле качества или регулировании доступа; всё, что доступно за периметром решения или поступает извне, должно быть опубликовано в модели до создания соответствующего дата-контракта.[^2]</w:t>
      </w:r>
    </w:p>
    <w:p>
      <w:pPr>
        <w:spacing w:line="360" w:before="315" w:after="105" w:lineRule="auto"/>
        <w:ind w:left="-30"/>
        <w:jc w:val="left"/>
      </w:pPr>
      <w:bookmarkStart w:id="7" w:name="семантика_отделена_от_транспорт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Семантика отделена от транспорта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Логическая сущность не создаётся отдельно для каждого API, топика или таблицы. Одна логическая сущность может быть реализована несколькими физическими объектами и участвовать в нескольких интеграциях; OpenAPI, AsyncAPI, Avro, JSON Schema и DDL сохраняют роль авторитетных технических схем, а MDMS связывает их элементы с логической семантикой.[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3][</w:t>
      </w:r>
      <w:r>
        <w:rPr>
          <w:rFonts w:eastAsia="source serif 4" w:cs="source serif 4" w:ascii="source serif 4" w:hAnsi="source serif 4"/>
          <w:color w:val="000000"/>
        </w:rPr>
        <w:t xml:space="preserve">2]</w:t>
      </w:r>
    </w:p>
    <w:p>
      <w:pPr>
        <w:spacing w:line="360" w:before="315" w:after="105" w:lineRule="auto"/>
        <w:ind w:left="-30"/>
        <w:jc w:val="left"/>
      </w:pPr>
      <w:bookmarkStart w:id="8" w:name="ссылки_вместо_копирован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Ссылки вместо копирования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Модель решения ссылается на EAM, бизнес-глоссарий, организационные роли, политики, процессы, Clinkr и дата-каталог по стабильным идентификаторам. В MDMS допускается локальная ссылочная проекция записи справочника для валидации и отображения, но она не становится мастер-копией.</w:t>
      </w:r>
    </w:p>
    <w:p>
      <w:pPr>
        <w:spacing w:line="360" w:before="315" w:after="105" w:lineRule="auto"/>
        <w:ind w:left="-30"/>
        <w:jc w:val="left"/>
      </w:pPr>
      <w:bookmarkStart w:id="9" w:name="mapping_объект_первого_класс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Mapping — объект первого класса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Соответствие между концептуальным, логическим и физическим элементами описывается самостоятельной сущностью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Mapping</w:t>
      </w:r>
      <w:r>
        <w:rPr>
          <w:rFonts w:eastAsia="source serif 4" w:cs="source serif 4" w:ascii="source serif 4" w:hAnsi="source serif 4"/>
          <w:color w:val="000000"/>
        </w:rPr>
        <w:t xml:space="preserve">, а не неформальным комментарием. Mapping имеет стабильный ID, тип, кардинальность, преобразование, происхождение, статус согласования, confidence и период действия.</w:t>
      </w:r>
    </w:p>
    <w:p>
      <w:pPr>
        <w:spacing w:line="360" w:before="315" w:after="105" w:lineRule="auto"/>
        <w:ind w:left="-30"/>
        <w:jc w:val="left"/>
      </w:pPr>
      <w:bookmarkStart w:id="10" w:name="классификация_наследуетс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Классификация наследуется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Класс данных и маркировка чувствительности задаются в модели решения и наследуются модельной спецификацией дата-контракта; вручную исправлять их в контракте нельзя. Для каждого передаваемого объекта должен выполняться контроль наличия класса данных и маркировки.[^2]</w:t>
      </w:r>
    </w:p>
    <w:p>
      <w:pPr>
        <w:spacing w:line="360" w:before="315" w:after="105" w:lineRule="auto"/>
        <w:ind w:left="-30"/>
        <w:jc w:val="left"/>
      </w:pPr>
      <w:bookmarkStart w:id="11" w:name="версии_разделен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Версии разделены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Следует независимо управлять: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apiVersion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версией метамодели MDMS;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modelVersion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версией модели ИТ-решения или корпоративной модели;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implementationVersion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версией конкретной модельной спецификации дата-контракта;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contractVersion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версией композитного дата-контракта;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modelRevision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неизменяемой технической ревизией модели, например Git commit.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Стандарт дата-контрактов уже разделяет версию стандарта спецификации и версию конкретной реализации, а дочерние спецификации эволюционируют независимо.[^2]</w:t>
      </w:r>
    </w:p>
    <w:p>
      <w:pPr>
        <w:spacing w:line="360" w:before="315" w:after="105" w:lineRule="auto"/>
        <w:ind w:left="-30"/>
        <w:jc w:val="left"/>
      </w:pPr>
      <w:bookmarkStart w:id="12" w:name="требован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Требования</w:t>
      </w:r>
      <w:bookmarkEnd w:id="12"/>
    </w:p>
    <w:p>
      <w:pPr>
        <w:spacing w:line="360" w:before="315" w:after="105" w:lineRule="auto"/>
        <w:ind w:left="-30"/>
        <w:jc w:val="left"/>
      </w:pPr>
      <w:bookmarkStart w:id="13" w:name="функциональные_требован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Функциональные требования</w:t>
      </w:r>
      <w:bookmarkEnd w:id="1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Требование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Уровень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MDMS-F-001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Каждый адресуемый элемент должен иметь глобально уникальный стабильный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element_id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MDMS-F-002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ModelPackage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модели решения должен ссылаться на одну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ITSolution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MDMS-F-003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Модель должна различать conceptual, logical и physical elements типами метамодели, а не соглашением об именовании.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MDMS-F-004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LogicalEntity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должна принадлежать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DomainContext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и модели ИТ-решения.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MDMS-F-005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Публикуемый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PhysicalObject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должен иметь Mapping к одной или нескольким логическим сущностям; каждое передаваемое поле — к логическому атрибуту или утверждённому преобразованию.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MDMS-F-006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Системы, решения и платформы должны задаваться ссылками на EAM; сущность платформы называется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ITPlatform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MDMS-F-007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Интеграционный поток должен ссылаться на интеграцию Clinkr, а не дублировать её как независимый master record.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MDMS-F-008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Модельная спецификация дата-контракта должна фиксировать immutable revision модели и точный selection сущностей, атрибутов и физических представлений.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MDMS-F-009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Классификация логической сущности и атрибута должна быть машиночитаемой и наследуемой контрактом.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MDMS-F-010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Метрики должны храниться в опциональном analytics-профиле и ссылаться на логические сущности и атрибуты.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SHOULD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4" w:name="нефункциональные_требован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Нефункциональные требования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Требование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Уровень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MDMS-NF-001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Канонический артефакт должен быть читаемым человеком и пригодным для Git diff/review.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MDMS-NF-002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Метамодель и экземпляры моделей должны валидироваться автоматически в CI/CD.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MDMS-NF-003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Из канонической схемы должны генерироваться JSON Schema, RDF/OWL, SHACL и документация.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MDMS-NF-004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Разрешение внешних ссылок и контроль существования записей мастер-систем должны выполняться отдельно от базовой структурной валидации.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MDMS-NF-005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Генерация производных артефактов должна быть воспроизводимой для одной ревизии.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MDMS-NF-006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Breaking-change analyzer должен обнаруживать удаление элементов, сужение типа или кардинальности, усиление обязательности, изменение ключа, классификации и mapping.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SHOULD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MDMS-NF-007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Исторические активные версии модели, binding и контракта должны быть доступны для аудита.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SHOULD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5" w:name="почему_linkm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Почему LinkML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LinkML — самоописываемый язык схем: каждая LinkML-схема является экземпляром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SchemaDefinition</w:t>
      </w:r>
      <w:r>
        <w:rPr>
          <w:rFonts w:eastAsia="source serif 4" w:cs="source serif 4" w:ascii="source serif 4" w:hAnsi="source serif 4"/>
          <w:color w:val="000000"/>
        </w:rPr>
        <w:t xml:space="preserve"> из собственной метамодели LinkML. Схема содержит определения классов, слотов, типов, enum и imports, поэтому MOEX может определить свою метамодель как обычную валидируемую LinkML-схему.[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4][</w:t>
      </w:r>
      <w:r>
        <w:rPr>
          <w:rFonts w:eastAsia="source serif 4" w:cs="source serif 4" w:ascii="source serif 4" w:hAnsi="source serif 4"/>
          <w:color w:val="000000"/>
        </w:rPr>
        <w:t xml:space="preserve">5]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LinkML-модели обычно создаются в YAML. Классы задают шаблоны объектов, slots являются переиспользуемыми полями и связями, а схема по умолчанию закрыта: поле, не разрешённое классом, считается ошибкой.[^6]</w:t>
      </w:r>
    </w:p>
    <w:p>
      <w:pPr>
        <w:spacing w:line="360" w:before="315" w:after="105" w:lineRule="auto"/>
        <w:ind w:left="-30"/>
        <w:jc w:val="left"/>
      </w:pPr>
      <w:bookmarkStart w:id="16" w:name="используемые_механизм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Используемые механизмы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Механизм LinkML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Применение в MDMS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classes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Сущности метамодели: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LogicalEntity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Mapping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DataFlow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и другие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slots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Атрибуты и типизированные связи между сущностями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identifier: 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Стабильный первичный идентификатор экземпляра класса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range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Примитив, enum или ссылка на экземпляр другого класса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required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multivalued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cardinality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Обязательность и кардинальность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is_a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Основная иерархия наследования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mixins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Lifecycle, ownership, classification и provenance без предметного наследования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imports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Разделение MDMS на модули и повторное использование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inlined: 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Представление связи как внешней ссылки по identifier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inlined: 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Встраивание составных частей артефакта по значению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enums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Контролируемые значения v0.1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URI/CURIE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Глобальные идентификаторы и семантическая проекция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Слот с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identifier: true</w:t>
      </w:r>
      <w:r>
        <w:rPr>
          <w:rFonts w:eastAsia="source serif 4" w:cs="source serif 4" w:ascii="source serif 4" w:hAnsi="source serif 4"/>
          <w:color w:val="000000"/>
        </w:rPr>
        <w:t xml:space="preserve"> обязателен, уникально идентифицирует объект и позволяет ссылаться на него вместо встраивания. При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inlined: false</w:t>
      </w:r>
      <w:r>
        <w:rPr>
          <w:rFonts w:eastAsia="source serif 4" w:cs="source serif 4" w:ascii="source serif 4" w:hAnsi="source serif 4"/>
          <w:color w:val="000000"/>
        </w:rPr>
        <w:t xml:space="preserve"> JSON-представление содержит identifier связанного объекта, а не его полную копию.[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7][</w:t>
      </w:r>
      <w:r>
        <w:rPr>
          <w:rFonts w:eastAsia="source serif 4" w:cs="source serif 4" w:ascii="source serif 4" w:hAnsi="source serif 4"/>
          <w:color w:val="000000"/>
        </w:rPr>
        <w:t xml:space="preserve">8][^9]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Imports могут задаваться CURIE или относительными путями; генераторы умеют рекурсивно объединять импортируемые определения в единый артефакт. Это позволяет хранить core, governance, registries, integration и contract binding раздельно, но выпускать консолидированную схему.[^10]</w:t>
      </w:r>
    </w:p>
    <w:p>
      <w:pPr>
        <w:spacing w:line="360" w:before="315" w:after="105" w:lineRule="auto"/>
        <w:ind w:left="-30"/>
        <w:jc w:val="left"/>
      </w:pPr>
      <w:bookmarkStart w:id="17" w:name="генерируемые_представлен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Генерируемые представления</w:t>
      </w:r>
      <w:bookmarkEnd w:id="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LinkML предоставляет генераторы JSON Schema, ProtoBuf, GraphQL, RDF, OWL, ShEx, SHACL, SQL DDL, документации и программных моделей.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gen-project</w:t>
      </w:r>
      <w:r>
        <w:rPr>
          <w:rFonts w:eastAsia="source serif 4" w:cs="source serif 4" w:ascii="source serif 4" w:hAnsi="source serif 4"/>
          <w:color w:val="000000"/>
        </w:rPr>
        <w:t xml:space="preserve"> может регулярно пересобирать полный комплект downstream-артефактов после изменения схемы.[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11][</w:t>
      </w:r>
      <w:r>
        <w:rPr>
          <w:rFonts w:eastAsia="source serif 4" w:cs="source serif 4" w:ascii="source serif 4" w:hAnsi="source serif 4"/>
          <w:color w:val="000000"/>
        </w:rPr>
        <w:t xml:space="preserve">12]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MDMS v0.1 генерация используется так: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JSON Schema — структурная валидация YAML/JSON-экземпляров;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SHACL — валидация RDF-проекции и графовых ограничений;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OWL/RDF — публикация классов, свойств и связей в граф знаний;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Mermaid/Markdown — документация и обозримые диаграммы;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Python/Pydantic или Java — будущая интеграция с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dmr engine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OWL и LinkML не следует считать одним и тем же: OWL предназначен прежде всего для онтологий, LinkML — для схем данных. LinkML-классы и slots могут проецироваться в OWL classes и properties, но полная OWL-семантика не должна предполагаться автоматически.[^13]</w:t>
      </w:r>
    </w:p>
    <w:p>
      <w:pPr>
        <w:spacing w:line="360" w:before="315" w:after="105" w:lineRule="auto"/>
        <w:ind w:left="-30"/>
        <w:jc w:val="left"/>
      </w:pPr>
      <w:bookmarkStart w:id="18" w:name="ограничения_выбор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Ограничения выбора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LinkML не задаёт готовую корпоративную семантику MOEX, поэтому MDMS является собственным управляемым профилем. Качество и выразительность разных генераторов неодинаковы; гарантировать универсальный lossless round-trip между YAML, OWL, SHACL, OpenAPI и SQL нельзя.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Базовая LinkML-валидация проверяет структуру, типы и кардинальности, но не обязана разрешать ссылки в EAM, Clinkr или каталоге. Проверка ссылочной целостности возможна дополнительным runtime/store-механизмом, однако для MOEX она должна быть централизована в reference resolver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dmr engine</w:t>
      </w:r>
      <w:r>
        <w:rPr>
          <w:rFonts w:eastAsia="source serif 4" w:cs="source serif 4" w:ascii="source serif 4" w:hAnsi="source serif 4"/>
          <w:color w:val="000000"/>
        </w:rPr>
        <w:t xml:space="preserve">, который учитывает мастер-систему и ревизию справочника.[^14]</w:t>
      </w:r>
    </w:p>
    <w:p>
      <w:pPr>
        <w:spacing w:line="270" w:before="157.5" w:after="157.5" w:lineRule="auto"/>
        <w:jc w:val="left"/>
      </w:pPr>
      <w:bookmarkStart w:id="19" w:name="часть_2_архитектура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Часть 2. Архитектура</w:t>
      </w:r>
      <w:bookmarkEnd w:id="19"/>
    </w:p>
    <w:p>
      <w:pPr>
        <w:spacing w:line="360" w:before="315" w:after="105" w:lineRule="auto"/>
        <w:ind w:left="-30"/>
        <w:jc w:val="left"/>
      </w:pPr>
      <w:bookmarkStart w:id="20" w:name="архитектурные_сло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Архитектурные слои</w:t>
      </w:r>
      <w:bookmarkEnd w:id="2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flowchart TB</w:t>
        <w:br/>
        <w:t xml:space="preserve">  EAM[EAM: системы, решения, IT-платформы] --&gt; REG[Ссылочные проекции справочников]</w:t>
        <w:br/>
        <w:t xml:space="preserve">  GL[Бизнес-глоссарий] --&gt; REG</w:t>
        <w:br/>
        <w:t xml:space="preserve">  POL[Роли, политики, классификаторы] --&gt; REG</w:t>
        <w:br/>
        <w:t xml:space="preserve"/>
        <w:br/>
        <w:t xml:space="preserve">  C[Концептуальный уровень] --&gt; L[Логический уровень по доменным контекстам]</w:t>
        <w:br/>
        <w:t xml:space="preserve">  L --&gt; P[Физический уровень: кванты данных]</w:t>
        <w:br/>
        <w:t xml:space="preserve">  REG --&gt; C</w:t>
        <w:br/>
        <w:t xml:space="preserve">  REG --&gt; L</w:t>
        <w:br/>
        <w:t xml:space="preserve">  REG --&gt; P</w:t>
        <w:br/>
        <w:t xml:space="preserve">  M[Mapping] --&gt; C</w:t>
        <w:br/>
        <w:t xml:space="preserve">  M --&gt; L</w:t>
        <w:br/>
        <w:t xml:space="preserve">  M --&gt; P</w:t>
        <w:br/>
        <w:t xml:space="preserve"/>
        <w:br/>
        <w:t xml:space="preserve">  CL[Clinkr: master интеграций] --&gt; F[DataFlow projection]</w:t>
        <w:br/>
        <w:t xml:space="preserve">  P --&gt; F</w:t>
        <w:br/>
        <w:t xml:space="preserve">  L --&gt; F</w:t>
        <w:br/>
        <w:t xml:space="preserve">  F --&gt; B[DataModelBinding / ModelSelection]</w:t>
        <w:br/>
        <w:t xml:space="preserve">  DC[Дата-каталог: master контрактов] --&gt; B</w:t>
        <w:br/>
        <w:t xml:space="preserve"/>
        <w:br/>
        <w:t xml:space="preserve">  C --&gt; KG[RDF/OWL Knowledge Graph]</w:t>
        <w:br/>
        <w:t xml:space="preserve">  L --&gt; KG</w:t>
        <w:br/>
        <w:t xml:space="preserve">  M --&gt; KG</w:t>
        <w:br/>
        <w:t xml:space="preserve">  P --&gt; JS[JSON Schema / SHACL / docs]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Архитектура разделяет source-of-truth по функциональным областям. EAM управляет системами, решениями и платформами; Clinkr — техническим описанием интеграций; дата-каталог — дата-контрактами; репозиторий моделей — семантикой, классификацией и mappings. После создания контракта каталог может обогащать интеграционную спецификацию модельными метаданными и возвращать её в Clinkr, но при конфликте приоритет имеет master соответствующего типа данных.[^2]</w:t>
      </w:r>
    </w:p>
    <w:p>
      <w:pPr>
        <w:spacing w:line="360" w:before="315" w:after="105" w:lineRule="auto"/>
        <w:ind w:left="-30"/>
        <w:jc w:val="left"/>
      </w:pPr>
      <w:bookmarkStart w:id="21" w:name="пакет_модели_решен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Пакет модели решения</w:t>
      </w:r>
      <w:bookmarkEnd w:id="2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Один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ModelPackage</w:t>
      </w:r>
      <w:r>
        <w:rPr>
          <w:rFonts w:eastAsia="source serif 4" w:cs="source serif 4" w:ascii="source serif 4" w:hAnsi="source serif 4"/>
          <w:color w:val="000000"/>
        </w:rPr>
        <w:t xml:space="preserve"> — версионируемый артефакт одной модели. Для модели конкретного решения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solution_ref</w:t>
      </w:r>
      <w:r>
        <w:rPr>
          <w:rFonts w:eastAsia="source serif 4" w:cs="source serif 4" w:ascii="source serif 4" w:hAnsi="source serif 4"/>
          <w:color w:val="000000"/>
        </w:rPr>
        <w:t xml:space="preserve"> обязателен и указывает на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ITSolution</w:t>
      </w:r>
      <w:r>
        <w:rPr>
          <w:rFonts w:eastAsia="source serif 4" w:cs="source serif 4" w:ascii="source serif 4" w:hAnsi="source serif 4"/>
          <w:color w:val="000000"/>
        </w:rPr>
        <w:t xml:space="preserve"> из EAM. Пакет включает собственные доменные контексты, логические сущности, физические объекты и mappings; корпоративные концептуальные сущности могут подключаться импортом или стабильной ссылкой.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Рекомендуемая структура репозитория: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models/</w:t>
        <w:br/>
        <w:t xml:space="preserve">  corporate/</w:t>
        <w:br/>
        <w:t xml:space="preserve">    conceptual-model.yaml</w:t>
        <w:br/>
        <w:t xml:space="preserve">  solutions/</w:t>
        <w:br/>
        <w:t xml:space="preserve">    trading/</w:t>
        <w:br/>
        <w:t xml:space="preserve">      model.yaml</w:t>
        <w:br/>
        <w:t xml:space="preserve">    clearing/</w:t>
        <w:br/>
        <w:t xml:space="preserve">      model.yaml</w:t>
        <w:br/>
        <w:t xml:space="preserve">    client-platform/</w:t>
        <w:br/>
        <w:t xml:space="preserve">      model.yaml</w:t>
        <w:br/>
        <w:t xml:space="preserve">mdms/</w:t>
        <w:br/>
        <w:t xml:space="preserve">  moex-types.yaml</w:t>
        <w:br/>
        <w:t xml:space="preserve">  moex-registries.yaml</w:t>
        <w:br/>
        <w:t xml:space="preserve">  moex-governance.yaml</w:t>
        <w:br/>
        <w:t xml:space="preserve">  moex-core.yaml</w:t>
        <w:br/>
        <w:t xml:space="preserve">  moex-integration.yaml</w:t>
        <w:br/>
        <w:t xml:space="preserve">  moex-contract-binding.yaml</w:t>
        <w:br/>
        <w:t xml:space="preserve">  moex-analytics.yaml</w:t>
        <w:br/>
        <w:t xml:space="preserve">  moex-mdms.yaml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2" w:name="концептуальный_блок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Концептуальный блок</w:t>
      </w:r>
      <w:bookmarkEnd w:id="22"/>
    </w:p>
    <w:p>
      <w:pPr>
        <w:spacing w:line="360" w:before="315" w:after="105" w:lineRule="auto"/>
        <w:ind w:left="-30"/>
        <w:jc w:val="left"/>
      </w:pPr>
      <w:bookmarkStart w:id="23" w:name="conceptualentity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ConceptualEntity</w:t>
      </w:r>
      <w:bookmarkEnd w:id="2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Корпоративное бизнес-понятие верхнего уровня: «Клиент», «Счёт», «Сделка», «Финансовый инструмент». Оно не привязано к таблице, API или одному решению. Содержит стабильный ID, имя, определение, ссылки на глоссарий, владельца, ключевые концептуальные атрибуты и отношение специализации к другому понятию.</w:t>
      </w:r>
    </w:p>
    <w:p>
      <w:pPr>
        <w:spacing w:line="360" w:before="315" w:after="105" w:lineRule="auto"/>
        <w:ind w:left="-30"/>
        <w:jc w:val="left"/>
      </w:pPr>
      <w:bookmarkStart w:id="24" w:name="domaincontext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DomainContext</w:t>
      </w:r>
      <w:bookmarkEnd w:id="2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Ограниченный контекст логической модели со своей терминологией и областью ответственности. Связывает логические сущности с бизнес-доменом, ИТ-решением, namespace и релевантными бизнес-процессами. Это граница, внутри которой имена и правила интерпретации должны быть однозначны.</w:t>
      </w:r>
    </w:p>
    <w:p>
      <w:pPr>
        <w:spacing w:line="360" w:before="315" w:after="105" w:lineRule="auto"/>
        <w:ind w:left="-30"/>
        <w:jc w:val="left"/>
      </w:pPr>
      <w:bookmarkStart w:id="25" w:name="логический_блок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Логический блок</w:t>
      </w:r>
      <w:bookmarkEnd w:id="25"/>
    </w:p>
    <w:p>
      <w:pPr>
        <w:spacing w:line="360" w:before="315" w:after="105" w:lineRule="auto"/>
        <w:ind w:left="-30"/>
        <w:jc w:val="left"/>
      </w:pPr>
      <w:bookmarkStart w:id="26" w:name="logicalentity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LogicalEntity</w:t>
      </w:r>
      <w:bookmarkEnd w:id="2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Представление бизнес-сущности внутри конкретного доменного контекста и модели решения. Может ссылаться на одну или несколько концептуальных сущностей, определяет роль решения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producer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consumer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intermediary</w:t>
      </w:r>
      <w:r>
        <w:rPr>
          <w:rFonts w:eastAsia="source serif 4" w:cs="source serif 4" w:ascii="source serif 4" w:hAnsi="source serif 4"/>
          <w:color w:val="000000"/>
        </w:rPr>
        <w:t xml:space="preserve">), ключевые атрибуты, инварианты, класс данных и governance-метаданные.</w:t>
      </w:r>
    </w:p>
    <w:p>
      <w:pPr>
        <w:spacing w:line="360" w:before="315" w:after="105" w:lineRule="auto"/>
        <w:ind w:left="-30"/>
        <w:jc w:val="left"/>
      </w:pPr>
      <w:bookmarkStart w:id="27" w:name="logicalattribute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LogicalAttribute</w:t>
      </w:r>
      <w:bookmarkEnd w:id="2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Атомарное логическое свойство сущности. Содержит бизнес-определение, логический тип, обязательность, множественность, cardinality, value set, формат, default/derived expression, ссылки на глоссарий, политики и классификацию.</w:t>
      </w:r>
    </w:p>
    <w:p>
      <w:pPr>
        <w:spacing w:line="360" w:before="315" w:after="105" w:lineRule="auto"/>
        <w:ind w:left="-30"/>
        <w:jc w:val="left"/>
      </w:pPr>
      <w:bookmarkStart w:id="28" w:name="relationship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Relationship</w:t>
      </w:r>
      <w:bookmarkEnd w:id="2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Именованная связь между сущностями с ролями концов, кардинальностями и признаками identifying/associative. Она описывает предметное отношение, например «Счёт принадлежит Клиенту», и не должна использоваться вместо интеграционного потока.</w:t>
      </w:r>
    </w:p>
    <w:p>
      <w:pPr>
        <w:spacing w:line="360" w:before="315" w:after="105" w:lineRule="auto"/>
        <w:ind w:left="-30"/>
        <w:jc w:val="left"/>
      </w:pPr>
      <w:bookmarkStart w:id="29" w:name="физический_блок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Физический блок</w:t>
      </w:r>
      <w:bookmarkEnd w:id="29"/>
    </w:p>
    <w:p>
      <w:pPr>
        <w:spacing w:line="360" w:before="315" w:after="105" w:lineRule="auto"/>
        <w:ind w:left="-30"/>
        <w:jc w:val="left"/>
      </w:pPr>
      <w:bookmarkStart w:id="30" w:name="physicalobject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PhysicalObject</w:t>
      </w:r>
      <w:bookmarkEnd w:id="3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Управляемый квант данных или точка интеграции: БД, схема, таблица, view, API, endpoint, payload, topic, queue, message, file, dataset или pipeline. Содержит ссылки на решение и систему, вид объекта, qualified name, технологию, authoritative native schema и направление использования.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Стандарт дата-контрактов требует на физическом уровне описывать базы, таблицы, API, очереди, сообщения, файлы, ETL/ELT и технические идентификаторы, а выбранный в контракте физический объект должен быть связан с соответствующей OpenAPI/AsyncAPI или иной нативной схемой.[^2]</w:t>
      </w:r>
    </w:p>
    <w:p>
      <w:pPr>
        <w:spacing w:line="360" w:before="315" w:after="105" w:lineRule="auto"/>
        <w:ind w:left="-30"/>
        <w:jc w:val="left"/>
      </w:pPr>
      <w:bookmarkStart w:id="31" w:name="physicalfield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PhysicalField</w:t>
      </w:r>
      <w:bookmarkEnd w:id="3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Поле физического объекта: column, JSON property, message field, параметр API и т. п. Хранит native name/type и schema path. Бизнес-семантика не дублируется в поле, а задаётся Mapping к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LogicalAttribute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32" w:name="mapping_блок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Mapping-блок</w:t>
      </w:r>
      <w:bookmarkEnd w:id="32"/>
    </w:p>
    <w:p>
      <w:pPr>
        <w:spacing w:line="360" w:before="315" w:after="105" w:lineRule="auto"/>
        <w:ind w:left="-30"/>
        <w:jc w:val="left"/>
      </w:pPr>
      <w:bookmarkStart w:id="33" w:name="mapping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Mapping</w:t>
      </w:r>
      <w:bookmarkEnd w:id="3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Универсальное соответствие одного или нескольких source-elements одному или нескольким target-elements. Основные типы: semantic equivalence, specialization, implementation, field mapping, transformation, aggregation и derivation.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Минимальные обязательные данные: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source_refs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target_refs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mapping_type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mapping_cardinality</w:t>
      </w:r>
      <w:r>
        <w:rPr>
          <w:rFonts w:eastAsia="source serif 4" w:cs="source serif 4" w:ascii="source serif 4" w:hAnsi="source serif 4"/>
          <w:color w:val="000000"/>
        </w:rPr>
        <w:t xml:space="preserve">, stable ID и lifecycle. Для утверждённых mappings должны поддерживаться evidence, approval, confidence, transformation и temporal validity.</w:t>
      </w:r>
    </w:p>
    <w:p>
      <w:pPr>
        <w:spacing w:line="360" w:before="315" w:after="105" w:lineRule="auto"/>
        <w:ind w:left="-30"/>
        <w:jc w:val="left"/>
      </w:pPr>
      <w:bookmarkStart w:id="34" w:name="справочник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Справочники</w:t>
      </w:r>
      <w:bookmarkEnd w:id="34"/>
    </w:p>
    <w:p>
      <w:pPr>
        <w:spacing w:line="360" w:before="315" w:after="105" w:lineRule="auto"/>
        <w:ind w:left="-30"/>
        <w:jc w:val="left"/>
      </w:pPr>
      <w:bookmarkStart w:id="35" w:name="registryentry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RegistryEntry</w:t>
      </w:r>
      <w:bookmarkEnd w:id="3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Абстрактная локальная проекция записи внешнего справочника. Она содержит ID мастер-системы, отображаемое имя, master system, source URI и lifecycle status. Полное наполнение справочника не включается в каждую модель решения.</w:t>
      </w:r>
    </w:p>
    <w:p>
      <w:pPr>
        <w:spacing w:line="360" w:before="315" w:after="105" w:lineRule="auto"/>
        <w:ind w:left="-30"/>
        <w:jc w:val="left"/>
      </w:pPr>
      <w:bookmarkStart w:id="36" w:name="eam_сущност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EAM-сущности</w:t>
      </w:r>
      <w:bookmarkEnd w:id="3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Сущность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Назначение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Master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ITSystem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Отдельная ИТ-система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ITSolution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ИТ-решение как набор систем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ITPlatform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ИТ-платформа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BusinessDomain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Домен/предметная область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Требует нормативного закрепления; в прототипе допускается EAM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Поправка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ITPlatform</w:t>
      </w:r>
      <w:r>
        <w:rPr>
          <w:rFonts w:eastAsia="source serif 4" w:cs="source serif 4" w:ascii="source serif 4" w:hAnsi="source serif 4"/>
          <w:color w:val="000000"/>
        </w:rPr>
        <w:t xml:space="preserve">, а не обобщённое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Platform</w:t>
      </w:r>
      <w:r>
        <w:rPr>
          <w:rFonts w:eastAsia="source serif 4" w:cs="source serif 4" w:ascii="source serif 4" w:hAnsi="source serif 4"/>
          <w:color w:val="000000"/>
        </w:rPr>
        <w:t xml:space="preserve">, закреплена в v0.1, чтобы не смешивать ИТ-платформу с торговой, продуктовой или бизнес-платформой.</w:t>
      </w:r>
    </w:p>
    <w:p>
      <w:pPr>
        <w:spacing w:line="360" w:before="315" w:after="105" w:lineRule="auto"/>
        <w:ind w:left="-30"/>
        <w:jc w:val="left"/>
      </w:pPr>
      <w:bookmarkStart w:id="37" w:name="прочие_ссылк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Прочие ссылки</w:t>
      </w:r>
      <w:bookmarkEnd w:id="3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Сущность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Master/назначение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GlossaryTerm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Корпоративный бизнес-глоссарий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Реестр управляемых ролей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OrganizationUnit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Организационная структура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DataClassificationTerm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Категории ПДн, инсайдерской информации, тайн и иных ограничений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Policy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Политики доступа, хранения, качества и архитектурные инварианты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BusinessProcess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BPMN-репозиторий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IntegrationReference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Интеграция в Clinkr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DataContractReference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Контракт в дата-каталоге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Внешняя ссылка задаётся как слот с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range</w:t>
      </w:r>
      <w:r>
        <w:rPr>
          <w:rFonts w:eastAsia="source serif 4" w:cs="source serif 4" w:ascii="source serif 4" w:hAnsi="source serif 4"/>
          <w:color w:val="000000"/>
        </w:rPr>
        <w:t xml:space="preserve"> на соответствующий registry-class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inlined: false</w:t>
      </w:r>
      <w:r>
        <w:rPr>
          <w:rFonts w:eastAsia="source serif 4" w:cs="source serif 4" w:ascii="source serif 4" w:hAnsi="source serif 4"/>
          <w:color w:val="000000"/>
        </w:rPr>
        <w:t xml:space="preserve">. Это структурно означает ссылку по identifier; фактическое существование записи проверяет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dmr engine</w:t>
      </w:r>
      <w:r>
        <w:rPr>
          <w:rFonts w:eastAsia="source serif 4" w:cs="source serif 4" w:ascii="source serif 4" w:hAnsi="source serif 4"/>
          <w:color w:val="000000"/>
        </w:rPr>
        <w:t xml:space="preserve"> по API или снапшоту мастер-системы.</w:t>
      </w:r>
    </w:p>
    <w:p>
      <w:pPr>
        <w:spacing w:line="360" w:before="315" w:after="105" w:lineRule="auto"/>
        <w:ind w:left="-30"/>
        <w:jc w:val="left"/>
      </w:pPr>
      <w:bookmarkStart w:id="38" w:name="классификац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Классификация</w:t>
      </w:r>
      <w:bookmarkEnd w:id="3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v0.1 разделены четыре ортогональные характеристики, которые нельзя смешивать в одном enum: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Атрибут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Уровень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Значения/тип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Смысл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entity_type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LogicalEntity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core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derived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reference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Роль сущности внутри модели решения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data_class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LogicalEntity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reference_data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master_data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transactional_data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analytical_data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metadata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Корпоративный класс самих данных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business_importance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LogicalEntity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high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medium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Бизнес-критичность сущности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data_owner_ref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Entity/package/object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Ссылка на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Ответственный владелец, не свободная строка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governance_classification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Entity и attribute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public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internal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confidential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restricted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Базовый уровень ограничения доступа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sensitivity_term_refs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Entity и attribute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Ссылки на классификатор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ПДн, инсайдерская информация, коммерческая/банковская тайна и другие категории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governance_classification</w:t>
      </w:r>
      <w:r>
        <w:rPr>
          <w:rFonts w:eastAsia="source serif 4" w:cs="source serif 4" w:ascii="source serif 4" w:hAnsi="source serif 4"/>
          <w:color w:val="000000"/>
        </w:rPr>
        <w:t xml:space="preserve"> задаётся на сущности как default и может быть усилена на атрибуте. Эффективная классификация атрибута не должна быть слабее классификации сущности; это межобъектное правило реализует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dmr engine</w:t>
      </w:r>
      <w:r>
        <w:rPr>
          <w:rFonts w:eastAsia="source serif 4" w:cs="source serif 4" w:ascii="source serif 4" w:hAnsi="source serif 4"/>
          <w:color w:val="000000"/>
        </w:rPr>
        <w:t xml:space="preserve"> или SHACL, а не простой enum.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entity_type=reference</w:t>
      </w:r>
      <w:r>
        <w:rPr>
          <w:rFonts w:eastAsia="source serif 4" w:cs="source serif 4" w:ascii="source serif 4" w:hAnsi="source serif 4"/>
          <w:color w:val="000000"/>
        </w:rPr>
        <w:t xml:space="preserve"> не эквивалентен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data_class=reference_data</w:t>
      </w:r>
      <w:r>
        <w:rPr>
          <w:rFonts w:eastAsia="source serif 4" w:cs="source serif 4" w:ascii="source serif 4" w:hAnsi="source serif 4"/>
          <w:color w:val="000000"/>
        </w:rPr>
        <w:t xml:space="preserve">: первое характеризует роль объекта в локальной модели, второе — нормативный класс данных, наследуемый дата-контрактом. Например, локальная read-only проекция мастер-данных клиента может иметь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entity_type=reference</w:t>
      </w:r>
      <w:r>
        <w:rPr>
          <w:rFonts w:eastAsia="source serif 4" w:cs="source serif 4" w:ascii="source serif 4" w:hAnsi="source serif 4"/>
          <w:color w:val="000000"/>
        </w:rPr>
        <w:t xml:space="preserve">, но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data_class=master_data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Для аудита и временной истории предусмотрена самостоятельная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ClassificationAssignment</w:t>
      </w:r>
      <w:r>
        <w:rPr>
          <w:rFonts w:eastAsia="source serif 4" w:cs="source serif 4" w:ascii="source serif 4" w:hAnsi="source serif 4"/>
          <w:color w:val="000000"/>
        </w:rPr>
        <w:t xml:space="preserve">, которая связывает произвольный элемент с термином классификации, основанием, источником, периодом действия и статусом утверждения. Inline-поля в entity/attribute служат удобным текущим представлением; assignments — нормализованной governance-историей.</w:t>
      </w:r>
    </w:p>
    <w:p>
      <w:pPr>
        <w:spacing w:line="360" w:before="315" w:after="105" w:lineRule="auto"/>
        <w:ind w:left="-30"/>
        <w:jc w:val="left"/>
      </w:pPr>
      <w:bookmarkStart w:id="39" w:name="governance_блок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Governance-блок</w:t>
      </w:r>
      <w:bookmarkEnd w:id="39"/>
    </w:p>
    <w:p>
      <w:pPr>
        <w:spacing w:line="360" w:before="315" w:after="105" w:lineRule="auto"/>
        <w:ind w:left="-30"/>
        <w:jc w:val="left"/>
      </w:pPr>
      <w:bookmarkStart w:id="40" w:name="mixi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Mixins</w:t>
      </w:r>
      <w:bookmarkEnd w:id="40"/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HasLifecycle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status, valid from/to, replacement reference;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HasOwnership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data owner, data steward, owning unit;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HasBusinessClassification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entity type, data class, importance;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HasGovernanceClassification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access level, special classification terms, source and rationale;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HasPolicyBindings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ссылки на применимые политики;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HasProvenance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source artifact, evidence, approval and approver.</w:t>
      </w:r>
    </w:p>
    <w:p>
      <w:pPr>
        <w:spacing w:line="360" w:before="315" w:after="105" w:lineRule="auto"/>
        <w:ind w:left="-30"/>
        <w:jc w:val="left"/>
      </w:pPr>
      <w:bookmarkStart w:id="41" w:name="самостоятельные_сущност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Самостоятельные сущности</w:t>
      </w:r>
      <w:bookmarkEnd w:id="41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PolicyBinding</w:t>
      </w:r>
      <w:r>
        <w:rPr>
          <w:rFonts w:eastAsia="source serif 4" w:cs="source serif 4" w:ascii="source serif 4" w:hAnsi="source serif 4"/>
          <w:color w:val="000000"/>
        </w:rPr>
        <w:t xml:space="preserve"> связывает политику с произвольным элементом модели и хранит период действия и approval.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ClassificationAssignment</w:t>
      </w:r>
      <w:r>
        <w:rPr>
          <w:rFonts w:eastAsia="source serif 4" w:cs="source serif 4" w:ascii="source serif 4" w:hAnsi="source serif 4"/>
          <w:color w:val="000000"/>
        </w:rPr>
        <w:t xml:space="preserve"> обеспечивает нормализованную историю классификации и не ограничивается текущим значением в объекте.</w:t>
      </w:r>
    </w:p>
    <w:p>
      <w:pPr>
        <w:spacing w:line="360" w:before="315" w:after="105" w:lineRule="auto"/>
        <w:ind w:left="-30"/>
        <w:jc w:val="left"/>
      </w:pPr>
      <w:bookmarkStart w:id="42" w:name="интеграционный_блок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Интеграционный блок</w:t>
      </w:r>
      <w:bookmarkEnd w:id="42"/>
    </w:p>
    <w:p>
      <w:pPr>
        <w:spacing w:line="360" w:before="315" w:after="105" w:lineRule="auto"/>
        <w:ind w:left="-30"/>
        <w:jc w:val="left"/>
      </w:pPr>
      <w:bookmarkStart w:id="43" w:name="dataflow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DataFlow</w:t>
      </w:r>
      <w:bookmarkEnd w:id="43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DataFlow</w:t>
      </w:r>
      <w:r>
        <w:rPr>
          <w:rFonts w:eastAsia="source serif 4" w:cs="source serif 4" w:ascii="source serif 4" w:hAnsi="source serif 4"/>
          <w:color w:val="000000"/>
        </w:rPr>
        <w:t xml:space="preserve"> не является второй карточкой интеграции. Это ссылочная проекция Clinkr, необходимая для соединения топологии интеграции с семантикой модели. Источником участников, систем, платформ, уровня, класса, канала и integration specification является Clinkr; MDMS добавляет ссылки на модели, логические сущности, атрибуты и физические объекты.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Стандарт MOEX устанавливает, что новая кросс-системная интеграция сначала регистрируется в Clinkr, затем её справочник загружается в каталог и для неё создаётся дата-контракт. Clinkr остаётся master технического описания интеграций.[^2]</w:t>
      </w:r>
    </w:p>
    <w:p>
      <w:pPr>
        <w:spacing w:line="360" w:before="315" w:after="105" w:lineRule="auto"/>
        <w:ind w:left="-30"/>
        <w:jc w:val="left"/>
      </w:pPr>
      <w:bookmarkStart w:id="44" w:name="dataflowentitybinding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DataFlowEntityBinding</w:t>
      </w:r>
      <w:bookmarkEnd w:id="4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Связывает поток с: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конкретной ревизией модели источника;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логической сущностью;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набором передаваемых логических атрибутов;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физическими объектами и полями;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mappings преобразования;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направлением.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Так поток «Клиент A → B → C» можно представить двумя объектами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DataFlow</w:t>
      </w:r>
      <w:r>
        <w:rPr>
          <w:rFonts w:eastAsia="source serif 4" w:cs="source serif 4" w:ascii="source serif 4" w:hAnsi="source serif 4"/>
          <w:color w:val="000000"/>
        </w:rPr>
        <w:t xml:space="preserve">, полученными из двух интеграций Clinkr, но оба binding могут ссылаться на одну корпоративную сущность и согласованные logical mappings.</w:t>
      </w:r>
    </w:p>
    <w:p>
      <w:pPr>
        <w:spacing w:line="360" w:before="315" w:after="105" w:lineRule="auto"/>
        <w:ind w:left="-30"/>
        <w:jc w:val="left"/>
      </w:pPr>
      <w:bookmarkStart w:id="45" w:name="контрактный_блок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Контрактный блок</w:t>
      </w:r>
      <w:bookmarkEnd w:id="45"/>
    </w:p>
    <w:p>
      <w:pPr>
        <w:spacing w:line="360" w:before="315" w:after="105" w:lineRule="auto"/>
        <w:ind w:left="-30"/>
        <w:jc w:val="left"/>
      </w:pPr>
      <w:bookmarkStart w:id="46" w:name="datamodelbinding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DataModelBinding</w:t>
      </w:r>
      <w:bookmarkEnd w:id="4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Машиночитаемая дочерняя модельная спецификация дата-контракта. Она фиксирует: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версию стандарта MDMS;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версию реализации спецификации;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contract/integration references;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URI и semver модели решения;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immutable revision;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один или несколько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ModelSelection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compatibility mode и baseline;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SHA-256 digest;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время формирования и lifecycle.</w:t>
      </w:r>
    </w:p>
    <w:p>
      <w:pPr>
        <w:spacing w:line="360" w:before="315" w:after="105" w:lineRule="auto"/>
        <w:ind w:left="-30"/>
        <w:jc w:val="left"/>
      </w:pPr>
      <w:bookmarkStart w:id="47" w:name="modelselection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ModelSelection</w:t>
      </w:r>
      <w:bookmarkEnd w:id="4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Переиспользуемый срез полной модели.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SelectedEntity</w:t>
      </w:r>
      <w:r>
        <w:rPr>
          <w:rFonts w:eastAsia="source serif 4" w:cs="source serif 4" w:ascii="source serif 4" w:hAnsi="source serif 4"/>
          <w:color w:val="000000"/>
        </w:rPr>
        <w:t xml:space="preserve"> выбирает logical entity и физические объекты, 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SelectedAttribute</w:t>
      </w:r>
      <w:r>
        <w:rPr>
          <w:rFonts w:eastAsia="source serif 4" w:cs="source serif 4" w:ascii="source serif 4" w:hAnsi="source serif 4"/>
          <w:color w:val="000000"/>
        </w:rPr>
        <w:t xml:space="preserve"> связывает логический атрибут с конкретными physical fields и transformation mapping.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Контракт содержит selection, а не полную копию модели; OpenAPI/AsyncAPI/Avro остаётся wire-schema. Это предотвращает появление трёх независимо редактируемых описаний одной структуры.</w:t>
      </w:r>
    </w:p>
    <w:p>
      <w:pPr>
        <w:spacing w:line="360" w:before="315" w:after="105" w:lineRule="auto"/>
        <w:ind w:left="-30"/>
        <w:jc w:val="left"/>
      </w:pPr>
      <w:bookmarkStart w:id="48" w:name="аналитический_блок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Аналитический блок</w:t>
      </w:r>
      <w:bookmarkEnd w:id="48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Metric</w:t>
      </w:r>
      <w:r>
        <w:rPr>
          <w:rFonts w:eastAsia="source serif 4" w:cs="source serif 4" w:ascii="source serif 4" w:hAnsi="source serif 4"/>
          <w:color w:val="000000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Dimension</w:t>
      </w:r>
      <w:r>
        <w:rPr>
          <w:rFonts w:eastAsia="source serif 4" w:cs="source serif 4" w:ascii="source serif 4" w:hAnsi="source serif 4"/>
          <w:color w:val="000000"/>
        </w:rPr>
        <w:t xml:space="preserve"> включены в отдельный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moex-analytics</w:t>
      </w:r>
      <w:r>
        <w:rPr>
          <w:rFonts w:eastAsia="source serif 4" w:cs="source serif 4" w:ascii="source serif 4" w:hAnsi="source serif 4"/>
          <w:color w:val="000000"/>
        </w:rPr>
        <w:t xml:space="preserve"> профиль. Метрика содержит expression, aggregation, grain, dimensions, measures, unit и filter и всегда ссылается на элементы логической модели. Этот блок не обязателен для базовой модели ИТ-решения и может развиваться независимо с экспортом в аналитические semantic-layer форматы.</w:t>
      </w:r>
    </w:p>
    <w:p>
      <w:pPr>
        <w:spacing w:line="360" w:before="315" w:after="105" w:lineRule="auto"/>
        <w:ind w:left="-30"/>
        <w:jc w:val="left"/>
      </w:pPr>
      <w:bookmarkStart w:id="49" w:name="валидац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Валидация</w:t>
      </w:r>
      <w:bookmarkEnd w:id="49"/>
    </w:p>
    <w:p>
      <w:pPr>
        <w:spacing w:line="360" w:before="315" w:after="105" w:lineRule="auto"/>
        <w:ind w:left="-30"/>
        <w:jc w:val="left"/>
      </w:pPr>
      <w:bookmarkStart w:id="50" w:name="уровень_1_linkm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Уровень 1: LinkML</w:t>
      </w:r>
      <w:bookmarkEnd w:id="5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Проверяет структуру, разрешённые поля, типы, enum, required, patterns и cardinality. LinkML позволяет определять identifier/key и составные unique keys, однако область их уникальности зависит от контейнера и способа исполнения.[^15]</w:t>
      </w:r>
    </w:p>
    <w:p>
      <w:pPr>
        <w:spacing w:line="360" w:before="315" w:after="105" w:lineRule="auto"/>
        <w:ind w:left="-30"/>
        <w:jc w:val="left"/>
      </w:pPr>
      <w:bookmarkStart w:id="51" w:name="уровень_2_dmr_engin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Уровень 2: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dmr engine</w:t>
      </w:r>
      <w:bookmarkEnd w:id="5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Должен проверять: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разрешимость URI/CURIE и отсутствие dangling references;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существование ITSystem/ITSolution/ITPlatform в нужной ревизии EAM;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существование Integration в Clinkr и DataContract в каталоге;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принадлежность систем решению и решения платформе;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обязательные mappings для опубликованных физических объектов;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соответствие полей native schema и physical projection;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наследование и запрет ослабления classification;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совместимость model/binding/contract versions;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digest и immutable revision;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breaking changes и physical drift.</w:t>
      </w:r>
    </w:p>
    <w:p>
      <w:pPr>
        <w:spacing w:line="360" w:before="315" w:after="105" w:lineRule="auto"/>
        <w:ind w:left="-30"/>
        <w:jc w:val="left"/>
      </w:pPr>
      <w:bookmarkStart w:id="52" w:name="уровень_3_reality_check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Уровень 3: Reality check</w:t>
      </w:r>
      <w:bookmarkEnd w:id="5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Сравнивает утверждённую модель с фактической БД, registry schema, OpenAPI, AsyncAPI, Avro или иным runtime-источником. Результат нормализуется как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PASS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WARN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FAIL</w:t>
      </w:r>
      <w:r>
        <w:rPr>
          <w:rFonts w:eastAsia="source serif 4" w:cs="source serif 4" w:ascii="source serif 4" w:hAnsi="source serif 4"/>
          <w:color w:val="000000"/>
        </w:rPr>
        <w:t xml:space="preserve"> или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NOT_APPLICABLE</w:t>
      </w:r>
      <w:r>
        <w:rPr>
          <w:rFonts w:eastAsia="source serif 4" w:cs="source serif 4" w:ascii="source serif 4" w:hAnsi="source serif 4"/>
          <w:color w:val="000000"/>
        </w:rPr>
        <w:t xml:space="preserve"> с rule ID, element path, expected/actual и evidence.</w:t>
      </w:r>
    </w:p>
    <w:p>
      <w:pPr>
        <w:spacing w:line="270" w:before="157.5" w:after="157.5" w:lineRule="auto"/>
        <w:jc w:val="left"/>
      </w:pPr>
      <w:bookmarkStart w:id="53" w:name="часть_3_спецификации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Часть 3. Спецификации</w:t>
      </w:r>
      <w:bookmarkEnd w:id="53"/>
    </w:p>
    <w:p>
      <w:pPr>
        <w:spacing w:line="360" w:before="315" w:after="105" w:lineRule="auto"/>
        <w:ind w:left="-30"/>
        <w:jc w:val="left"/>
      </w:pPr>
      <w:bookmarkStart w:id="54" w:name="модульный_соста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Модульный состав</w:t>
      </w:r>
      <w:bookmarkEnd w:id="5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Файл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moex-types.yaml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Пользовательские типы и controlled enums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moex-registries.yaml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Ссылочные проекции EAM, glossary, roles, policies, Clinkr и catalog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moex-governance.yaml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Lifecycle, ownership, classification, policy и provenance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moex-core.yaml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Conceptual, logical, physical model и Mapping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moex-integration.yaml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DataFlow и DataFlowEntityBinding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moex-contract-binding.yaml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DataModelBinding и ModelSelection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moex-analytics.yaml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Metric и Dimension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moex-mdms.yaml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Корневая агрегирующая схема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Все модули импортируют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linkml:types</w:t>
      </w:r>
      <w:r>
        <w:rPr>
          <w:rFonts w:eastAsia="source serif 4" w:cs="source serif 4" w:ascii="source serif 4" w:hAnsi="source serif 4"/>
          <w:color w:val="000000"/>
        </w:rPr>
        <w:t xml:space="preserve"> и необходимые нижележащие модули. Корневая схема предоставляет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MOEXModelRepository</w:t>
      </w:r>
      <w:r>
        <w:rPr>
          <w:rFonts w:eastAsia="source serif 4" w:cs="source serif 4" w:ascii="source serif 4" w:hAnsi="source serif 4"/>
          <w:color w:val="000000"/>
        </w:rPr>
        <w:t xml:space="preserve"> как технический контейнер для интеграционных тестов; отдельный артефакт модели решения валидируется непосредственно как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ModelPackage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55" w:name="ключевые_enum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Ключевые enum</w:t>
      </w:r>
      <w:bookmarkEnd w:id="5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enums: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EntityTypeEnum: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permissible_values: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core: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derived: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reference: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DataClassEnum: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permissible_values: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reference_data: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master_data: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transactional_data: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analytical_data: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metadata: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BusinessImportanceEnum: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permissible_values: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high: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medium: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low: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GovernanceClassificationEnum: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permissible_values: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internal: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confidential: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restricted: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Enums v0.1 являются bootstrap-механизмом. После появления корпоративных versioned vocabulary services значения, требующие частого изменения, следует перевести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DataClassificationTerm</w:t>
      </w:r>
      <w:r>
        <w:rPr>
          <w:rFonts w:eastAsia="source serif 4" w:cs="source serif 4" w:ascii="source serif 4" w:hAnsi="source serif 4"/>
          <w:color w:val="000000"/>
        </w:rPr>
        <w:t xml:space="preserve">/value-set references, сохранив небольшой стабильный enum только для базовых архитектурных шкал.</w:t>
      </w:r>
    </w:p>
    <w:p>
      <w:pPr>
        <w:spacing w:line="360" w:before="315" w:after="105" w:lineRule="auto"/>
        <w:ind w:left="-30"/>
        <w:jc w:val="left"/>
      </w:pPr>
      <w:bookmarkStart w:id="56" w:name="внешний_справочник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Внешний справочник</w:t>
      </w:r>
      <w:bookmarkEnd w:id="5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classes: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RegistryEntry: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abstract: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slots: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registry_id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registry_name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master_system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source_uri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registry_status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ITPlatform: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is_a: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RegistryEntry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description: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ИТ-платформа;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мастер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данных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—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EAM.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slots: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registry_id: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identifier: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range: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uriorcurie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required: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platform_ref: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range: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ITPlatform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inlined: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range: ITPlatform</w:t>
      </w:r>
      <w:r>
        <w:rPr>
          <w:rFonts w:eastAsia="source serif 4" w:cs="source serif 4" w:ascii="source serif 4" w:hAnsi="source serif 4"/>
          <w:color w:val="000000"/>
        </w:rPr>
        <w:t xml:space="preserve"> типизирует ссылку, 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inlined: false</w:t>
      </w:r>
      <w:r>
        <w:rPr>
          <w:rFonts w:eastAsia="source serif 4" w:cs="source serif 4" w:ascii="source serif 4" w:hAnsi="source serif 4"/>
          <w:color w:val="000000"/>
        </w:rPr>
        <w:t xml:space="preserve"> заставляет использовать identifier вместо копии записи. Проверка того, что identifier существует в EAM, относится к reference-resolution этапу.</w:t>
      </w:r>
    </w:p>
    <w:p>
      <w:pPr>
        <w:spacing w:line="360" w:before="315" w:after="105" w:lineRule="auto"/>
        <w:ind w:left="-30"/>
        <w:jc w:val="left"/>
      </w:pPr>
      <w:bookmarkStart w:id="57" w:name="ядро_модел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Ядро модели</w:t>
      </w:r>
      <w:bookmarkEnd w:id="5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classes: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ModelPackage: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is_a: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ModelElement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mixins: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HasOwnership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slots: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api_version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model_version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solution_ref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domain_contexts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logical_entities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physical_objects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mappings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LogicalEntity: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is_a: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ModelElement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mixins: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HasOwnership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HasBusinessClassification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HasGovernanceClassification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HasPolicyBindings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slots: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context_ref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conceptual_entity_refs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solution_ref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solution_data_role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attributes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key_attribute_refs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PhysicalObject: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is_a: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ModelElement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slots: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solution_ref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system_ref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object_kind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qualified_name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native_schema_ref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direction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physical_fields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8" w:name="классификация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Классификация</w:t>
      </w:r>
      <w:bookmarkEnd w:id="5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classes: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HasBusinessClassification: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mixin: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slots: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entity_type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data_class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business_importance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HasGovernanceClassification: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mixin: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slots: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governance_classification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sensitivity_term_refs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classification_source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classification_rationale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slots: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data_owner_ref: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range: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inlined: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sensitivity_term_refs: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range: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DataClassificationTerm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multivalued: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inlined: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9" w:name="поток_clink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Поток Clinkr</w:t>
      </w:r>
      <w:bookmarkEnd w:id="5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classes: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DataFlow: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is_a: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ModelElement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slots: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integration_ref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contract_ref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source_solution_ref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target_solution_ref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source_system_ref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target_system_ref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source_platform_ref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target_platform_ref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integration_level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integration_class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integration_channel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integration_spec_ref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entity_bindings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DataFlowEntityBinding: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is_a: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ModelElement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slots: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flow_ref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source_model_ref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logical_entity_ref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logical_attribute_refs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physical_object_refs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physical_field_refs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transformation_mapping_refs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0" w:name="контрактный_selec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Контрактный selection</w:t>
      </w:r>
      <w:bookmarkEnd w:id="6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classes: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DataModelBinding: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is_a: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ModelElement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slots: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specification_version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implementation_version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contract_ref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integration_ref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model_package_ref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model_version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model_revision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compatibility_mode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compatibility_baseline_ref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integrity_digest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ModelSelection: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is_a: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ModelElement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slots: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selected_entities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1" w:name="пример_модели_решен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Пример модели решения</w:t>
      </w:r>
      <w:bookmarkEnd w:id="6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element_id: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mdms:model/trading/1.0.0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trading_solution_model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description: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Модель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данных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торгового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решения.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lifecycle_status: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draft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api_version: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mdms.moex/v0.1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model_version: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solution_ref: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eam:solution/TRADING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logical_entities: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element_id: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mdms:logical/trading/Client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TradingClient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description: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Локальное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представление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клиента.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lifecycle_status: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active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context_ref: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mdms:context/trading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conceptual_entity_refs: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mdms:concept/Client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solution_ref: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eam:solution/TRADING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solution_data_role: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producer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entity_type: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data_class: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master_data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business_importance: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high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data_owner_ref: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org:role/CLIENT_DATA_OWNER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governance_classification: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confidential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sensitivity_term_refs: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catalog:classification/PDN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2" w:name="проверенный_результат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Проверенный результат</w:t>
      </w:r>
      <w:bookmarkEnd w:id="6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Прототип успешно проходит следующие проверки: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загрузка всех восьми LinkML schema modules;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генерация общей JSON Schema;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генерация SHACL и OWL-проекций;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LinkML-валидация примера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ModelPackage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без ошибок;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LinkML-валидация примера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DataFlow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без ошибок;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LinkML-валидация примера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DataModelBinding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без ошибок.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Генераторы LinkML предназначены именно для преобразования схемы в другие schema frameworks и документационные артефакты, а SHACL generator создаёт node shapes и property constraints из LinkML classes/slots.[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16][</w:t>
      </w:r>
      <w:r>
        <w:rPr>
          <w:rFonts w:eastAsia="source serif 4" w:cs="source serif 4" w:ascii="source serif 4" w:hAnsi="source serif 4"/>
          <w:color w:val="000000"/>
        </w:rPr>
        <w:t xml:space="preserve">11]</w:t>
      </w:r>
    </w:p>
    <w:p>
      <w:pPr>
        <w:spacing w:line="360" w:before="315" w:after="105" w:lineRule="auto"/>
        <w:ind w:left="-30"/>
        <w:jc w:val="left"/>
      </w:pPr>
      <w:bookmarkStart w:id="63" w:name="решения_v0_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Решения v0.1</w:t>
      </w:r>
      <w:bookmarkEnd w:id="6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Зафиксированы следующие проектные решения: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LinkML YAML — канонический authoring format.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MDMS — собственный корпоративный профиль поверх LinkML.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Модель конкретного решения упаковывается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ModelPackage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ссылается на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ITSolution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Корпоративные понятия отделены от локальных logical entities.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Физические native schemas не копируются в MDMS.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ITPlatform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является EAM-ссылкой.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Потоки являются read-only projections интеграций Clinkr с semantic bindings.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Data contract получает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DataModelBinding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а не полную модель.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entity_type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data_class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business_importance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governance_classification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разделены.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data_owner_ref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является ссылкой на управляемую роль.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Специальные категории чувствительности множественны и задаются ссылками на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DataClassificationTerm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Mapping, ClassificationAssignment и PolicyBinding являются объектами первого класса.</w:t>
      </w:r>
    </w:p>
    <w:p>
      <w:pPr>
        <w:spacing w:line="360" w:before="315" w:after="105" w:lineRule="auto"/>
        <w:ind w:left="-30"/>
        <w:jc w:val="left"/>
      </w:pPr>
      <w:bookmarkStart w:id="64" w:name="вопросы_к_v0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Вопросы к v0.2</w:t>
      </w:r>
      <w:bookmarkEnd w:id="6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Перед нормативным утверждением необходимо принять решения: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является ли master концептуальной модели единый ModelHub или enterprise modeling tool;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кому нормативно принадлежит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BusinessDomain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какова его master-система;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принадлежит 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DomainContext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только модели решения или может быть общим для нескольких решений;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какие сущности EAM образуют точную иерархию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ITPlatform → ITSolution → ITSystem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допускаются ли связи many-to-many;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является 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core|derived|reference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финальной шкалой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entity_type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какой корпоративный классификатор заменяет bootstrap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DataClassEnum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как он соотносится с НСИ, master и transactional data;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должна ли базовая governance classification вычисляться из специальных категорий или утверждаться отдельно;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 каком уровне действует data owner: concept, logical entity, attribute, model package или одновременно на нескольких уровнях с наследованием;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нужна ли обязательная историческая воспроизводимость EAM/Clinkr/catalog references по состоянию на дату;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какая сторона materializes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DataFlow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ModelHub, дата-каталог или graph integration service;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какой compatibility baseline обязателен: предыдущая версия binding или все активные consumer versions;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какие LinkML-конструкции объявляются разрешённым MOEX conformance subset.</w:t>
      </w:r>
    </w:p>
    <w:p>
      <w:pPr>
        <w:spacing w:line="360" w:before="315" w:after="105" w:lineRule="auto"/>
        <w:ind w:left="-30"/>
        <w:jc w:val="left"/>
      </w:pPr>
      <w:bookmarkStart w:id="65" w:name="следующий_пилот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Следующий пилот</w:t>
      </w:r>
      <w:bookmarkEnd w:id="6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Для v0.2 целесообразно реализовать сквозной кейс «Клиент — Счёт — Сделка — Финансовый инструмент» для двух решений и двух интеграций: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Утвердить 4–6 corporate conceptual entities.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Описать два domain contexts и локальные logical entities.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Подключить реальные EAM IDs систем, решений и IT-платформ.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Импортировать одну реальную AsyncAPI/OpenAPI и один объект БД как physical projections.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Создать mappings field-to-attribute.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Загрузить две реальные интеграции Clinkr как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DataFlow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Сформировать два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DataModelBinding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для контрактов.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Проверить classification inheritance и запрет ослабления.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Выполнить breaking-change test между двумя версиями модели.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Опубликовать RDF/SHACL-проекцию в тестовом knowledge graph.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6" w:name="referenc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References</w:t>
      </w:r>
      <w:bookmarkEnd w:id="66"/>
    </w:p>
    <w:p>
      <w:pPr>
        <w:numPr>
          <w:ilvl w:val="0"/>
          <w:numId w:val="12"/>
        </w:numPr>
        <w:spacing w:line="360" w:after="210" w:lineRule="auto"/>
      </w:pPr>
      <m:oMathPara>
        <m:oMath>
          <m:r>
            <m:rPr>
              <m:sty m:val="p"/>
            </m:rPr>
            <w:rPr>
              <w:color w:val="000000"/>
              <w:sz w:val="21"/>
            </w:rPr>
            <m:t>3</m:t>
          </m:r>
          <m:r>
            <m:rPr>
              <m:sty m:val="p"/>
            </m:rPr>
            <w:rPr>
              <w:color w:val="000000"/>
              <w:sz w:val="21"/>
            </w:rPr>
            <m:t>−</m:t>
          </m:r>
          <m:r>
            <m:rPr>
              <m:sty m:val="i"/>
            </m:rPr>
            <w:rPr>
              <w:color w:val="000000"/>
              <w:sz w:val="21"/>
            </w:rPr>
            <m:t>M</m:t>
          </m:r>
          <m:r>
            <m:rPr>
              <m:sty m:val="i"/>
            </m:rPr>
            <w:rPr>
              <w:color w:val="000000"/>
              <w:sz w:val="21"/>
            </w:rPr>
            <m:t>O</m:t>
          </m:r>
          <m:r>
            <m:rPr>
              <m:sty m:val="i"/>
            </m:rPr>
            <w:rPr>
              <w:color w:val="000000"/>
              <w:sz w:val="21"/>
            </w:rPr>
            <m:t>E</m:t>
          </m:r>
          <m:r>
            <m:rPr>
              <m:sty m:val="i"/>
            </m:rPr>
            <w:rPr>
              <w:color w:val="000000"/>
              <w:sz w:val="21"/>
            </w:rPr>
            <m:t>X</m:t>
          </m:r>
          <m:r>
            <m:rPr>
              <m:sty m:val="i"/>
            </m:rPr>
            <w:rPr>
              <w:color w:val="000000"/>
              <w:sz w:val="21"/>
            </w:rPr>
            <m:t>D</m:t>
          </m:r>
          <m:r>
            <m:rPr>
              <m:sty m:val="i"/>
            </m:rPr>
            <w:rPr>
              <w:color w:val="000000"/>
              <w:sz w:val="21"/>
            </w:rPr>
            <m:t>a</m:t>
          </m:r>
          <m:r>
            <m:rPr>
              <m:sty m:val="i"/>
            </m:rPr>
            <w:rPr>
              <w:color w:val="000000"/>
              <w:sz w:val="21"/>
            </w:rPr>
            <m:t>t</m:t>
          </m:r>
          <m:r>
            <m:rPr>
              <m:sty m:val="i"/>
            </m:rPr>
            <w:rPr>
              <w:color w:val="000000"/>
              <w:sz w:val="21"/>
            </w:rPr>
            <m:t>a</m:t>
          </m:r>
          <m:r>
            <m:rPr>
              <m:sty m:val="i"/>
            </m:rPr>
            <w:rPr>
              <w:color w:val="000000"/>
              <w:sz w:val="21"/>
            </w:rPr>
            <m:t>A</m:t>
          </m:r>
          <m:r>
            <m:rPr>
              <m:sty m:val="i"/>
            </m:rPr>
            <w:rPr>
              <w:color w:val="000000"/>
              <w:sz w:val="21"/>
            </w:rPr>
            <m:t>r</m:t>
          </m:r>
          <m:r>
            <m:rPr>
              <m:sty m:val="i"/>
            </m:rPr>
            <w:rPr>
              <w:color w:val="000000"/>
              <w:sz w:val="21"/>
            </w:rPr>
            <m:t>c</m:t>
          </m:r>
          <m:r>
            <m:rPr>
              <m:sty m:val="i"/>
            </m:rPr>
            <w:rPr>
              <w:color w:val="000000"/>
              <w:sz w:val="21"/>
            </w:rPr>
            <m:t>h</m:t>
          </m:r>
          <m:r>
            <m:rPr>
              <m:sty m:val="i"/>
            </m:rPr>
            <w:rPr>
              <w:color w:val="000000"/>
              <w:sz w:val="21"/>
            </w:rPr>
            <m:t>i</m:t>
          </m:r>
          <m:r>
            <m:rPr>
              <m:sty m:val="i"/>
            </m:rPr>
            <w:rPr>
              <w:color w:val="000000"/>
              <w:sz w:val="21"/>
            </w:rPr>
            <m:t>t</m:t>
          </m:r>
          <m:r>
            <m:rPr>
              <m:sty m:val="i"/>
            </m:rPr>
            <w:rPr>
              <w:color w:val="000000"/>
              <w:sz w:val="21"/>
            </w:rPr>
            <m:t>e</m:t>
          </m:r>
          <m:r>
            <m:rPr>
              <m:sty m:val="i"/>
            </m:rPr>
            <w:rPr>
              <w:color w:val="000000"/>
              <w:sz w:val="21"/>
            </w:rPr>
            <m:t>c</m:t>
          </m:r>
          <m:r>
            <m:rPr>
              <m:sty m:val="i"/>
            </m:rPr>
            <w:rPr>
              <w:color w:val="000000"/>
              <w:sz w:val="21"/>
            </w:rPr>
            <m:t>t</m:t>
          </m:r>
          <m:r>
            <m:rPr>
              <m:sty m:val="i"/>
            </m:rPr>
            <w:rPr>
              <w:color w:val="000000"/>
              <w:sz w:val="21"/>
            </w:rPr>
            <m:t>u</m:t>
          </m:r>
          <m:r>
            <m:rPr>
              <m:sty m:val="i"/>
            </m:rPr>
            <w:rPr>
              <w:color w:val="000000"/>
              <w:sz w:val="21"/>
            </w:rPr>
            <m:t>r</m:t>
          </m:r>
          <m:r>
            <m:rPr>
              <m:sty m:val="i"/>
            </m:rPr>
            <w:rPr>
              <w:color w:val="000000"/>
              <w:sz w:val="21"/>
            </w:rPr>
            <m:t>e</m:t>
          </m:r>
          <m:r>
            <m:rPr>
              <m:sty m:val="p"/>
            </m:rPr>
            <w:rPr>
              <w:color w:val="000000"/>
              <w:sz w:val="21"/>
            </w:rPr>
            <m:t>−</m:t>
          </m:r>
          <m:r>
            <m:rPr>
              <m:sty m:val="i"/>
            </m:rPr>
            <w:rPr>
              <w:color w:val="000000"/>
              <w:sz w:val="21"/>
            </w:rPr>
            <m:t>i</m:t>
          </m:r>
          <m:r>
            <m:rPr>
              <m:sty m:val="i"/>
            </m:rPr>
            <w:rPr>
              <w:color w:val="000000"/>
              <w:sz w:val="21"/>
            </w:rPr>
            <m:t>m</m:t>
          </m:r>
          <m:r>
            <m:rPr>
              <m:sty m:val="i"/>
            </m:rPr>
            <w:rPr>
              <w:color w:val="000000"/>
              <w:sz w:val="21"/>
            </w:rPr>
            <m:t>p</m:t>
          </m:r>
          <m:r>
            <m:rPr>
              <m:sty m:val="i"/>
            </m:rPr>
            <w:rPr>
              <w:color w:val="000000"/>
              <w:sz w:val="21"/>
            </w:rPr>
            <m:t>l</m:t>
          </m:r>
          <m:r>
            <m:rPr>
              <m:sty m:val="i"/>
            </m:rPr>
            <w:rPr>
              <w:color w:val="000000"/>
              <w:sz w:val="21"/>
            </w:rPr>
            <m:t>e</m:t>
          </m:r>
          <m:r>
            <m:rPr>
              <m:sty m:val="i"/>
            </m:rPr>
            <w:rPr>
              <w:color w:val="000000"/>
              <w:sz w:val="21"/>
            </w:rPr>
            <m:t>m</m:t>
          </m:r>
          <m:r>
            <m:rPr>
              <m:sty m:val="i"/>
            </m:rPr>
            <w:rPr>
              <w:color w:val="000000"/>
              <w:sz w:val="21"/>
            </w:rPr>
            <m:t>e</m:t>
          </m:r>
          <m:r>
            <m:rPr>
              <m:sty m:val="i"/>
            </m:rPr>
            <w:rPr>
              <w:color w:val="000000"/>
              <w:sz w:val="21"/>
            </w:rPr>
            <m:t>n</m:t>
          </m:r>
          <m:r>
            <m:rPr>
              <m:sty m:val="i"/>
            </m:rPr>
            <w:rPr>
              <w:color w:val="000000"/>
              <w:sz w:val="21"/>
            </w:rPr>
            <m:t>t</m:t>
          </m:r>
          <m:r>
            <m:rPr>
              <m:sty m:val="i"/>
            </m:rPr>
            <w:rPr>
              <w:color w:val="000000"/>
              <w:sz w:val="21"/>
            </w:rPr>
            <m:t>a</m:t>
          </m:r>
          <m:r>
            <m:rPr>
              <m:sty m:val="i"/>
            </m:rPr>
            <w:rPr>
              <w:color w:val="000000"/>
              <w:sz w:val="21"/>
            </w:rPr>
            <m:t>t</m:t>
          </m:r>
          <m:r>
            <m:rPr>
              <m:sty m:val="i"/>
            </m:rPr>
            <w:rPr>
              <w:color w:val="000000"/>
              <w:sz w:val="21"/>
            </w:rPr>
            <m:t>i</m:t>
          </m:r>
          <m:r>
            <m:rPr>
              <m:sty m:val="i"/>
            </m:rPr>
            <w:rPr>
              <w:color w:val="000000"/>
              <w:sz w:val="21"/>
            </w:rPr>
            <m:t>o</m:t>
          </m:r>
          <m:r>
            <m:rPr>
              <m:sty m:val="i"/>
            </m:rPr>
            <w:rPr>
              <w:color w:val="000000"/>
              <w:sz w:val="21"/>
            </w:rPr>
            <m:t>n</m:t>
          </m:r>
          <m:r>
            <m:rPr>
              <m:sty m:val="i"/>
            </m:rPr>
            <w:rPr>
              <w:color w:val="000000"/>
              <w:sz w:val="21"/>
            </w:rPr>
            <m:t>c</m:t>
          </m:r>
          <m:r>
            <m:rPr>
              <m:sty m:val="i"/>
            </m:rPr>
            <w:rPr>
              <w:color w:val="000000"/>
              <w:sz w:val="21"/>
            </w:rPr>
            <m:t>o</m:t>
          </m:r>
          <m:r>
            <m:rPr>
              <m:sty m:val="i"/>
            </m:rPr>
            <w:rPr>
              <w:color w:val="000000"/>
              <w:sz w:val="21"/>
            </w:rPr>
            <m:t>n</m:t>
          </m:r>
          <m:r>
            <m:rPr>
              <m:sty m:val="i"/>
            </m:rPr>
            <w:rPr>
              <w:color w:val="000000"/>
              <w:sz w:val="21"/>
            </w:rPr>
            <m:t>c</m:t>
          </m:r>
          <m:r>
            <m:rPr>
              <m:sty m:val="i"/>
            </m:rPr>
            <w:rPr>
              <w:color w:val="000000"/>
              <w:sz w:val="21"/>
            </w:rPr>
            <m:t>e</m:t>
          </m:r>
          <m:r>
            <m:rPr>
              <m:sty m:val="i"/>
            </m:rPr>
            <w:rPr>
              <w:color w:val="000000"/>
              <w:sz w:val="21"/>
            </w:rPr>
            <m:t>p</m:t>
          </m:r>
          <m:r>
            <m:rPr>
              <m:sty m:val="i"/>
            </m:rPr>
            <w:rPr>
              <w:color w:val="000000"/>
              <w:sz w:val="21"/>
            </w:rPr>
            <m:t>t</m:t>
          </m:r>
          <m:r>
            <m:rPr>
              <m:sty m:val="i"/>
            </m:rPr>
            <w:rPr>
              <w:color w:val="000000"/>
              <w:sz w:val="21"/>
            </w:rPr>
            <m:t>s</m:t>
          </m:r>
          <m:r>
            <m:rPr>
              <m:sty m:val="p"/>
            </m:rPr>
            <w:rPr>
              <w:color w:val="000000"/>
              <w:sz w:val="21"/>
            </w:rPr>
            <m:t>.</m:t>
          </m:r>
          <m:r>
            <m:rPr>
              <m:sty m:val="i"/>
            </m:rPr>
            <w:rPr>
              <w:color w:val="000000"/>
              <w:sz w:val="21"/>
            </w:rPr>
            <m:t>d</m:t>
          </m:r>
          <m:r>
            <m:rPr>
              <m:sty m:val="i"/>
            </m:rPr>
            <w:rPr>
              <w:color w:val="000000"/>
              <w:sz w:val="21"/>
            </w:rPr>
            <m:t>o</m:t>
          </m:r>
          <m:r>
            <m:rPr>
              <m:sty m:val="i"/>
            </m:rPr>
            <w:rPr>
              <w:color w:val="000000"/>
              <w:sz w:val="21"/>
            </w:rPr>
            <m:t>c</m:t>
          </m:r>
          <m:r>
            <m:rPr>
              <m:sty m:val="i"/>
            </m:rPr>
            <w:rPr>
              <w:color w:val="000000"/>
              <w:sz w:val="21"/>
            </w:rPr>
            <m:t>x</m:t>
          </m:r>
        </m:oMath>
      </m:oMathPara>
      <w:r>
        <w:rPr>
          <w:rFonts w:eastAsia="source serif 4" w:cs="source serif 4" w:ascii="source serif 4" w:hAnsi="source serif 4"/>
          <w:color w:val="000000"/>
          <w:sz w:val="21"/>
        </w:rPr>
        <w:t xml:space="preserve">(3- MOEX Data Architecture - implementation concepts.docx)</w:t>
      </w:r>
    </w:p>
    <w:p>
      <w:pPr>
        <w:numPr>
          <w:ilvl w:val="0"/>
          <w:numId w:val="12"/>
        </w:numPr>
        <w:spacing w:line="360" w:after="210" w:lineRule="auto"/>
      </w:pPr>
      <w:hyperlink r:id="rId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MOEX-Data-Contracts-v2_2.docx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MOEX DATA CONTRACTS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Описание стандарта спецификации корпоративных дата-контрактов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v.2.2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Докум...</w:t>
      </w:r>
    </w:p>
    <w:p>
      <w:pPr>
        <w:numPr>
          <w:ilvl w:val="0"/>
          <w:numId w:val="13"/>
        </w:numPr>
        <w:spacing w:line="360" w:before="105" w:after="105" w:lineRule="auto"/>
      </w:pPr>
      <w:hyperlink r:id="rId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Vybor-spetsifikatsii-modeli-dannykh-dlia-MOEX.md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# Выбор спецификации модели данных для MOEX</w:t>
      </w:r>
    </w:p>
    <w:p>
      <w:pPr>
        <w:spacing w:line="360" w:before="315" w:after="105" w:lineRule="auto"/>
        <w:ind w:left="-30"/>
        <w:jc w:val="left"/>
      </w:pPr>
      <w:bookmarkStart w:id="67" w:name="решение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Решение</w:t>
      </w:r>
      <w:bookmarkEnd w:id="6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Для MOEX не стоит выбирать один внешний форма...</w:t>
      </w:r>
    </w:p>
    <w:p>
      <w:pPr>
        <w:numPr>
          <w:ilvl w:val="0"/>
          <w:numId w:val="14"/>
        </w:numPr>
        <w:spacing w:line="360" w:after="210" w:lineRule="auto"/>
      </w:pPr>
      <w:hyperlink r:id="rId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Schema Datamodel - LinkML Model</w:t>
        </w:r>
      </w:hyperlink>
    </w:p>
    <w:p>
      <w:pPr>
        <w:numPr>
          <w:ilvl w:val="0"/>
          <w:numId w:val="14"/>
        </w:numPr>
        <w:spacing w:line="360" w:after="210" w:lineRule="auto"/>
      </w:pPr>
      <w:hyperlink r:id="rId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Metamodel Index - LinkML Model</w:t>
        </w:r>
      </w:hyperlink>
    </w:p>
    <w:p>
      <w:pPr>
        <w:numPr>
          <w:ilvl w:val="0"/>
          <w:numId w:val="14"/>
        </w:numPr>
        <w:spacing w:line="360" w:after="210" w:lineRule="auto"/>
      </w:pPr>
      <w:hyperlink r:id="rId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Models - linkml documentation</w:t>
        </w:r>
      </w:hyperlink>
    </w:p>
    <w:p>
      <w:pPr>
        <w:numPr>
          <w:ilvl w:val="0"/>
          <w:numId w:val="14"/>
        </w:numPr>
        <w:spacing w:line="360" w:after="210" w:lineRule="auto"/>
      </w:pPr>
      <w:hyperlink r:id="rId10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Slots - linkml documentation</w:t>
        </w:r>
      </w:hyperlink>
    </w:p>
    <w:p>
      <w:pPr>
        <w:numPr>
          <w:ilvl w:val="0"/>
          <w:numId w:val="14"/>
        </w:numPr>
        <w:spacing w:line="360" w:after="210" w:lineRule="auto"/>
      </w:pPr>
      <w:hyperlink r:id="rId11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View this page - LinkML</w:t>
        </w:r>
      </w:hyperlink>
    </w:p>
    <w:p>
      <w:pPr>
        <w:numPr>
          <w:ilvl w:val="0"/>
          <w:numId w:val="14"/>
        </w:numPr>
        <w:spacing w:line="360" w:after="210" w:lineRule="auto"/>
      </w:pPr>
      <w:hyperlink r:id="rId12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Slot: inlined - LinkML Model</w:t>
        </w:r>
      </w:hyperlink>
    </w:p>
    <w:p>
      <w:pPr>
        <w:numPr>
          <w:ilvl w:val="0"/>
          <w:numId w:val="14"/>
        </w:numPr>
        <w:spacing w:line="360" w:after="210" w:lineRule="auto"/>
      </w:pPr>
      <w:hyperlink r:id="rId13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Imports - linkml documentation</w:t>
        </w:r>
      </w:hyperlink>
    </w:p>
    <w:p>
      <w:pPr>
        <w:numPr>
          <w:ilvl w:val="0"/>
          <w:numId w:val="14"/>
        </w:numPr>
        <w:spacing w:line="360" w:after="210" w:lineRule="auto"/>
      </w:pPr>
      <w:hyperlink r:id="rId14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Generators - linkml documentation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A LinkML generator is code that transforms a linkml schema into a datamodel expressed using another ...</w:t>
      </w:r>
    </w:p>
    <w:p>
      <w:pPr>
        <w:numPr>
          <w:ilvl w:val="0"/>
          <w:numId w:val="14"/>
        </w:numPr>
        <w:spacing w:line="360" w:after="210" w:lineRule="auto"/>
      </w:pPr>
      <w:hyperlink r:id="rId1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Part 8: Generating Projects - linkml documentation</w:t>
        </w:r>
      </w:hyperlink>
    </w:p>
    <w:p>
      <w:pPr>
        <w:numPr>
          <w:ilvl w:val="0"/>
          <w:numId w:val="14"/>
        </w:numPr>
        <w:spacing w:line="360" w:after="210" w:lineRule="auto"/>
      </w:pPr>
      <w:hyperlink r:id="rId1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OWL - linkml documentation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Web Ontology Language OWL is a modeling language used to author ontologies. OWL is used for building...</w:t>
      </w:r>
    </w:p>
    <w:p>
      <w:pPr>
        <w:numPr>
          <w:ilvl w:val="0"/>
          <w:numId w:val="14"/>
        </w:numPr>
        <w:spacing w:line="360" w:after="210" w:lineRule="auto"/>
      </w:pPr>
      <w:hyperlink r:id="rId1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How to Check Referential Integrity - linkml-store documentation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... Inserting invalid data; Command Line Example using DuckDB. Load data into DuckDB; Check Referent...</w:t>
      </w:r>
    </w:p>
    <w:p>
      <w:pPr>
        <w:numPr>
          <w:ilvl w:val="0"/>
          <w:numId w:val="14"/>
        </w:numPr>
        <w:spacing w:line="360" w:after="210" w:lineRule="auto"/>
      </w:pPr>
      <w:hyperlink r:id="rId1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Adding constraints and rules - linkml documentation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Unique keys are inherited: if a class defines a unique key, the unique key's constraints automatical...</w:t>
      </w:r>
    </w:p>
    <w:p>
      <w:pPr>
        <w:numPr>
          <w:ilvl w:val="0"/>
          <w:numId w:val="14"/>
        </w:numPr>
        <w:spacing w:line="360" w:after="210" w:lineRule="auto"/>
      </w:pPr>
      <w:hyperlink r:id="rId1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SHACL - linkml documentation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Generate SHACL (Shapes Constraint Language) shapes from a LinkML schema. SHACL shapes are used to va...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3">
    <w:multiLevelType w:val="hybridMultilevel"/>
    <w:lvl w:ilvl="0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4">
    <w:multiLevelType w:val="hybridMultilevel"/>
    <w:lvl w:ilvl="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ppl-ai-file-upload.s3.amazonaws.com/web/direct-files/attachments/100349047/12086fe1-2d4f-4fb8-a6df-9749a97a6197/MOEX-Data-Contracts-v2_2.docx?AWSAccessKeyId=ASIA2F3EMEYET5SGIM7P&amp;Signature=jwZllL%2FyfLv4R3PlWNSHUpOzb%2FI%3D&amp;x-amz-security-token=IQoJb3JpZ2luX2VjEFIaCXVzLWVhc3QtMSJHMEUCIQDx6nznnz2SF4u%2F9GKgVqle09shWYET9o4te4EFEJdYlQIgJ7im4SNXX9oR13LRjx6aRuYvwWFgvvvo7WTi7bzFTAAq8wQIGhABGgw2OTk3NTMzMDk3MDUiDFNr6c47i52Za5ug6irQBCfv9ANVX7e%2FUn%2FGG220ns2TpsQV9DHc12%2FhW0Y97JVSJMw9YJr82Hjnar77kPmaBRbchxPXDCvsrMU1kxUplHRdVCECjLOwuuMU2IwdqUf20%2F7SWk%2FzZhpqWjQX5kcGT7iyyByUGPIAyCneIfHiM3gU%2BkBtoxRckAepALMkDoQI1U75OnCXE6I4%2FnsrER8nqhxt9XTYIW7VDc373%2FRqylVF7GV0QlfhoTaw9Y21%2FPdNSYh3SHIP1dcf8pBB4TnstYwl91k4Cui2Bwgdx3HlzOsrAY%2B1fHWyNJgicQN%2F1yA8VwwgTQloMIcaZXrsWPB9UQMuZdoJC0OwmEtUAcqRiKRcyKjuciqbdSLSudtjOJvIRKkJrNk6%2FqybdhRdqGmxVmbIWhFfupXN1pjdL50tGk7RibH7R4muU%2Fr2nhFDA1PlNVEiOlWF89Der%2BIrPy3K0Q4N4JloJRGI88CKvrlSX7WFM25nqHD%2BYtEyNVp3GczZISYEebafdtfrIg%2Fxtuvq4pvAO8e%2B4Vdpi13cYs0Ibds1QRErRZgnRfup19A5xdRPG0p3L94wBN2rnVD%2FeMKF6jZ90wNY2WPJGg1IfmTYdoZ8Qqcoqx%2FglrsU6NvmWC0%2FksJrsfTH6a2uT7xEUghRJUdx5Ftj9mcXAxFz%2B3o6WXY9FApHgTodZjhY%2BswhM9jGaTIUbEIiBam8voMrcOcMWyV2ycjvcJlFbue9ctYQO0nAq0wC6ouOhSJMgYHh8B9chuKAFtxwt6N6WZlZTk7sRgP9xq%2Bk85hOOsbynLfWfWYw4qyr1QY6mAFssRm8e46yHZWCNok8ZH5PK4s%2B7ZNpdgLRPRGWXjoWDR1Erh3lc1e4m5XGh%2FFQsbC%2BlQm3D3brJ0X3iFUFhHHZ%2F8yJAMc4mQ8U40B5b0I%2FYnY7%2FIJ%2BfUxNbqBtLEN7QpQ00hQ16YJGEAt6Yl1YaRRhWZ7FmNyN6C3W%2BXOz0RagNrw%2BlzWZLJMBkcpC7NMGpJc8TI4DM%2Byvqw%3D%3D&amp;Expires=1789584437" TargetMode="External"/><Relationship Id="rId6" Type="http://schemas.openxmlformats.org/officeDocument/2006/relationships/hyperlink" Target="https://ppl-ai-file-upload.s3.amazonaws.com/web/direct-files/attachments/100349047/97d99090-639d-43ee-96b2-7be370fc9d02/Vybor-spetsifikatsii-modeli-dannykh-dlia-MOEX.md?AWSAccessKeyId=ASIA2F3EMEYET5SGIM7P&amp;Signature=gU%2FzHdbJSQ69Pa3vThoAtR17fUU%3D&amp;x-amz-security-token=IQoJb3JpZ2luX2VjEFIaCXVzLWVhc3QtMSJHMEUCIQDx6nznnz2SF4u%2F9GKgVqle09shWYET9o4te4EFEJdYlQIgJ7im4SNXX9oR13LRjx6aRuYvwWFgvvvo7WTi7bzFTAAq8wQIGhABGgw2OTk3NTMzMDk3MDUiDFNr6c47i52Za5ug6irQBCfv9ANVX7e%2FUn%2FGG220ns2TpsQV9DHc12%2FhW0Y97JVSJMw9YJr82Hjnar77kPmaBRbchxPXDCvsrMU1kxUplHRdVCECjLOwuuMU2IwdqUf20%2F7SWk%2FzZhpqWjQX5kcGT7iyyByUGPIAyCneIfHiM3gU%2BkBtoxRckAepALMkDoQI1U75OnCXE6I4%2FnsrER8nqhxt9XTYIW7VDc373%2FRqylVF7GV0QlfhoTaw9Y21%2FPdNSYh3SHIP1dcf8pBB4TnstYwl91k4Cui2Bwgdx3HlzOsrAY%2B1fHWyNJgicQN%2F1yA8VwwgTQloMIcaZXrsWPB9UQMuZdoJC0OwmEtUAcqRiKRcyKjuciqbdSLSudtjOJvIRKkJrNk6%2FqybdhRdqGmxVmbIWhFfupXN1pjdL50tGk7RibH7R4muU%2Fr2nhFDA1PlNVEiOlWF89Der%2BIrPy3K0Q4N4JloJRGI88CKvrlSX7WFM25nqHD%2BYtEyNVp3GczZISYEebafdtfrIg%2Fxtuvq4pvAO8e%2B4Vdpi13cYs0Ibds1QRErRZgnRfup19A5xdRPG0p3L94wBN2rnVD%2FeMKF6jZ90wNY2WPJGg1IfmTYdoZ8Qqcoqx%2FglrsU6NvmWC0%2FksJrsfTH6a2uT7xEUghRJUdx5Ftj9mcXAxFz%2B3o6WXY9FApHgTodZjhY%2BswhM9jGaTIUbEIiBam8voMrcOcMWyV2ycjvcJlFbue9ctYQO0nAq0wC6ouOhSJMgYHh8B9chuKAFtxwt6N6WZlZTk7sRgP9xq%2Bk85hOOsbynLfWfWYw4qyr1QY6mAFssRm8e46yHZWCNok8ZH5PK4s%2B7ZNpdgLRPRGWXjoWDR1Erh3lc1e4m5XGh%2FFQsbC%2BlQm3D3brJ0X3iFUFhHHZ%2F8yJAMc4mQ8U40B5b0I%2FYnY7%2FIJ%2BfUxNbqBtLEN7QpQ00hQ16YJGEAt6Yl1YaRRhWZ7FmNyN6C3W%2BXOz0RagNrw%2BlzWZLJMBkcpC7NMGpJc8TI4DM%2Byvqw%3D%3D&amp;Expires=1789584437" TargetMode="External"/><Relationship Id="rId7" Type="http://schemas.openxmlformats.org/officeDocument/2006/relationships/hyperlink" Target="https://linkml.io/linkml-model/latest/docs/specification/03schemas/" TargetMode="External"/><Relationship Id="rId8" Type="http://schemas.openxmlformats.org/officeDocument/2006/relationships/hyperlink" Target="https://linkml.io/linkml-model/latest/docs/" TargetMode="External"/><Relationship Id="rId9" Type="http://schemas.openxmlformats.org/officeDocument/2006/relationships/hyperlink" Target="https://linkml.io/linkml/schemas/models.html" TargetMode="External"/><Relationship Id="rId10" Type="http://schemas.openxmlformats.org/officeDocument/2006/relationships/hyperlink" Target="https://linkml.io/linkml/schemas/slots.html" TargetMode="External"/><Relationship Id="rId11" Type="http://schemas.openxmlformats.org/officeDocument/2006/relationships/hyperlink" Target="https://linkml.io/linkml/_sources/schemas/inlining.md.txt" TargetMode="External"/><Relationship Id="rId12" Type="http://schemas.openxmlformats.org/officeDocument/2006/relationships/hyperlink" Target="https://linkml.io/linkml-model/latest/docs/inlined/" TargetMode="External"/><Relationship Id="rId13" Type="http://schemas.openxmlformats.org/officeDocument/2006/relationships/hyperlink" Target="https://linkml.io/linkml/schemas/imports.html" TargetMode="External"/><Relationship Id="rId14" Type="http://schemas.openxmlformats.org/officeDocument/2006/relationships/hyperlink" Target="https://linkml.io/linkml/generators/index.html" TargetMode="External"/><Relationship Id="rId15" Type="http://schemas.openxmlformats.org/officeDocument/2006/relationships/hyperlink" Target="https://linkml.io/linkml/intro/tutorial08.html" TargetMode="External"/><Relationship Id="rId16" Type="http://schemas.openxmlformats.org/officeDocument/2006/relationships/hyperlink" Target="https://linkml.io/linkml/generators/owl.html" TargetMode="External"/><Relationship Id="rId17" Type="http://schemas.openxmlformats.org/officeDocument/2006/relationships/hyperlink" Target="https://linkml.io/linkml-store/how-to/Check-Referential-Integrity.html" TargetMode="External"/><Relationship Id="rId18" Type="http://schemas.openxmlformats.org/officeDocument/2006/relationships/hyperlink" Target="https://linkml.io/linkml/schemas/constraints.html" TargetMode="External"/><Relationship Id="rId19" Type="http://schemas.openxmlformats.org/officeDocument/2006/relationships/hyperlink" Target="https://linkml.io/linkml/generators/shacl.html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2026-09-16T18:03:01.929Z</dcterms:created>
  <dcterms:modified xsi:type="dcterms:W3CDTF">2026-09-16T18:03:01.929Z</dcterms:modified>
</cp:coreProperties>
</file>