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3864"/>
          <w:sz w:val="56"/>
          <w:szCs w:val="56"/>
        </w:rPr>
        <w:t xml:space="preserve">Product Requirements Document</w:t>
      </w:r>
    </w:p>
    <w:p>
      <w:pPr>
        <w:spacing w:after="200"/>
      </w:pPr>
      <w:r>
        <w:rPr>
          <w:rFonts w:ascii="Calibri" w:cs="Calibri" w:eastAsia="Calibri" w:hAnsi="Calibri"/>
          <w:color w:val="404040"/>
          <w:sz w:val="30"/>
          <w:szCs w:val="30"/>
        </w:rPr>
        <w:t xml:space="preserve">A general-purpose, standalone EHR for Nigerian health facilities</w:t>
      </w:r>
    </w:p>
    <w:p>
      <w:pPr>
        <w:spacing w:after="800"/>
      </w:pPr>
      <w:r>
        <w:rPr>
          <w:rFonts w:ascii="Calibri" w:cs="Calibri" w:eastAsia="Calibri" w:hAnsi="Calibri"/>
          <w:i/>
          <w:iCs/>
          <w:color w:val="595959"/>
          <w:sz w:val="24"/>
          <w:szCs w:val="24"/>
        </w:rPr>
        <w:t xml:space="preserve">Working title: Medic-EPlat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Item</w:t>
            </w:r>
          </w:p>
        </w:tc>
        <w:tc>
          <w:tcPr>
            <w:tcW w:type="dxa" w:w="6626"/>
            <w:shd w:fill="D9E2F3" w:color="auto" w:val="clear"/>
            <w:tcMar>
              <w:top w:type="dxa" w:w="60"/>
              <w:left w:type="dxa" w:w="100"/>
              <w:bottom w:type="dxa" w:w="60"/>
              <w:right w:type="dxa" w:w="100"/>
            </w:tcMar>
          </w:tcPr>
          <w:p>
            <w:r>
              <w:rPr>
                <w:rFonts w:ascii="Calibri" w:cs="Calibri" w:eastAsia="Calibri" w:hAnsi="Calibri"/>
                <w:b/>
                <w:bCs/>
                <w:sz w:val="20"/>
                <w:szCs w:val="20"/>
              </w:rPr>
              <w:t xml:space="preserve">Detail</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6626"/>
            <w:tcMar>
              <w:top w:type="dxa" w:w="60"/>
              <w:left w:type="dxa" w:w="100"/>
              <w:bottom w:type="dxa" w:w="60"/>
              <w:right w:type="dxa" w:w="100"/>
            </w:tcMar>
          </w:tcPr>
          <w:p>
            <w:r>
              <w:rPr>
                <w:rFonts w:ascii="Calibri" w:cs="Calibri" w:eastAsia="Calibri" w:hAnsi="Calibri"/>
                <w:b w:val="false"/>
                <w:bCs w:val="false"/>
                <w:sz w:val="20"/>
                <w:szCs w:val="20"/>
              </w:rPr>
              <w:t xml:space="preserve">0.2.0 (aligned to build)</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Date</w:t>
            </w:r>
          </w:p>
        </w:tc>
        <w:tc>
          <w:tcPr>
            <w:tcW w:type="dxa" w:w="6626"/>
            <w:tcMar>
              <w:top w:type="dxa" w:w="60"/>
              <w:left w:type="dxa" w:w="100"/>
              <w:bottom w:type="dxa" w:w="60"/>
              <w:right w:type="dxa" w:w="100"/>
            </w:tcMar>
          </w:tcPr>
          <w:p>
            <w:r>
              <w:rPr>
                <w:rFonts w:ascii="Calibri" w:cs="Calibri" w:eastAsia="Calibri" w:hAnsi="Calibri"/>
                <w:b w:val="false"/>
                <w:bCs w:val="false"/>
                <w:sz w:val="20"/>
                <w:szCs w:val="20"/>
              </w:rPr>
              <w:t xml:space="preserve">13 September 2026</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Author</w:t>
            </w:r>
          </w:p>
        </w:tc>
        <w:tc>
          <w:tcPr>
            <w:tcW w:type="dxa" w:w="6626"/>
            <w:tcMar>
              <w:top w:type="dxa" w:w="60"/>
              <w:left w:type="dxa" w:w="100"/>
              <w:bottom w:type="dxa" w:w="60"/>
              <w:right w:type="dxa" w:w="100"/>
            </w:tcMar>
          </w:tcPr>
          <w:p>
            <w:r>
              <w:rPr>
                <w:rFonts w:ascii="Calibri" w:cs="Calibri" w:eastAsia="Calibri" w:hAnsi="Calibri"/>
                <w:b w:val="false"/>
                <w:bCs w:val="false"/>
                <w:sz w:val="20"/>
                <w:szCs w:val="20"/>
              </w:rPr>
              <w:t xml:space="preserve">Ola</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626"/>
            <w:tcMar>
              <w:top w:type="dxa" w:w="60"/>
              <w:left w:type="dxa" w:w="100"/>
              <w:bottom w:type="dxa" w:w="60"/>
              <w:right w:type="dxa" w:w="100"/>
            </w:tcMar>
          </w:tcPr>
          <w:p>
            <w:r>
              <w:rPr>
                <w:rFonts w:ascii="Calibri" w:cs="Calibri" w:eastAsia="Calibri" w:hAnsi="Calibri"/>
                <w:b w:val="false"/>
                <w:bCs w:val="false"/>
                <w:sz w:val="20"/>
                <w:szCs w:val="20"/>
              </w:rPr>
              <w:t xml:space="preserve">In build. Core platform foundation and secondary-profile modules on branch feat/clinical-emr-foundation.</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Revision note</w:t>
            </w:r>
          </w:p>
        </w:tc>
        <w:tc>
          <w:tcPr>
            <w:tcW w:type="dxa" w:w="6626"/>
            <w:tcMar>
              <w:top w:type="dxa" w:w="60"/>
              <w:left w:type="dxa" w:w="100"/>
              <w:bottom w:type="dxa" w:w="60"/>
              <w:right w:type="dxa" w:w="100"/>
            </w:tcMar>
          </w:tcPr>
          <w:p>
            <w:r>
              <w:rPr>
                <w:rFonts w:ascii="Calibri" w:cs="Calibri" w:eastAsia="Calibri" w:hAnsi="Calibri"/>
                <w:b w:val="false"/>
                <w:bCs w:val="false"/>
                <w:sz w:val="20"/>
                <w:szCs w:val="20"/>
              </w:rPr>
              <w:t xml:space="preserve">0.2.0 aligns the document with the build: technical base recorded as Laravel/PHP, diagnosis coding stored as ICD-10 with an ICD-11 mapping, product term EHR, multi-site instance moved to version 2, and delivered capabilities listed in 2.7.</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Audience</w:t>
            </w:r>
          </w:p>
        </w:tc>
        <w:tc>
          <w:tcPr>
            <w:tcW w:type="dxa" w:w="6626"/>
            <w:tcMar>
              <w:top w:type="dxa" w:w="60"/>
              <w:left w:type="dxa" w:w="100"/>
              <w:bottom w:type="dxa" w:w="60"/>
              <w:right w:type="dxa" w:w="100"/>
            </w:tcMar>
          </w:tcPr>
          <w:p>
            <w:r>
              <w:rPr>
                <w:rFonts w:ascii="Calibri" w:cs="Calibri" w:eastAsia="Calibri" w:hAnsi="Calibri"/>
                <w:b w:val="false"/>
                <w:bCs w:val="false"/>
                <w:sz w:val="20"/>
                <w:szCs w:val="20"/>
              </w:rPr>
              <w:t xml:space="preserve">Product, engineering, state and partner HI teams, prospective facility owners</w:t>
            </w:r>
          </w:p>
        </w:tc>
      </w:tr>
    </w:tbl>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Vision, problem, and personas</w:t>
      </w:r>
    </w:p>
    <w:p>
      <w:pPr>
        <w:pStyle w:val="Heading2"/>
        <w:spacing w:after="120" w:before="280"/>
      </w:pPr>
      <w:r>
        <w:t xml:space="preserve">1.1 Vision</w:t>
      </w:r>
    </w:p>
    <w:p>
      <w:pPr>
        <w:spacing w:after="120"/>
      </w:pPr>
      <w:r>
        <w:rPr>
          <w:rFonts w:ascii="Calibri" w:cs="Calibri" w:eastAsia="Calibri" w:hAnsi="Calibri"/>
          <w:sz w:val="22"/>
          <w:szCs w:val="22"/>
        </w:rPr>
        <w:t xml:space="preserve">A general-purpose, offline-first EHR that any Nigerian facility, from a PHC to a teaching hospital, can run standalone on its own hardware, own its data, and report to every authority it answers to, without a donor keeping it alive.</w:t>
      </w:r>
    </w:p>
    <w:p>
      <w:pPr>
        <w:pStyle w:val="Heading2"/>
        <w:spacing w:after="120" w:before="280"/>
      </w:pPr>
      <w:r>
        <w:t xml:space="preserve">1.2 Problem statement</w:t>
      </w:r>
    </w:p>
    <w:p>
      <w:pPr>
        <w:pStyle w:val="ListParagraph"/>
        <w:numPr>
          <w:ilvl w:val="0"/>
          <w:numId w:val="2"/>
        </w:numPr>
        <w:spacing w:after="60"/>
      </w:pPr>
      <w:r>
        <w:rPr>
          <w:rFonts w:ascii="Calibri" w:cs="Calibri" w:eastAsia="Calibri" w:hAnsi="Calibri"/>
          <w:sz w:val="22"/>
          <w:szCs w:val="22"/>
        </w:rPr>
        <w:t xml:space="preserve">Facilities run paper registers plus three to five parallel tools (NMRS, LAMISPlus, DHIS2 forms, HMO portals, Excel), so the same patient is captured repeatedly.</w:t>
      </w:r>
    </w:p>
    <w:p>
      <w:pPr>
        <w:pStyle w:val="ListParagraph"/>
        <w:numPr>
          <w:ilvl w:val="0"/>
          <w:numId w:val="2"/>
        </w:numPr>
        <w:spacing w:after="60"/>
      </w:pPr>
      <w:r>
        <w:rPr>
          <w:rFonts w:ascii="Calibri" w:cs="Calibri" w:eastAsia="Calibri" w:hAnsi="Calibri"/>
          <w:sz w:val="22"/>
          <w:szCs w:val="22"/>
        </w:rPr>
        <w:t xml:space="preserve">Existing public-sector EHRs are program-vertical and donor-funded. When funding shifts, the system stalls.</w:t>
      </w:r>
    </w:p>
    <w:p>
      <w:pPr>
        <w:pStyle w:val="ListParagraph"/>
        <w:numPr>
          <w:ilvl w:val="0"/>
          <w:numId w:val="2"/>
        </w:numPr>
        <w:spacing w:after="60"/>
      </w:pPr>
      <w:r>
        <w:rPr>
          <w:rFonts w:ascii="Calibri" w:cs="Calibri" w:eastAsia="Calibri" w:hAnsi="Calibri"/>
          <w:sz w:val="22"/>
          <w:szCs w:val="22"/>
        </w:rPr>
        <w:t xml:space="preserve">Private EHRs are cloud-only and billing-centric, so they degrade on poor connectivity and skip clinical depth.</w:t>
      </w:r>
    </w:p>
    <w:p>
      <w:pPr>
        <w:pStyle w:val="ListParagraph"/>
        <w:numPr>
          <w:ilvl w:val="0"/>
          <w:numId w:val="2"/>
        </w:numPr>
        <w:spacing w:after="60"/>
      </w:pPr>
      <w:r>
        <w:rPr>
          <w:rFonts w:ascii="Calibri" w:cs="Calibri" w:eastAsia="Calibri" w:hAnsi="Calibri"/>
          <w:sz w:val="22"/>
          <w:szCs w:val="22"/>
        </w:rPr>
        <w:t xml:space="preserve">There is no national patient identifier. Duplicates occur within a facility and there is no continuity across facilities.</w:t>
      </w:r>
    </w:p>
    <w:p>
      <w:pPr>
        <w:pStyle w:val="ListParagraph"/>
        <w:numPr>
          <w:ilvl w:val="0"/>
          <w:numId w:val="2"/>
        </w:numPr>
        <w:spacing w:after="60"/>
      </w:pPr>
      <w:r>
        <w:rPr>
          <w:rFonts w:ascii="Calibri" w:cs="Calibri" w:eastAsia="Calibri" w:hAnsi="Calibri"/>
          <w:sz w:val="22"/>
          <w:szCs w:val="22"/>
        </w:rPr>
        <w:t xml:space="preserve">Data leaves the facility by hand: NHMIS summaries are re-keyed into DHIS2, claims are re-typed, NDR uploads are done by partner staff.</w:t>
      </w:r>
    </w:p>
    <w:p>
      <w:pPr>
        <w:pStyle w:val="Heading2"/>
        <w:spacing w:after="120" w:before="280"/>
      </w:pPr>
      <w:r>
        <w:t xml:space="preserve">1.3 Lessons from existing Nigerian EHRs</w:t>
      </w:r>
    </w:p>
    <w:p>
      <w:pPr>
        <w:pStyle w:val="ListParagraph"/>
        <w:numPr>
          <w:ilvl w:val="0"/>
          <w:numId w:val="2"/>
        </w:numPr>
        <w:spacing w:after="60"/>
      </w:pPr>
      <w:r>
        <w:rPr>
          <w:rFonts w:ascii="Calibri" w:cs="Calibri" w:eastAsia="Calibri" w:hAnsi="Calibri"/>
          <w:sz w:val="22"/>
          <w:szCs w:val="22"/>
        </w:rPr>
        <w:t xml:space="preserve">Standalone per-facility installs on one local server or laptop, LAN-connected, offline by default, with periodic push to a central repository. NMRS does this via NDR and DATIM. A general EHR must do the same, plus NHMIS to DHIS2.</w:t>
      </w:r>
    </w:p>
    <w:p>
      <w:pPr>
        <w:pStyle w:val="ListParagraph"/>
        <w:numPr>
          <w:ilvl w:val="0"/>
          <w:numId w:val="2"/>
        </w:numPr>
        <w:spacing w:after="60"/>
      </w:pPr>
      <w:r>
        <w:rPr>
          <w:rFonts w:ascii="Calibri" w:cs="Calibri" w:eastAsia="Calibri" w:hAnsi="Calibri"/>
          <w:sz w:val="22"/>
          <w:szCs w:val="22"/>
        </w:rPr>
        <w:t xml:space="preserve">Most data entry is retrospective from paper by data clerks, not point of care. Forms must be fast for batch entry first.</w:t>
      </w:r>
    </w:p>
    <w:p>
      <w:pPr>
        <w:pStyle w:val="ListParagraph"/>
        <w:numPr>
          <w:ilvl w:val="0"/>
          <w:numId w:val="2"/>
        </w:numPr>
        <w:spacing w:after="60"/>
      </w:pPr>
      <w:r>
        <w:rPr>
          <w:rFonts w:ascii="Calibri" w:cs="Calibri" w:eastAsia="Calibri" w:hAnsi="Calibri"/>
          <w:sz w:val="22"/>
          <w:szCs w:val="22"/>
        </w:rPr>
        <w:t xml:space="preserve">Vertical EHRs (NMRS, LAMISPlus) survive because a funder pays for support, clerks, and hardware. General-purpose EHRs in public facilities usually fail when nobody owns updates and support. The product needs an ownership and support model, not only features.</w:t>
      </w:r>
    </w:p>
    <w:p>
      <w:pPr>
        <w:pStyle w:val="ListParagraph"/>
        <w:numPr>
          <w:ilvl w:val="0"/>
          <w:numId w:val="2"/>
        </w:numPr>
        <w:spacing w:after="60"/>
      </w:pPr>
      <w:r>
        <w:rPr>
          <w:rFonts w:ascii="Calibri" w:cs="Calibri" w:eastAsia="Calibri" w:hAnsi="Calibri"/>
          <w:sz w:val="22"/>
          <w:szCs w:val="22"/>
        </w:rPr>
        <w:t xml:space="preserve">Private hospitals adopt cloud EHRs mainly for billing and HMO or NHIA claims. Billing is revenue-critical there; reporting is what keeps public facilities using a system.</w:t>
      </w:r>
    </w:p>
    <w:p>
      <w:pPr>
        <w:pStyle w:val="ListParagraph"/>
        <w:numPr>
          <w:ilvl w:val="0"/>
          <w:numId w:val="2"/>
        </w:numPr>
        <w:spacing w:after="60"/>
      </w:pPr>
      <w:r>
        <w:rPr>
          <w:rFonts w:ascii="Calibri" w:cs="Calibri" w:eastAsia="Calibri" w:hAnsi="Calibri"/>
          <w:sz w:val="22"/>
          <w:szCs w:val="22"/>
        </w:rPr>
        <w:t xml:space="preserve">Upgrades and backups happen by hand (USB, external drives) and data loss is routine. Packaged offline upgrades and automated encrypted backups are core requirements.</w:t>
      </w:r>
    </w:p>
    <w:p>
      <w:pPr>
        <w:pStyle w:val="ListParagraph"/>
        <w:numPr>
          <w:ilvl w:val="0"/>
          <w:numId w:val="2"/>
        </w:numPr>
        <w:spacing w:after="60"/>
      </w:pPr>
      <w:r>
        <w:rPr>
          <w:rFonts w:ascii="Calibri" w:cs="Calibri" w:eastAsia="Calibri" w:hAnsi="Calibri"/>
          <w:sz w:val="22"/>
          <w:szCs w:val="22"/>
        </w:rPr>
        <w:t xml:space="preserve">Shared logins and weak roles are the norm. The Nigeria Data Protection Act 2023 raises the bar.</w:t>
      </w:r>
    </w:p>
    <w:p>
      <w:pPr>
        <w:pStyle w:val="ListParagraph"/>
        <w:numPr>
          <w:ilvl w:val="0"/>
          <w:numId w:val="2"/>
        </w:numPr>
        <w:spacing w:after="60"/>
      </w:pPr>
      <w:r>
        <w:rPr>
          <w:rFonts w:ascii="Calibri" w:cs="Calibri" w:eastAsia="Calibri" w:hAnsi="Calibri"/>
          <w:sz w:val="22"/>
          <w:szCs w:val="22"/>
        </w:rPr>
        <w:t xml:space="preserve">The Nigeria Digital in Health Initiative places standards and interoperability at the centre of national reform and aims for interoperable EHRs. No enforceable national standards for data formats or minimum EHR functionality exist yet, so early alignment to FHIR, DHIS2, and NDR formats is a differentiator.</w:t>
      </w:r>
    </w:p>
    <w:p>
      <w:pPr>
        <w:pStyle w:val="Heading2"/>
        <w:spacing w:after="120" w:before="280"/>
      </w:pPr>
      <w:r>
        <w:t xml:space="preserve">1.4 Goals for version 1</w:t>
      </w:r>
    </w:p>
    <w:p>
      <w:pPr>
        <w:pStyle w:val="ListParagraph"/>
        <w:numPr>
          <w:ilvl w:val="0"/>
          <w:numId w:val="3"/>
        </w:numPr>
        <w:spacing w:after="60"/>
      </w:pPr>
      <w:r>
        <w:rPr>
          <w:rFonts w:ascii="Calibri" w:cs="Calibri" w:eastAsia="Calibri" w:hAnsi="Calibri"/>
          <w:sz w:val="22"/>
          <w:szCs w:val="22"/>
        </w:rPr>
        <w:t xml:space="preserve">One patient record per person per facility, usable at point of care and for retrospective entry.</w:t>
      </w:r>
    </w:p>
    <w:p>
      <w:pPr>
        <w:pStyle w:val="ListParagraph"/>
        <w:numPr>
          <w:ilvl w:val="0"/>
          <w:numId w:val="3"/>
        </w:numPr>
        <w:spacing w:after="60"/>
      </w:pPr>
      <w:r>
        <w:rPr>
          <w:rFonts w:ascii="Calibri" w:cs="Calibri" w:eastAsia="Calibri" w:hAnsi="Calibri"/>
          <w:sz w:val="22"/>
          <w:szCs w:val="22"/>
        </w:rPr>
        <w:t xml:space="preserve">Zero re-keying for NHMIS, NDR/DATIM, and NHIA outputs.</w:t>
      </w:r>
    </w:p>
    <w:p>
      <w:pPr>
        <w:pStyle w:val="ListParagraph"/>
        <w:numPr>
          <w:ilvl w:val="0"/>
          <w:numId w:val="3"/>
        </w:numPr>
        <w:spacing w:after="60"/>
      </w:pPr>
      <w:r>
        <w:rPr>
          <w:rFonts w:ascii="Calibri" w:cs="Calibri" w:eastAsia="Calibri" w:hAnsi="Calibri"/>
          <w:sz w:val="22"/>
          <w:szCs w:val="22"/>
        </w:rPr>
        <w:t xml:space="preserve">Installable, upgradable, and restorable by a facility-level IT officer without internet.</w:t>
      </w:r>
    </w:p>
    <w:p>
      <w:pPr>
        <w:pStyle w:val="ListParagraph"/>
        <w:numPr>
          <w:ilvl w:val="0"/>
          <w:numId w:val="3"/>
        </w:numPr>
        <w:spacing w:after="60"/>
      </w:pPr>
      <w:r>
        <w:rPr>
          <w:rFonts w:ascii="Calibri" w:cs="Calibri" w:eastAsia="Calibri" w:hAnsi="Calibri"/>
          <w:sz w:val="22"/>
          <w:szCs w:val="22"/>
        </w:rPr>
        <w:t xml:space="preserve">Configurable by a state or partner HI team without code changes.</w:t>
      </w:r>
    </w:p>
    <w:p>
      <w:pPr>
        <w:pStyle w:val="Heading2"/>
        <w:spacing w:after="120" w:before="280"/>
      </w:pPr>
      <w:r>
        <w:t xml:space="preserve">1.5 Personas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226"/>
      </w:tblGrid>
      <w:tr>
        <w:trPr>
          <w:tblHeader/>
        </w:trPr>
        <w:tc>
          <w:tcPr>
            <w:tcW w:type="dxa" w:w="2800"/>
            <w:shd w:fill="D9E2F3" w:color="auto" w:val="clear"/>
            <w:tcMar>
              <w:top w:type="dxa" w:w="60"/>
              <w:left w:type="dxa" w:w="100"/>
              <w:bottom w:type="dxa" w:w="60"/>
              <w:right w:type="dxa" w:w="100"/>
            </w:tcMar>
          </w:tcPr>
          <w:p>
            <w:r>
              <w:rPr>
                <w:rFonts w:ascii="Calibri" w:cs="Calibri" w:eastAsia="Calibri" w:hAnsi="Calibri"/>
                <w:b/>
                <w:bCs/>
                <w:sz w:val="20"/>
                <w:szCs w:val="20"/>
              </w:rPr>
              <w:t xml:space="preserve">Persona</w:t>
            </w:r>
          </w:p>
        </w:tc>
        <w:tc>
          <w:tcPr>
            <w:tcW w:type="dxa" w:w="6226"/>
            <w:shd w:fill="D9E2F3" w:color="auto" w:val="clear"/>
            <w:tcMar>
              <w:top w:type="dxa" w:w="60"/>
              <w:left w:type="dxa" w:w="100"/>
              <w:bottom w:type="dxa" w:w="60"/>
              <w:right w:type="dxa" w:w="100"/>
            </w:tcMar>
          </w:tcPr>
          <w:p>
            <w:r>
              <w:rPr>
                <w:rFonts w:ascii="Calibri" w:cs="Calibri" w:eastAsia="Calibri" w:hAnsi="Calibri"/>
                <w:b/>
                <w:bCs/>
                <w:sz w:val="20"/>
                <w:szCs w:val="20"/>
              </w:rPr>
              <w:t xml:space="preserve">Primary activities</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Records officer</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Registers, searches, merges duplicates, files and tracks folders</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Nurse / CHEW</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Triage, vitals, immunization, ANC, dispensing at PHC level</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Clinician</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Consultation, diagnosis, orders, prescriptions, admission</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Pharmacist</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Dispensing, stock, substitution</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Lab scientist</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Sample receipt, results, validation</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Cashier / billing officer</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Charges, receipts, HMO and NHIA claims</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Data clerk / M&amp;E officer</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Backlog entry, data quality checks, monthly reports</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Facility head</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Dashboards, utilisation, revenue</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State / partner HI officer</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Multi-facility configuration, updates, aggregation, audits</w:t>
            </w:r>
          </w:p>
        </w:tc>
      </w:tr>
      <w:tr>
        <w:tc>
          <w:tcPr>
            <w:tcW w:type="dxa" w:w="2800"/>
            <w:tcMar>
              <w:top w:type="dxa" w:w="60"/>
              <w:left w:type="dxa" w:w="100"/>
              <w:bottom w:type="dxa" w:w="60"/>
              <w:right w:type="dxa" w:w="100"/>
            </w:tcMar>
          </w:tcPr>
          <w:p>
            <w:r>
              <w:rPr>
                <w:rFonts w:ascii="Calibri" w:cs="Calibri" w:eastAsia="Calibri" w:hAnsi="Calibri"/>
                <w:b/>
                <w:bCs/>
                <w:sz w:val="20"/>
                <w:szCs w:val="20"/>
              </w:rPr>
              <w:t xml:space="preserve">Facility admin</w:t>
            </w:r>
          </w:p>
        </w:tc>
        <w:tc>
          <w:tcPr>
            <w:tcW w:type="dxa" w:w="6226"/>
            <w:tcMar>
              <w:top w:type="dxa" w:w="60"/>
              <w:left w:type="dxa" w:w="100"/>
              <w:bottom w:type="dxa" w:w="60"/>
              <w:right w:type="dxa" w:w="100"/>
            </w:tcMar>
          </w:tcPr>
          <w:p>
            <w:r>
              <w:rPr>
                <w:rFonts w:ascii="Calibri" w:cs="Calibri" w:eastAsia="Calibri" w:hAnsi="Calibri"/>
                <w:b w:val="false"/>
                <w:bCs w:val="false"/>
                <w:sz w:val="20"/>
                <w:szCs w:val="20"/>
              </w:rPr>
              <w:t xml:space="preserve">Users, devices, backups, module switches, updates</w:t>
            </w:r>
          </w:p>
        </w:tc>
      </w:tr>
    </w:tbl>
    <w:p>
      <w:pPr>
        <w:pStyle w:val="Heading1"/>
        <w:spacing w:after="160" w:before="360"/>
      </w:pPr>
      <w:r>
        <w:t xml:space="preserve">2. Scope and tier profiles</w:t>
      </w:r>
    </w:p>
    <w:p>
      <w:pPr>
        <w:pStyle w:val="Heading2"/>
        <w:spacing w:after="120" w:before="280"/>
      </w:pPr>
      <w:r>
        <w:t xml:space="preserve">2.1 Model</w:t>
      </w:r>
    </w:p>
    <w:p>
      <w:pPr>
        <w:spacing w:after="120"/>
      </w:pPr>
      <w:r>
        <w:rPr>
          <w:rFonts w:ascii="Calibri" w:cs="Calibri" w:eastAsia="Calibri" w:hAnsi="Calibri"/>
          <w:sz w:val="22"/>
          <w:szCs w:val="22"/>
        </w:rPr>
        <w:t xml:space="preserve">One core plus four switchable profiles. A profile is a configuration bundle (modules on or off, forms, reports, roles), not a separate codebase. Every facility runs the same software.</w:t>
      </w:r>
    </w:p>
    <w:p>
      <w:pPr>
        <w:pStyle w:val="Heading2"/>
        <w:spacing w:after="120" w:before="280"/>
      </w:pPr>
      <w:r>
        <w:t xml:space="preserve">2.2 Core modules (every install)</w:t>
      </w:r>
    </w:p>
    <w:p>
      <w:pPr>
        <w:spacing w:after="120"/>
      </w:pPr>
      <w:r>
        <w:rPr>
          <w:rFonts w:ascii="Calibri" w:cs="Calibri" w:eastAsia="Calibri" w:hAnsi="Calibri"/>
          <w:sz w:val="22"/>
          <w:szCs w:val="22"/>
        </w:rPr>
        <w:t xml:space="preserve">Registration and MPI, queues and triage, encounters and forms engine, concept dictionary, orders, pharmacy and stock, laboratory, procedures, referrals, program enrolment engine, patient flags, reporting engine, users, roles and audit, backup and export, update bundles, installation wizard.</w:t>
      </w:r>
    </w:p>
    <w:p>
      <w:pPr>
        <w:pStyle w:val="Heading2"/>
        <w:spacing w:after="120" w:before="280"/>
      </w:pPr>
      <w:r>
        <w:t xml:space="preserve">2.3 Profiles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026"/>
      </w:tblGrid>
      <w:tr>
        <w:trPr>
          <w:tblHeader/>
        </w:trPr>
        <w:tc>
          <w:tcPr>
            <w:tcW w:type="dxa" w:w="2000"/>
            <w:shd w:fill="D9E2F3" w:color="auto" w:val="clear"/>
            <w:tcMar>
              <w:top w:type="dxa" w:w="60"/>
              <w:left w:type="dxa" w:w="100"/>
              <w:bottom w:type="dxa" w:w="60"/>
              <w:right w:type="dxa" w:w="100"/>
            </w:tcMar>
          </w:tcPr>
          <w:p>
            <w:r>
              <w:rPr>
                <w:rFonts w:ascii="Calibri" w:cs="Calibri" w:eastAsia="Calibri" w:hAnsi="Calibri"/>
                <w:b/>
                <w:bCs/>
                <w:sz w:val="20"/>
                <w:szCs w:val="20"/>
              </w:rPr>
              <w:t xml:space="preserve">Profile</w:t>
            </w:r>
          </w:p>
        </w:tc>
        <w:tc>
          <w:tcPr>
            <w:tcW w:type="dxa" w:w="7026"/>
            <w:shd w:fill="D9E2F3" w:color="auto" w:val="clear"/>
            <w:tcMar>
              <w:top w:type="dxa" w:w="60"/>
              <w:left w:type="dxa" w:w="100"/>
              <w:bottom w:type="dxa" w:w="60"/>
              <w:right w:type="dxa" w:w="100"/>
            </w:tcMar>
          </w:tcPr>
          <w:p>
            <w:r>
              <w:rPr>
                <w:rFonts w:ascii="Calibri" w:cs="Calibri" w:eastAsia="Calibri" w:hAnsi="Calibri"/>
                <w:b/>
                <w:bCs/>
                <w:sz w:val="20"/>
                <w:szCs w:val="20"/>
              </w:rPr>
              <w:t xml:space="preserve">Adds to core</w:t>
            </w:r>
          </w:p>
        </w:tc>
      </w:tr>
      <w:tr>
        <w:tc>
          <w:tcPr>
            <w:tcW w:type="dxa" w:w="2000"/>
            <w:tcMar>
              <w:top w:type="dxa" w:w="60"/>
              <w:left w:type="dxa" w:w="100"/>
              <w:bottom w:type="dxa" w:w="60"/>
              <w:right w:type="dxa" w:w="100"/>
            </w:tcMar>
          </w:tcPr>
          <w:p>
            <w:r>
              <w:rPr>
                <w:rFonts w:ascii="Calibri" w:cs="Calibri" w:eastAsia="Calibri" w:hAnsi="Calibri"/>
                <w:b/>
                <w:bCs/>
                <w:sz w:val="20"/>
                <w:szCs w:val="20"/>
              </w:rPr>
              <w:t xml:space="preserve">PHC</w:t>
            </w:r>
          </w:p>
        </w:tc>
        <w:tc>
          <w:tcPr>
            <w:tcW w:type="dxa" w:w="7026"/>
            <w:tcMar>
              <w:top w:type="dxa" w:w="60"/>
              <w:left w:type="dxa" w:w="100"/>
              <w:bottom w:type="dxa" w:w="60"/>
              <w:right w:type="dxa" w:w="100"/>
            </w:tcMar>
          </w:tcPr>
          <w:p>
            <w:r>
              <w:rPr>
                <w:rFonts w:ascii="Calibri" w:cs="Calibri" w:eastAsia="Calibri" w:hAnsi="Calibri"/>
                <w:b w:val="false"/>
                <w:bCs w:val="false"/>
                <w:sz w:val="20"/>
                <w:szCs w:val="20"/>
              </w:rPr>
              <w:t xml:space="preserve">ANC/PNC, immunization, family planning, nutrition, NHMIS monthly summary, single-device mode, simplified roles</w:t>
            </w:r>
          </w:p>
        </w:tc>
      </w:tr>
      <w:tr>
        <w:tc>
          <w:tcPr>
            <w:tcW w:type="dxa" w:w="2000"/>
            <w:tcMar>
              <w:top w:type="dxa" w:w="60"/>
              <w:left w:type="dxa" w:w="100"/>
              <w:bottom w:type="dxa" w:w="60"/>
              <w:right w:type="dxa" w:w="100"/>
            </w:tcMar>
          </w:tcPr>
          <w:p>
            <w:r>
              <w:rPr>
                <w:rFonts w:ascii="Calibri" w:cs="Calibri" w:eastAsia="Calibri" w:hAnsi="Calibri"/>
                <w:b/>
                <w:bCs/>
                <w:sz w:val="20"/>
                <w:szCs w:val="20"/>
              </w:rPr>
              <w:t xml:space="preserve">Secondary</w:t>
            </w:r>
          </w:p>
        </w:tc>
        <w:tc>
          <w:tcPr>
            <w:tcW w:type="dxa" w:w="7026"/>
            <w:tcMar>
              <w:top w:type="dxa" w:w="60"/>
              <w:left w:type="dxa" w:w="100"/>
              <w:bottom w:type="dxa" w:w="60"/>
              <w:right w:type="dxa" w:w="100"/>
            </w:tcMar>
          </w:tcPr>
          <w:p>
            <w:r>
              <w:rPr>
                <w:rFonts w:ascii="Calibri" w:cs="Calibri" w:eastAsia="Calibri" w:hAnsi="Calibri"/>
                <w:b w:val="false"/>
                <w:bCs w:val="false"/>
                <w:sz w:val="20"/>
                <w:szCs w:val="20"/>
              </w:rPr>
              <w:t xml:space="preserve">Inpatient ADT and beds, billing and NHIA/HMO claims, radiology orders and results, theatre notes (forms), referrals register</w:t>
            </w:r>
          </w:p>
        </w:tc>
      </w:tr>
      <w:tr>
        <w:tc>
          <w:tcPr>
            <w:tcW w:type="dxa" w:w="2000"/>
            <w:tcMar>
              <w:top w:type="dxa" w:w="60"/>
              <w:left w:type="dxa" w:w="100"/>
              <w:bottom w:type="dxa" w:w="60"/>
              <w:right w:type="dxa" w:w="100"/>
            </w:tcMar>
          </w:tcPr>
          <w:p>
            <w:r>
              <w:rPr>
                <w:rFonts w:ascii="Calibri" w:cs="Calibri" w:eastAsia="Calibri" w:hAnsi="Calibri"/>
                <w:b/>
                <w:bCs/>
                <w:sz w:val="20"/>
                <w:szCs w:val="20"/>
              </w:rPr>
              <w:t xml:space="preserve">Tertiary</w:t>
            </w:r>
          </w:p>
        </w:tc>
        <w:tc>
          <w:tcPr>
            <w:tcW w:type="dxa" w:w="7026"/>
            <w:tcMar>
              <w:top w:type="dxa" w:w="60"/>
              <w:left w:type="dxa" w:w="100"/>
              <w:bottom w:type="dxa" w:w="60"/>
              <w:right w:type="dxa" w:w="100"/>
            </w:tcMar>
          </w:tcPr>
          <w:p>
            <w:r>
              <w:rPr>
                <w:rFonts w:ascii="Calibri" w:cs="Calibri" w:eastAsia="Calibri" w:hAnsi="Calibri"/>
                <w:b w:val="false"/>
                <w:bCs w:val="false"/>
                <w:sz w:val="20"/>
                <w:szCs w:val="20"/>
              </w:rPr>
              <w:t xml:space="preserve">Multi-department queues, multiple lab and pharmacy points, resident and student roles, departmental dashboards, referral tracking, HIM coding worklist, blood bank (later)</w:t>
            </w:r>
          </w:p>
        </w:tc>
      </w:tr>
      <w:tr>
        <w:tc>
          <w:tcPr>
            <w:tcW w:type="dxa" w:w="2000"/>
            <w:tcMar>
              <w:top w:type="dxa" w:w="60"/>
              <w:left w:type="dxa" w:w="100"/>
              <w:bottom w:type="dxa" w:w="60"/>
              <w:right w:type="dxa" w:w="100"/>
            </w:tcMar>
          </w:tcPr>
          <w:p>
            <w:r>
              <w:rPr>
                <w:rFonts w:ascii="Calibri" w:cs="Calibri" w:eastAsia="Calibri" w:hAnsi="Calibri"/>
                <w:b/>
                <w:bCs/>
                <w:sz w:val="20"/>
                <w:szCs w:val="20"/>
              </w:rPr>
              <w:t xml:space="preserve">Private</w:t>
            </w:r>
          </w:p>
        </w:tc>
        <w:tc>
          <w:tcPr>
            <w:tcW w:type="dxa" w:w="7026"/>
            <w:tcMar>
              <w:top w:type="dxa" w:w="60"/>
              <w:left w:type="dxa" w:w="100"/>
              <w:bottom w:type="dxa" w:w="60"/>
              <w:right w:type="dxa" w:w="100"/>
            </w:tcMar>
          </w:tcPr>
          <w:p>
            <w:r>
              <w:rPr>
                <w:rFonts w:ascii="Calibri" w:cs="Calibri" w:eastAsia="Calibri" w:hAnsi="Calibri"/>
                <w:b w:val="false"/>
                <w:bCs w:val="false"/>
                <w:sz w:val="20"/>
                <w:szCs w:val="20"/>
              </w:rPr>
              <w:t xml:space="preserve">Billing first, tariff tables per HMO, receipts, OTC sales, hybrid hosting option, patient SMS</w:t>
            </w:r>
          </w:p>
        </w:tc>
      </w:tr>
    </w:tbl>
    <w:p>
      <w:pPr>
        <w:pStyle w:val="Heading2"/>
        <w:spacing w:after="120" w:before="280"/>
      </w:pPr>
      <w:r>
        <w:t xml:space="preserve">2.4 MVP order (recommendation, decision pending)</w:t>
      </w:r>
    </w:p>
    <w:p>
      <w:pPr>
        <w:spacing w:after="120"/>
      </w:pPr>
      <w:r>
        <w:rPr>
          <w:rFonts w:ascii="Calibri" w:cs="Calibri" w:eastAsia="Calibri" w:hAnsi="Calibri"/>
          <w:sz w:val="22"/>
          <w:szCs w:val="22"/>
        </w:rPr>
        <w:t xml:space="preserve">Core plus the secondary profile first. It exercises the widest workflow set (OPD, IPD, lab, pharmacy, billing) and serves both public general hospitals and mid-size private hospitals. The PHC profile follows as a subset. Tertiary comes last, since it mostly adds scale and departments.</w:t>
      </w:r>
    </w:p>
    <w:p>
      <w:pPr>
        <w:pStyle w:val="Heading2"/>
        <w:spacing w:after="120" w:before="280"/>
      </w:pPr>
      <w:r>
        <w:t xml:space="preserve">2.5 Out of scope for version 1</w:t>
      </w:r>
    </w:p>
    <w:p>
      <w:pPr>
        <w:spacing w:after="120"/>
      </w:pPr>
      <w:r>
        <w:rPr>
          <w:rFonts w:ascii="Calibri" w:cs="Calibri" w:eastAsia="Calibri" w:hAnsi="Calibri"/>
          <w:sz w:val="22"/>
          <w:szCs w:val="22"/>
        </w:rPr>
        <w:t xml:space="preserve">Telemedicine, patient portal, HR and payroll, full accounting, biometrics, PACS, AI decision support, national HIE participation beyond FHIR export, online payment gateways, SMS reply handling, direct DHIS2 or LIMS connections, analyzer interfacing, multi-site instances (one installation serves one facility).</w:t>
      </w:r>
    </w:p>
    <w:p>
      <w:pPr>
        <w:pStyle w:val="Heading2"/>
        <w:spacing w:after="120" w:before="280"/>
      </w:pPr>
      <w:r>
        <w:t xml:space="preserve">2.6 Assumptions</w:t>
      </w:r>
    </w:p>
    <w:p>
      <w:pPr>
        <w:spacing w:after="120"/>
      </w:pPr>
      <w:r>
        <w:rPr>
          <w:rFonts w:ascii="Calibri" w:cs="Calibri" w:eastAsia="Calibri" w:hAnsi="Calibri"/>
          <w:sz w:val="22"/>
          <w:szCs w:val="22"/>
        </w:rPr>
        <w:t xml:space="preserve">Intermittent power and internet, shared devices, mixed digital literacy, English UI with local-language patient materials later. Facilities may keep paper folders alongside the EHR for years.</w:t>
      </w:r>
    </w:p>
    <w:p>
      <w:pPr>
        <w:pStyle w:val="Heading2"/>
        <w:spacing w:after="120" w:before="280"/>
      </w:pPr>
      <w:r>
        <w:t xml:space="preserve">2.7 Delivered so far (13 September 2026)</w:t>
      </w:r>
    </w:p>
    <w:p>
      <w:pPr>
        <w:spacing w:after="120"/>
      </w:pPr>
      <w:r>
        <w:rPr>
          <w:rFonts w:ascii="Calibri" w:cs="Calibri" w:eastAsia="Calibri" w:hAnsi="Calibri"/>
          <w:sz w:val="22"/>
          <w:szCs w:val="22"/>
        </w:rPr>
        <w:t xml:space="preserve">The following core capabilities exist on the build branch and are the baseline every requirement in section 4 is traced against. Maternity and immunization are in core ahead of the PHC profile.</w:t>
      </w:r>
    </w:p>
    <w:p>
      <w:pPr>
        <w:pStyle w:val="ListParagraph"/>
        <w:numPr>
          <w:ilvl w:val="0"/>
          <w:numId w:val="2"/>
        </w:numPr>
        <w:spacing w:after="60"/>
      </w:pPr>
      <w:r>
        <w:rPr>
          <w:rFonts w:ascii="Calibri" w:cs="Calibri" w:eastAsia="Calibri" w:hAnsi="Calibri"/>
          <w:sz w:val="22"/>
          <w:szCs w:val="22"/>
        </w:rPr>
        <w:t xml:space="preserve">Registration with a master patient index: typed identifiers (file number, NIN, phone, HMO, national health ID), weighted duplicate detection with database-tuned rules and thresholds, a review queue and an audited merge.</w:t>
      </w:r>
    </w:p>
    <w:p>
      <w:pPr>
        <w:pStyle w:val="ListParagraph"/>
        <w:numPr>
          <w:ilvl w:val="0"/>
          <w:numId w:val="2"/>
        </w:numPr>
        <w:spacing w:after="60"/>
      </w:pPr>
      <w:r>
        <w:rPr>
          <w:rFonts w:ascii="Calibri" w:cs="Calibri" w:eastAsia="Calibri" w:hAnsi="Calibri"/>
          <w:sz w:val="22"/>
          <w:szCs w:val="22"/>
        </w:rPr>
        <w:t xml:space="preserve">Visits holding encounters with SOAP notes, sign-off, dated addenda, problem list, allergies, alerts and a single longitudinal timeline.</w:t>
      </w:r>
    </w:p>
    <w:p>
      <w:pPr>
        <w:pStyle w:val="ListParagraph"/>
        <w:numPr>
          <w:ilvl w:val="0"/>
          <w:numId w:val="2"/>
        </w:numPr>
        <w:spacing w:after="60"/>
      </w:pPr>
      <w:r>
        <w:rPr>
          <w:rFonts w:ascii="Calibri" w:cs="Calibri" w:eastAsia="Calibri" w:hAnsi="Calibri"/>
          <w:sz w:val="22"/>
          <w:szCs w:val="22"/>
        </w:rPr>
        <w:t xml:space="preserve">Terminology tables (concepts, sources, mappings, synonyms) with ICD-10, LOINC and Nigeria EML sources.</w:t>
      </w:r>
    </w:p>
    <w:p>
      <w:pPr>
        <w:pStyle w:val="ListParagraph"/>
        <w:numPr>
          <w:ilvl w:val="0"/>
          <w:numId w:val="2"/>
        </w:numPr>
        <w:spacing w:after="60"/>
      </w:pPr>
      <w:r>
        <w:rPr>
          <w:rFonts w:ascii="Calibri" w:cs="Calibri" w:eastAsia="Calibri" w:hAnsi="Calibri"/>
          <w:sz w:val="22"/>
          <w:szCs w:val="22"/>
        </w:rPr>
        <w:t xml:space="preserve">Patient-flow pathways defined as data (OPD, ANC, immunization, emergency) driving service-point queues, encounter types and stage fees; slot-based appointments with provider schedules.</w:t>
      </w:r>
    </w:p>
    <w:p>
      <w:pPr>
        <w:pStyle w:val="ListParagraph"/>
        <w:numPr>
          <w:ilvl w:val="0"/>
          <w:numId w:val="2"/>
        </w:numPr>
        <w:spacing w:after="60"/>
      </w:pPr>
      <w:r>
        <w:rPr>
          <w:rFonts w:ascii="Calibri" w:cs="Calibri" w:eastAsia="Calibri" w:hAnsi="Calibri"/>
          <w:sz w:val="22"/>
          <w:szCs w:val="22"/>
        </w:rPr>
        <w:t xml:space="preserve">Laboratory order, collection, receipt, result and verification with panels, reference ranges and flags.</w:t>
      </w:r>
    </w:p>
    <w:p>
      <w:pPr>
        <w:pStyle w:val="ListParagraph"/>
        <w:numPr>
          <w:ilvl w:val="0"/>
          <w:numId w:val="2"/>
        </w:numPr>
        <w:spacing w:after="60"/>
      </w:pPr>
      <w:r>
        <w:rPr>
          <w:rFonts w:ascii="Calibri" w:cs="Calibri" w:eastAsia="Calibri" w:hAnsi="Calibri"/>
          <w:sz w:val="22"/>
          <w:szCs w:val="22"/>
        </w:rPr>
        <w:t xml:space="preserve">Prescribing and dispensing against multi-location stock with batches, FEFO, requisitions and reorder planning.</w:t>
      </w:r>
    </w:p>
    <w:p>
      <w:pPr>
        <w:pStyle w:val="ListParagraph"/>
        <w:numPr>
          <w:ilvl w:val="0"/>
          <w:numId w:val="2"/>
        </w:numPr>
        <w:spacing w:after="60"/>
      </w:pPr>
      <w:r>
        <w:rPr>
          <w:rFonts w:ascii="Calibri" w:cs="Calibri" w:eastAsia="Calibri" w:hAnsi="Calibri"/>
          <w:sz w:val="22"/>
          <w:szCs w:val="22"/>
        </w:rPr>
        <w:t xml:space="preserve">Bills, versioned fee schedule, payments, payers, claims and claim batches with remittance.</w:t>
      </w:r>
    </w:p>
    <w:p>
      <w:pPr>
        <w:pStyle w:val="ListParagraph"/>
        <w:numPr>
          <w:ilvl w:val="0"/>
          <w:numId w:val="2"/>
        </w:numPr>
        <w:spacing w:after="60"/>
      </w:pPr>
      <w:r>
        <w:rPr>
          <w:rFonts w:ascii="Calibri" w:cs="Calibri" w:eastAsia="Calibri" w:hAnsi="Calibri"/>
          <w:sz w:val="22"/>
          <w:szCs w:val="22"/>
        </w:rPr>
        <w:t xml:space="preserve">Admissions, wards, beds, transfers, ward-round notes and discharge with death recording.</w:t>
      </w:r>
    </w:p>
    <w:p>
      <w:pPr>
        <w:pStyle w:val="ListParagraph"/>
        <w:numPr>
          <w:ilvl w:val="0"/>
          <w:numId w:val="2"/>
        </w:numPr>
        <w:spacing w:after="60"/>
      </w:pPr>
      <w:r>
        <w:rPr>
          <w:rFonts w:ascii="Calibri" w:cs="Calibri" w:eastAsia="Calibri" w:hAnsi="Calibri"/>
          <w:sz w:val="22"/>
          <w:szCs w:val="22"/>
        </w:rPr>
        <w:t xml:space="preserve">Maternity (pregnancies, deliveries, births with newborn linkage) and immunization records.</w:t>
      </w:r>
    </w:p>
    <w:p>
      <w:pPr>
        <w:pStyle w:val="ListParagraph"/>
        <w:numPr>
          <w:ilvl w:val="0"/>
          <w:numId w:val="2"/>
        </w:numPr>
        <w:spacing w:after="60"/>
      </w:pPr>
      <w:r>
        <w:rPr>
          <w:rFonts w:ascii="Calibri" w:cs="Calibri" w:eastAsia="Calibri" w:hAnsi="Calibri"/>
          <w:sz w:val="22"/>
          <w:szCs w:val="22"/>
        </w:rPr>
        <w:t xml:space="preserve">IDSR case surveillance opened from coded diagnoses with a notification worklist, line list and weekly summary.</w:t>
      </w:r>
    </w:p>
    <w:p>
      <w:pPr>
        <w:pStyle w:val="ListParagraph"/>
        <w:numPr>
          <w:ilvl w:val="0"/>
          <w:numId w:val="2"/>
        </w:numPr>
        <w:spacing w:after="60"/>
      </w:pPr>
      <w:r>
        <w:rPr>
          <w:rFonts w:ascii="Calibri" w:cs="Calibri" w:eastAsia="Calibri" w:hAnsi="Calibri"/>
          <w:sz w:val="22"/>
          <w:szCs w:val="22"/>
        </w:rPr>
        <w:t xml:space="preserve">Outbound referrals with a printed letter and counter-referral slip.</w:t>
      </w:r>
    </w:p>
    <w:p>
      <w:pPr>
        <w:pStyle w:val="ListParagraph"/>
        <w:numPr>
          <w:ilvl w:val="0"/>
          <w:numId w:val="2"/>
        </w:numPr>
        <w:spacing w:after="60"/>
      </w:pPr>
      <w:r>
        <w:rPr>
          <w:rFonts w:ascii="Calibri" w:cs="Calibri" w:eastAsia="Calibri" w:hAnsi="Calibri"/>
          <w:sz w:val="22"/>
          <w:szCs w:val="22"/>
        </w:rPr>
        <w:t xml:space="preserve">NHMIS monthly summaries for OPD, morbidity, inpatient, MCH and laboratory; 36 catalogue reports with CSV export; a role-aware dashboard.</w:t>
      </w:r>
    </w:p>
    <w:p>
      <w:pPr>
        <w:pStyle w:val="ListParagraph"/>
        <w:numPr>
          <w:ilvl w:val="0"/>
          <w:numId w:val="2"/>
        </w:numPr>
        <w:spacing w:after="60"/>
      </w:pPr>
      <w:r>
        <w:rPr>
          <w:rFonts w:ascii="Calibri" w:cs="Calibri" w:eastAsia="Calibri" w:hAnsi="Calibri"/>
          <w:sz w:val="22"/>
          <w:szCs w:val="22"/>
        </w:rPr>
        <w:t xml:space="preserve">Data-quality module: 16 rules across completeness, validity, duplicates and timeliness, event-driven and nightly, with waivers and a scorecard.</w:t>
      </w:r>
    </w:p>
    <w:p>
      <w:pPr>
        <w:pStyle w:val="ListParagraph"/>
        <w:numPr>
          <w:ilvl w:val="0"/>
          <w:numId w:val="2"/>
        </w:numPr>
        <w:spacing w:after="60"/>
      </w:pPr>
      <w:r>
        <w:rPr>
          <w:rFonts w:ascii="Calibri" w:cs="Calibri" w:eastAsia="Calibri" w:hAnsi="Calibri"/>
          <w:sz w:val="22"/>
          <w:szCs w:val="22"/>
        </w:rPr>
        <w:t xml:space="preserve">Roles with module and action permissions, TOTP and passkeys, and a tamper-evident audit trail that logs reads and verifies a hash chain.</w:t>
      </w:r>
    </w:p>
    <w:p>
      <w:pPr>
        <w:pStyle w:val="ListParagraph"/>
        <w:numPr>
          <w:ilvl w:val="0"/>
          <w:numId w:val="2"/>
        </w:numPr>
        <w:spacing w:after="60"/>
      </w:pPr>
      <w:r>
        <w:rPr>
          <w:rFonts w:ascii="Calibri" w:cs="Calibri" w:eastAsia="Calibri" w:hAnsi="Calibri"/>
          <w:sz w:val="22"/>
          <w:szCs w:val="22"/>
        </w:rPr>
        <w:t xml:space="preserve">A three-step facility setup wizard and facility profile.</w:t>
      </w:r>
    </w:p>
    <w:p>
      <w:pPr>
        <w:pStyle w:val="Heading1"/>
        <w:spacing w:after="160" w:before="360"/>
      </w:pPr>
      <w:r>
        <w:t xml:space="preserve">3. Design principles</w:t>
      </w:r>
    </w:p>
    <w:p>
      <w:pPr>
        <w:pStyle w:val="ListParagraph"/>
        <w:numPr>
          <w:ilvl w:val="0"/>
          <w:numId w:val="2"/>
        </w:numPr>
        <w:spacing w:after="60"/>
      </w:pPr>
      <w:r>
        <w:rPr>
          <w:rFonts w:ascii="Calibri" w:cs="Calibri" w:eastAsia="Calibri" w:hAnsi="Calibri"/>
          <w:sz w:val="22"/>
          <w:szCs w:val="22"/>
        </w:rPr>
        <w:t xml:space="preserve">Standalone first. Every feature works with zero internet, forever. Internet is an optional accelerator, never a dependency. Anything leaving or entering the facility is a file first (USB, email attachment, shared drive), with a network channel as a convenience when one exists.</w:t>
      </w:r>
    </w:p>
    <w:p>
      <w:pPr>
        <w:pStyle w:val="ListParagraph"/>
        <w:numPr>
          <w:ilvl w:val="0"/>
          <w:numId w:val="2"/>
        </w:numPr>
        <w:spacing w:after="60"/>
      </w:pPr>
      <w:r>
        <w:rPr>
          <w:rFonts w:ascii="Calibri" w:cs="Calibri" w:eastAsia="Calibri" w:hAnsi="Calibri"/>
          <w:sz w:val="22"/>
          <w:szCs w:val="22"/>
        </w:rPr>
        <w:t xml:space="preserve">One core, many profiles. Tiers are configuration, not forks.</w:t>
      </w:r>
    </w:p>
    <w:p>
      <w:pPr>
        <w:pStyle w:val="ListParagraph"/>
        <w:numPr>
          <w:ilvl w:val="0"/>
          <w:numId w:val="2"/>
        </w:numPr>
        <w:spacing w:after="60"/>
      </w:pPr>
      <w:r>
        <w:rPr>
          <w:rFonts w:ascii="Calibri" w:cs="Calibri" w:eastAsia="Calibri" w:hAnsi="Calibri"/>
          <w:sz w:val="22"/>
          <w:szCs w:val="22"/>
        </w:rPr>
        <w:t xml:space="preserve">Configuration is data. Forms, concepts, reports, mappings, tariffs, regimens, rules, and program packs ship as versioned files and never require a code release.</w:t>
      </w:r>
    </w:p>
    <w:p>
      <w:pPr>
        <w:pStyle w:val="ListParagraph"/>
        <w:numPr>
          <w:ilvl w:val="0"/>
          <w:numId w:val="2"/>
        </w:numPr>
        <w:spacing w:after="60"/>
      </w:pPr>
      <w:r>
        <w:rPr>
          <w:rFonts w:ascii="Calibri" w:cs="Calibri" w:eastAsia="Calibri" w:hAnsi="Calibri"/>
          <w:sz w:val="22"/>
          <w:szCs w:val="22"/>
        </w:rPr>
        <w:t xml:space="preserve">FHIR-aligned from day one. The internal model maps cleanly to FHIR R4 so exports, transfers, and future integrations need no redesign.</w:t>
      </w:r>
    </w:p>
    <w:p>
      <w:pPr>
        <w:pStyle w:val="ListParagraph"/>
        <w:numPr>
          <w:ilvl w:val="0"/>
          <w:numId w:val="2"/>
        </w:numPr>
        <w:spacing w:after="60"/>
      </w:pPr>
      <w:r>
        <w:rPr>
          <w:rFonts w:ascii="Calibri" w:cs="Calibri" w:eastAsia="Calibri" w:hAnsi="Calibri"/>
          <w:sz w:val="22"/>
          <w:szCs w:val="22"/>
        </w:rPr>
        <w:t xml:space="preserve">The facility owns its data. The facility instance is the source of truth; central copies are read-only aggregates; full export in open formats is always available.</w:t>
      </w:r>
    </w:p>
    <w:p>
      <w:pPr>
        <w:pStyle w:val="ListParagraph"/>
        <w:numPr>
          <w:ilvl w:val="0"/>
          <w:numId w:val="2"/>
        </w:numPr>
        <w:spacing w:after="60"/>
      </w:pPr>
      <w:r>
        <w:rPr>
          <w:rFonts w:ascii="Calibri" w:cs="Calibri" w:eastAsia="Calibri" w:hAnsi="Calibri"/>
          <w:sz w:val="22"/>
          <w:szCs w:val="22"/>
        </w:rPr>
        <w:t xml:space="preserve">Built for retrospective entry and point of care equally.</w:t>
      </w:r>
    </w:p>
    <w:p>
      <w:pPr>
        <w:pStyle w:val="ListParagraph"/>
        <w:numPr>
          <w:ilvl w:val="0"/>
          <w:numId w:val="2"/>
        </w:numPr>
        <w:spacing w:after="60"/>
      </w:pPr>
      <w:r>
        <w:rPr>
          <w:rFonts w:ascii="Calibri" w:cs="Calibri" w:eastAsia="Calibri" w:hAnsi="Calibri"/>
          <w:sz w:val="22"/>
          <w:szCs w:val="22"/>
        </w:rPr>
        <w:t xml:space="preserve">Open-core licensing. The core is open source; paid modules and support activate by file.</w:t>
      </w:r>
    </w:p>
    <w:p>
      <w:pPr>
        <w:pStyle w:val="ListParagraph"/>
        <w:numPr>
          <w:ilvl w:val="0"/>
          <w:numId w:val="2"/>
        </w:numPr>
        <w:spacing w:after="60"/>
      </w:pPr>
      <w:r>
        <w:rPr>
          <w:rFonts w:ascii="Calibri" w:cs="Calibri" w:eastAsia="Calibri" w:hAnsi="Calibri"/>
          <w:sz w:val="22"/>
          <w:szCs w:val="22"/>
        </w:rPr>
        <w:t xml:space="preserve">PHP, platform independent. One installer bundles the PHP runtime, the web server and an embedded SQLite database; browser clients on the LAN install nothing.</w:t>
      </w:r>
    </w:p>
    <w:p>
      <w:pPr>
        <w:pStyle w:val="Heading1"/>
        <w:spacing w:after="160" w:before="360"/>
      </w:pPr>
      <w:r>
        <w:t xml:space="preserve">4. Functional requirements</w:t>
      </w:r>
    </w:p>
    <w:p>
      <w:pPr>
        <w:pStyle w:val="Heading2"/>
        <w:spacing w:after="120" w:before="280"/>
      </w:pPr>
      <w:r>
        <w:t xml:space="preserve">4.1 Registration and Master Patient Index</w:t>
      </w:r>
    </w:p>
    <w:p>
      <w:pPr>
        <w:pStyle w:val="Heading3"/>
        <w:spacing w:after="80" w:before="200"/>
      </w:pPr>
      <w:r>
        <w:t xml:space="preserve">Identifiers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patient gets a facility hospital number, auto-generated, format configurable per facility (prefix, sequence, check digit). Numbers never collide across devices in the same facility when offline (per-device ranges or a central pool).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Support multiple identifier types per patient: NIN, NHIA number, HMO ID, program IDs (ART number, PEPFAR ID, TB number), legacy card numbers. All optional except the hospital number. Identifier types are configurable.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Print and reprint a patient card with hospital number and QR or barcode. Scanning the card opens the record.</w:t>
            </w:r>
          </w:p>
        </w:tc>
      </w:tr>
    </w:tbl>
    <w:p>
      <w:pPr>
        <w:pStyle w:val="Heading3"/>
        <w:spacing w:after="80" w:before="200"/>
      </w:pPr>
      <w:r>
        <w:t xml:space="preserve">Demographics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Names support single names, multiple given names, hyphenation, and diacritics. A phonetic key is stored for search.</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Date of birth with an estimated flag and an age-entry mode (enter age, system derives DOB).</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Address as a hierarchy: State, LGA, ward, settlement or street, loaded as reference data and editable by admins.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Phone fields: primary, alternate, and phone owner (self, spouse, other). Consent flag for SMS.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Next of kin with relationship, phone, and address.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Other fields (occupation, marital status, education, religion) are profile-configurable and can be hidden or made mandatory.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Optional photo capture from webcam or phone camera.</w:t>
            </w:r>
          </w:p>
        </w:tc>
      </w:tr>
    </w:tbl>
    <w:p>
      <w:pPr>
        <w:pStyle w:val="Heading3"/>
        <w:spacing w:after="80" w:before="200"/>
      </w:pPr>
      <w:r>
        <w:t xml:space="preserve">Search and duplicates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Search by name (fuzzy and phonetic), identifier, phone, DOB, or card scan. Partial matches allowed. Results within 2 seconds on 200,000 patients on facility hardware.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 duplicate check runs before every save, scoring on name, sex, DOB, phone, and address. Likely matches are shown and the user must confirm new patient or pick an existing one.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Merge two records with a full audit trail and an unmerge option. Merges preserve all identifiers and encounters.</w:t>
            </w:r>
          </w:p>
        </w:tc>
      </w:tr>
    </w:tbl>
    <w:p>
      <w:pPr>
        <w:pStyle w:val="Heading3"/>
        <w:spacing w:after="80" w:before="200"/>
      </w:pPr>
      <w:r>
        <w:t xml:space="preserve">Registration modes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Full registration at point of care.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Quick registration with minimal fields (name, sex, age, phone) for emergencies, with a complete-later flag that appears on a worklist.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Retrospective entry that preserves the original registration date, not the entry date.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Bulk import from NMRS, LAMISPlus, or spreadsheets with a field-mapping step and duplicate screening.</w:t>
            </w:r>
          </w:p>
        </w:tc>
      </w:tr>
    </w:tbl>
    <w:p>
      <w:pPr>
        <w:pStyle w:val="Heading3"/>
        <w:spacing w:after="80" w:before="200"/>
      </w:pPr>
      <w:r>
        <w:t xml:space="preserve">Relationships and status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Link records: mother to child, household members, index to contact.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REG-19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Patient status: active, transferred out (with destination), dead (date, cause), lost to follow-up. Status changes are dated and audited.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REG-20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Restricted-record flag for sensitive cases (HIV, VIP, mental health). Opening a restricted record needs a role permission or a logged break-the-glass reason.</w:t>
            </w:r>
          </w:p>
        </w:tc>
      </w:tr>
    </w:tbl>
    <w:p>
      <w:pPr>
        <w:pStyle w:val="Heading3"/>
        <w:spacing w:after="80" w:before="200"/>
      </w:pPr>
      <w:r>
        <w:t xml:space="preserve">Routing, validation, interoperability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REG-21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After registration or check-in, route the patient to a service point (triage, clinic, cashier) and place them in that queue.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REG-22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Validation rules: phone format, DOB not in the future, age plausibility per service, mandatory fields per profile.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REG-23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create and edit records who, when, and the previous value.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REG-24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Export and import Patient as FHIR R4, including all identifiers.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REG-25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NIN is treated as the cross-facility key when present, never mandatory.</w:t>
            </w:r>
          </w:p>
        </w:tc>
      </w:tr>
    </w:tbl>
    <w:p>
      <w:pPr>
        <w:pStyle w:val="Heading2"/>
        <w:spacing w:after="120" w:before="280"/>
      </w:pPr>
      <w:r>
        <w:t xml:space="preserve">4.2 Encounters and visits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 visit opens at check-in and closes at exit or discharge. A visit holds many encounters (triage, consult, lab, pharmacy, cashier) across service points.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Encounter types are configurable per profile (OPD, IPD, ANC, immunization, emergency, lab, pharmacy, referral).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Each encounter records patient, type, location, provider, encounter date, and separately the data-entry user and entry date. Backdating is allowed with a permission.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Consultation captures complaint, history, examination, diagnosis, and plan, with a mix of structured fields and free text.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Diagnoses are stored as ICD-10 codes, the coding standard payers, NHMIS and IDSR use in practice. The WHO ICD-11 to ICD-10 crosswalk is bundled as a concept mapping so every ICD-10 diagnosis can be reported with its ICD-11 equivalent where the mapping is one-to-one; ambiguous mappings are queued for HIM review. A facility short-list speeds selection. Each diagnosis is flagged provisional or confirmed.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Problem list, allergies, and chronic conditions persist across visits and show on every chart header.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Vitals with age-appropriate reference ranges, abnormal flags, auto-calculated BMI, MUAC and growth percentiles for children.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Orders originate from the encounter: lab, imaging, drugs, procedures, referral, admission.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The patient chart shows a single timeline of all encounters, results, procedures, and dispensings across programs.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Edit and void require a reason and keep prior values. Encounters can be signed off, after which changes become dated amendments. Sign-off is optional and set per facility.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Attach scanned documents and images to an encounter.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ENC-12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Specialty note templates (paediatrics, O&amp;G, surgery, theatre notes) are forms, not code.</w:t>
            </w:r>
          </w:p>
        </w:tc>
      </w:tr>
    </w:tbl>
    <w:p>
      <w:pPr>
        <w:pStyle w:val="Heading2"/>
        <w:spacing w:after="120" w:before="280"/>
      </w:pPr>
      <w:r>
        <w:t xml:space="preserve">4.3 Forms engine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Forms are defined in versioned JSON, no code. Structure: pages, sections, fields, obs groups, repeating groups.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Field types: numeric with units and ranges, coded single and multi-select, text, date, datetime, boolean, drug, diagnosis, lab test, file, calculated.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field binds to a concept in the dictionary. No orphan fields.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Skip logic, show and hide, defaults, cross-field validation, and calculations are declared in the form definition.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Repeating groups are fully isolated. Values in one repeat can never leak into another.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Versioning: an encounter always renders with the form version it was filled with.</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Two entry modes: point of care (guided, one page at a time) and rapid retrospective (single page, keyboard-first, defined tab order).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Draft and auto-save. A power cut mid-form loses nothing beyond the last field.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Form-level permissions: who can fill, edit, void.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Form builder UI for HI teams: drag and drop, live preview, test with a sample patient, publish, import and export JSON.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Forms are assigned to encounter types, profiles, roles, and programs.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Label translations per field.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FRM-13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Program packs bundle forms, concepts, reports, rules, and workflows (for example the HIV pack: HTS, enrolment, pharmacy, VL) and install offline as one signed file.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FRM-14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obs is queryable. A flattened obs table is maintained so line lists can be written in plain SQL.</w:t>
            </w:r>
          </w:p>
        </w:tc>
      </w:tr>
    </w:tbl>
    <w:p>
      <w:pPr>
        <w:pStyle w:val="Heading2"/>
        <w:spacing w:after="120" w:before="280"/>
      </w:pPr>
      <w:r>
        <w:t xml:space="preserve">4.4 Concept dictionary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DIC-01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Central dictionary seeded from a pinned CIEL release, with datatype, class, answers, units, ranges, and mappings to ICD-11, ICD-10, LOINC, SNOMED CT Global Patient Set, ICHI, ATC, and CIEL. Every concept has a stable UUID shared across all installs; CIEL UUIDs are retained as external identifiers and local concepts live in the product namespace.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DIC-02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Facilities may add local concepts, flagged as local. Central can promote them to the shared dictionary and push updates.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DIC-03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Dictionary changes are versioned and ship inside update bundles.</w:t>
            </w:r>
          </w:p>
        </w:tc>
      </w:tr>
    </w:tbl>
    <w:p>
      <w:pPr>
        <w:pStyle w:val="Heading2"/>
        <w:spacing w:after="120" w:before="280"/>
      </w:pPr>
      <w:r>
        <w:t xml:space="preserve">4.5 Pharmacy: prescribing and dispensing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Drug catalogue seeded from the Nigeria Essential Medicines List, extended per facility. Each item has generic name, strength, form, route, unit, pack size, optional brand and NAFDAC number.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Prescribe from the encounter: drug, dose, frequency, duration, with quantity auto-calculated and editable. Free-text instructions allowed.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Regimen sets: one click prescribes a bundle (ART regimens, TB, malaria by weight band, ANC routine). Regimens are configurable data shipped in program packs.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Weight-based paediatric dosing with a weight prompt when no recent weight exists.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Alerts on allergy, duplicate therapy, and a small configurable interaction list. Alerts can be overridden with a reason.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Prescription states: pending, partially dispensed, dispensed, substituted, cancelled, expired.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Multi-month dispensing: quantity covers N months, next pickup date is set, missed pickups appear on a worklist.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Dispensing queue per pharmacy point. Dispense against the prescription, recording batch, expiry, and quantity. Partial dispense and substitution with reason.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Walk-in prescriptions and OTC sales (private profile, in v1) create a dispensing without a consultation.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Fast refill path: scan card, confirm regimen, dispense, done.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Print labels and dispensing slips.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PHM-12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When billing is on, charges post at prescription or at dispense, configurable per facility. Unpaid items can block dispensing if the facility chooses.</w:t>
            </w:r>
          </w:p>
        </w:tc>
      </w:tr>
    </w:tbl>
    <w:p>
      <w:pPr>
        <w:pStyle w:val="Heading2"/>
        <w:spacing w:after="120" w:before="280"/>
      </w:pPr>
      <w:r>
        <w:t xml:space="preserve">4.6 Stock and logistics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Multiple stores per facility (main store, pharmacy, wards, lab reagents, treatment room) with separate ledgers and issue-between-store transfers.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item carries a funding source tag (government, DRF, PEPFAR, Global Fund, private purchase) so program stock and revolving-fund stock never mix in reports.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Batch and expiry tracking. FEFO suggested at dispense. Expiry alerts at 90, 60, and 30 days.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Transactions: receipt, issue, adjustment with reason, return, disposal, physical count with variance reconciliation. All auditable.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Bin card view per item per store, matching the paper bin card layout.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Min and max levels, reorder alerts, months of stock calculated from consumption.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Consumption and requisition reports that match the NHLMIS forms for program commodities and a DRF stock report for facility stock. Export to spreadsheet. No direct LMIS connection in v1.</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Cost and selling price per item with price history. Program commodities default to zero price.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Import item master and opening balances from spreadsheet. Barcode scanning optional.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STK-10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Stock levels are visible to prescribers as a stock-out warning at the point of prescribing.</w:t>
            </w:r>
          </w:p>
        </w:tc>
      </w:tr>
    </w:tbl>
    <w:p>
      <w:pPr>
        <w:pStyle w:val="Heading2"/>
        <w:spacing w:after="120" w:before="280"/>
      </w:pPr>
      <w:r>
        <w:t xml:space="preserve">4.7 Laboratory</w:t>
      </w:r>
    </w:p>
    <w:p>
      <w:pPr>
        <w:pStyle w:val="Heading3"/>
        <w:spacing w:after="80" w:before="200"/>
      </w:pPr>
      <w:r>
        <w:t xml:space="preserve">Catalogue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Test catalogue per facility with name, sample type, container, LOINC mapping, unit, turnaround target, and price. Panels group tests (FBC, LFT, ANC profile).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Reference ranges by age band and sex, with critical-value thresholds.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Result types: numeric, coded (reactive or non-reactive, positive or negative), text, and structured multi-field (FBC, urinalysis).</w:t>
            </w:r>
          </w:p>
        </w:tc>
      </w:tr>
    </w:tbl>
    <w:p>
      <w:pPr>
        <w:pStyle w:val="Heading3"/>
        <w:spacing w:after="80" w:before="200"/>
      </w:pPr>
      <w:r>
        <w:t xml:space="preserve">Ordering and samples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Orders come from the encounter or as walk-in lab requests. Each order gets a unique sample ID, printable as a barcode label.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Sample lifecycle: ordered, collected, received, in progress, resulted, validated, released, rejected. Each step is timestamped and attributed.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Sample rejection with reason (haemolysed, unlabelled, insufficient) triggers a recollect task.</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Referred samples: mark a sample as sent to an external lab (VL/EID PCR hub, GeneXpert site, private reference lab) with dispatch date, destination, and expected return. A worklist tracks overdue referrals.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Point-of-care tests (malaria RDT, HIV RDT, glucose, pregnancy) can be ordered and resulted in one step by a nurse or CHEW without going through the lab queue.</w:t>
            </w:r>
          </w:p>
        </w:tc>
      </w:tr>
    </w:tbl>
    <w:p>
      <w:pPr>
        <w:pStyle w:val="Heading3"/>
        <w:spacing w:after="80" w:before="200"/>
      </w:pPr>
      <w:r>
        <w:t xml:space="preserve">Results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Result entry per sample or in batch by test (enter the day's malaria RDTs on one screen).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Two-step release where the facility chooses: enter, then validate by a senior scientist. Per-facility toggle.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Abnormal and critical flags shown to the ordering clinician. Critical values raise an on-screen alert and appear on a clinician worklist.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External results the patient brings from another facility can be entered as external with source and date, kept separate from in-house results.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Import results from a file (CSV or Excel) for VL, EID, and GeneXpert batches returned by hub labs, matched on sample ID with an exception list for mismatches. Exchange with the national LIMS stays file-based.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Printed result slip with facility header, and result history per patient with trend graphs for numeric tests (VL, CD4, Hb, glucose).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Amend a released result with reason; the original stays visible.</w:t>
            </w:r>
          </w:p>
        </w:tc>
      </w:tr>
    </w:tbl>
    <w:p>
      <w:pPr>
        <w:pStyle w:val="Heading3"/>
        <w:spacing w:after="80" w:before="200"/>
      </w:pPr>
      <w:r>
        <w:t xml:space="preserve">Operations and interoperability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Turnaround time and workload reports per test and per scientist.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Reagent consumption links to the lab store ledger in the stock module.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When billing is on, unpaid tests can be held at ordered until payment, configurable.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LAB-19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Analyzer interfacing (HL7 or ASTM) is designed for but not built in v1. The result model must accept machine-sourced results without change.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LAB-20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Export ServiceRequest, Specimen, and Observation as FHIR R4.</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LAB-21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VL and EID results map to the fields NDR expects so the HIV pack can export them without transformation.</w:t>
            </w:r>
          </w:p>
        </w:tc>
      </w:tr>
    </w:tbl>
    <w:p>
      <w:pPr>
        <w:spacing w:after="120"/>
      </w:pPr>
      <w:r>
        <w:rPr>
          <w:rFonts w:ascii="Calibri" w:cs="Calibri" w:eastAsia="Calibri" w:hAnsi="Calibri"/>
          <w:sz w:val="22"/>
          <w:szCs w:val="22"/>
        </w:rPr>
        <w:t xml:space="preserve">Radiology is a separate module (not drafted in this version) that reuses the same order and result pattern with image reports as text results.</w:t>
      </w:r>
    </w:p>
    <w:p>
      <w:pPr>
        <w:pStyle w:val="Heading2"/>
        <w:spacing w:after="120" w:before="280"/>
      </w:pPr>
      <w:r>
        <w:t xml:space="preserve">4.8 Billing and claims</w:t>
      </w:r>
    </w:p>
    <w:p>
      <w:pPr>
        <w:pStyle w:val="Heading3"/>
        <w:spacing w:after="80" w:before="200"/>
      </w:pPr>
      <w:r>
        <w:t xml:space="preserve">Switch and setup</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Billing is a facility-level switch. When off, no prices or payment steps appear anywhere in the workflow.</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Price list per facility covering services, procedures, tests, drugs, bed days, and packages (normal delivery, caesarean). Prices carry effective dates and history.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Payer setup: out of pocket, NHIA, state health insurance schemes, HMOs, corporate accounts, and exemption schemes. Each payer has its own tariff table and coverage rules (covered, co-pay, excluded). Tariff templates for named state schemes ship with the product.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Patient enrolment per payer: policy number, plan, validity dates, dependants, and a scan of the ID card.</w:t>
            </w:r>
          </w:p>
        </w:tc>
      </w:tr>
    </w:tbl>
    <w:p>
      <w:pPr>
        <w:pStyle w:val="Heading3"/>
        <w:spacing w:after="80" w:before="200"/>
      </w:pPr>
      <w:r>
        <w:t xml:space="preserve">Charging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Charges post automatically from orders, prescriptions, dispensings, procedures, and bed occupancy. Manual charges allowed with a reason.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 patient can have more than one payer on a visit. The split is applied per line item from the coverage rules.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Pre-authorisation: record the HMO authorisation code per service, with a worklist of services awaiting a code.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Exemptions and waivers (free MCH, indigent, staff) with approval role and reason. Waived amounts are reported, not hidden.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Inpatient deposits, running bill by admission, interim bills, and final settlement at discharge.</w:t>
            </w:r>
          </w:p>
        </w:tc>
      </w:tr>
    </w:tbl>
    <w:p>
      <w:pPr>
        <w:pStyle w:val="Heading3"/>
        <w:spacing w:after="80" w:before="200"/>
      </w:pPr>
      <w:r>
        <w:t xml:space="preserve">Payment and cashier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Payment methods: cash, POS, bank transfer, mobile money. Reference numbers for non-cash payments are captured manually. No online gateway in v1.</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Receipts print and reprint with unique numbers. Partial payments and balance carried forward.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Refunds and credit notes with approval role.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Cashier shifts: open, close, and reconcile collected versus posted, with a shift report.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Service points can hold delivery of a service until payment, configurable per service point.</w:t>
            </w:r>
          </w:p>
        </w:tc>
      </w:tr>
    </w:tbl>
    <w:p>
      <w:pPr>
        <w:pStyle w:val="Heading3"/>
        <w:spacing w:after="80" w:before="200"/>
      </w:pPr>
      <w:r>
        <w:t xml:space="preserve">Claims and reporting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Claims are generated per payer per encounter from posted charges, carrying the stored ICD-10 diagnosis codes and NHIA procedure codes, since payers work in ICD-10.</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Claim batches export in the format each payer accepts: spreadsheet, PDF encounter form, and an NHIA-compatible layout. Formats are templates editable by admins.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Claim lifecycle: draft, submitted, queried, paid, partially paid, rejected. Remittance can be recorded against a batch to reconcile.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Capitation tracking for NHIA and state schemes: enrolled lives per facility and utilisation per period.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BIL-19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Revenue by service, department, payer, cashier, and period. Outstanding balances and debtors list. Waiver and exemption totals.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BIL-20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DRF income and drug sales reconcile to the stock module.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BIL-21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Export Coverage, Claim, and ClaimResponse as FHIR R4 for when payer APIs arrive.</w:t>
            </w:r>
          </w:p>
        </w:tc>
      </w:tr>
    </w:tbl>
    <w:p>
      <w:pPr>
        <w:pStyle w:val="Heading2"/>
        <w:spacing w:after="120" w:before="280"/>
      </w:pPr>
      <w:r>
        <w:t xml:space="preserve">4.9 Inpatient: admission, wards, discharge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Admission order from an encounter (OPD, emergency, ANC, referral in) with admitting diagnosis, ward, and admitting clinician.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Ward and bed register per facility: wards, rooms, beds, bed types (general, private, ICU, NICU, labour). Bed states: free, occupied, reserved, out of service.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Assign a bed at admission. Admission can proceed without a bed and be flagged for allocation.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Deposit rule per facility: admission can require a deposit when billing is on, with a waiver path.</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Care team per admission: consultant, unit, attending doctors, assigned nurses. Changes are dated.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Ward view: current census, bed map, patient list with alerts (critical results, due medications, overdue vitals).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Nursing charts as scheduled tasks: vitals at set intervals, fluid balance, glucose monitoring, wound care. Overdue tasks are visible on the ward view.</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Drug administration record: each prescribed dose becomes a scheduled administration. Nurses record given, refused, missed, or held with reason. Ward stock draws down from the ward store.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Daily review note and ward round orders use the same encounter model as OPD.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Nursing handover summary per shift, generated from the day's notes and tasks, editable.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Diet orders and procedure or theatre requests attach to the admission.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Transfer between wards, beds, or units with reason. Bed history is kept per admission.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Mother and newborn: a delivery creates the baby's record linked to the mother, with a shared or separate bed as configured.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Discharge types: routine, against medical advice, referred out (destination captured), absconded, died.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Discharge summary generated from the admission (diagnoses, procedures, key results, discharge drugs, follow-up date), editable and printable.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Death recording: date, time, cause (ICD-10, with the ICD-11 mapping), certifying clinician, and handoff to mortuary or release. Patient status updates automatically.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Final bill settles at discharge when billing is on. Discharge can be held for settlement, configurable.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Follow-up appointment created at discharge.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ADT-19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Bed occupancy rate, average length of stay, admissions and discharges by ward and diagnosis, inpatient deaths, DAMA rate. These feed the NHMIS inpatient summary.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ADT-20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Export Encounter (inpatient class), Location, and MedicationAdministration as FHIR R4.</w:t>
            </w:r>
          </w:p>
        </w:tc>
      </w:tr>
    </w:tbl>
    <w:p>
      <w:pPr>
        <w:spacing w:after="120"/>
      </w:pPr>
      <w:r>
        <w:rPr>
          <w:rFonts w:ascii="Calibri" w:cs="Calibri" w:eastAsia="Calibri" w:hAnsi="Calibri"/>
          <w:sz w:val="22"/>
          <w:szCs w:val="22"/>
        </w:rPr>
        <w:t xml:space="preserve">Theatre is handled as forms (operation note, anaesthesia record) in v1. The emergency unit uses the standard OPD triage.</w:t>
      </w:r>
    </w:p>
    <w:p>
      <w:pPr>
        <w:pStyle w:val="Heading2"/>
        <w:spacing w:after="120" w:before="280"/>
      </w:pPr>
      <w:r>
        <w:t xml:space="preserve">4.10 Queues and service points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QUE-01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service point (registration, triage, consulting rooms, lab, pharmacy, cashier, treatment room) has a queue. Patients move between queues as the visit progresses.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QUE-02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Queue entry on check-in with a printable ticket number. First come first served by default, with priority tags (emergency, elderly, pregnant, disabled, staff).</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QUE-03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Clinician pulls the next patient or picks by name. Status per entry: waiting, in service, done, skipped, left without being seen.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QUE-04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Queue display screen mode for a TV or monitor showing called numbers per room. Optional, secondary and tertiary profiles.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QUE-05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Clinic days and sessions are configurable. Check-in outside a session prompts a warning, not a block.</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QUE-06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Waiting time and throughput reports per service point and per session.</w:t>
            </w:r>
          </w:p>
        </w:tc>
      </w:tr>
    </w:tbl>
    <w:p>
      <w:pPr>
        <w:pStyle w:val="Heading2"/>
        <w:spacing w:after="120" w:before="280"/>
      </w:pPr>
      <w:r>
        <w:t xml:space="preserve">4.11 Appointments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Appointments are date-based by default. A facility can enable slots and provider schedules.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Appointment types: return visit, drug pickup, lab pickup, ANC visit, immunization, post-discharge, referral in. Types carry a default interval so a follow-up date is proposed automatically.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Daily expected list per clinic. Check-in against the list marks the appointment honoured.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Missed appointments generate a defaulter worklist the next day, with days late and last known phone. Tracing outcomes (called, reached, home visit, returned, transferred, dead) are recorded.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Program packs can define their own missed-appointment rules (for example HIV interruption in treatment at 28 days).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Immunization and ANC schedules generate due lists automatically from age or gestational age.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APT-07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Reschedule and cancel with reason, history kept.</w:t>
            </w:r>
          </w:p>
        </w:tc>
      </w:tr>
    </w:tbl>
    <w:p>
      <w:pPr>
        <w:pStyle w:val="Heading2"/>
        <w:spacing w:after="120" w:before="280"/>
      </w:pPr>
      <w:r>
        <w:t xml:space="preserve">4.12 Reminders and messaging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MSG-01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SMS reminders for upcoming and missed appointments, sent only where the patient consented at registration.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MSG-02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Message templates per appointment type and language, with placeholders for facility name and date. No diagnosis or program name in any message by default.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MSG-03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SMS is opportunistic. Messages queue locally and send through a cloud gateway only when a connection is present. Delivery status is recorded. A facility with no internet uses the printed appointment slip and the defaulter worklist. No GSM modem support and no reply handling in v1.</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MSG-04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Voice call outcome logging for tracing when SMS is not appropriate.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MSG-05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Opt-out at any time, recorded on the patient record.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MSG-06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Message log and cost report per facility.</w:t>
            </w:r>
          </w:p>
        </w:tc>
      </w:tr>
    </w:tbl>
    <w:p>
      <w:pPr>
        <w:pStyle w:val="Heading2"/>
        <w:spacing w:after="120" w:before="280"/>
      </w:pPr>
      <w:r>
        <w:t xml:space="preserve">4.13 Reporting engine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Indicators, disaggregations, and reports are defined as data (definition files), not code. A definition names the numerator, denominator, filters, period type, and disaggregations (age band, sex, pregnancy status, payer).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Report types: aggregate summaries, line lists, registers (patient register, ART register, delivery register), cohort reports, and operational reports (workload, revenue, stock).</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Period types: daily, weekly (epi week), monthly, quarterly, financial year, and custom ranges.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report can be viewed on screen, exported to Excel, CSV, and PDF, and printed in the layout of the paper form it replaces.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Line lists are patient-level, filterable and sortable before export. Access to line lists is a permission.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Reports run against a read replica or a nightly-refreshed reporting schema so heavy reports never slow data entry. Users see the data freshness time.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Scheduled reports generate at month end automatically and appear on a reports-due worklist for the M&amp;E officer.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Report versions lock after submission. Re-running a submitted period produces a labelled revision, not a silent overwrite.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Data quality checks run before a report is marked submitted: missing mandatory fields, out-of-range values, duplicate patients, orphan encounters, sex and service mismatches. Each check links to the records to fix.</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Custom report builder for HI teams: pick concepts and encounter types, define filters and groupings, save and share as a definition file.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RPT-11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Facility dashboard: attendance, admissions, revenue, stock-outs, top diagnoses, pending reports, refreshed daily.</w:t>
            </w:r>
          </w:p>
        </w:tc>
      </w:tr>
    </w:tbl>
    <w:p>
      <w:pPr>
        <w:pStyle w:val="Heading2"/>
        <w:spacing w:after="120" w:before="280"/>
      </w:pPr>
      <w:r>
        <w:t xml:space="preserve">4.14 NHMIS, DHIS2, and IDSR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NHM-01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The current NHMIS monthly summary forms (OPD, IPD, ANC, delivery, immunization, family planning, lab, pharmacy) ship as built-in report definitions, versioned to the NHMIS revision they follow.</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NHM-02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Each NHMIS cell maps to a DHIS2 data element and category option combo. Mappings are editable by admins and ship in update bundles when NHMIS changes.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NHM-03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The facility record holds its DHIS2 org unit UID and its national facility registry code.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NHM-04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Export a DHIS2 data value set (JSON or ADX) per period as a file. Direct push is a later release.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NHM-05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IDSR: notifiable disease lines are generated from coded diagnoses into a cases-to-notify worklist, and the IDSR weekly form is produced as a report.</w:t>
            </w:r>
          </w:p>
        </w:tc>
      </w:tr>
    </w:tbl>
    <w:p>
      <w:pPr>
        <w:pStyle w:val="Heading2"/>
        <w:spacing w:after="120" w:before="280"/>
      </w:pPr>
      <w:r>
        <w:t xml:space="preserve">4.15 Program exports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PRG-01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Program packs carry their own report and export definitions. The HIV pack includes the NDR patient-level XML export and DATIM MER indicators. TB, malaria, and immunization packs follow the same pattern.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PRG-02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Exports validate against the target schema before the file is produced, with an error list per patient.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PRG-03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export run is logged: period, record count, file hash, who ran it, and where it was sent.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PRG-04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 fields-required-by-export view shows which encounters are missing data the export needs, before the run.</w:t>
            </w:r>
          </w:p>
        </w:tc>
      </w:tr>
    </w:tbl>
    <w:p>
      <w:pPr>
        <w:pStyle w:val="Heading2"/>
        <w:spacing w:after="120" w:before="280"/>
      </w:pPr>
      <w:r>
        <w:t xml:space="preserve">4.16 Users, roles, and access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person has an individual account, created and managed by the facility admin only. No shared logins and no remote user management. Accounts carry name, cadre, professional registration number where applicable (MDCN, NMCN, PCN, MLSCN), phone, and service points.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Fast user switching on shared devices: a PIN or badge scan switches the active user without logging the session out. Every action is attributed to the individual.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Roles are permission bundles. Role templates per cadre ship with the product and facilities can adjust them.</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Permissions are granular: view, create, edit, void per module, plus special permissions (break the glass, backdate, merge, line list export, price edit, waiver approval, submit report).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Provider flag: only users with a clinical cadre can be named as encounter provider. Data clerks enter on behalf of a provider and the provider is recorded separately.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Account lifecycle: create, activate, suspend, transfer between service points, deactivate. Deactivated users keep their history. No hard delete.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Password rules configurable. Reset works offline through the facility admin, with a forced change at next login.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Session timeout per service point. Lock screen keeps the open form.</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Restricted record access (REG-20) is enforced with reason capture and a review list for the facility admin.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USR-10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Two-factor authentication is off by default. If enabled for admin accounts it uses offline TOTP, never SMS or email.</w:t>
            </w:r>
          </w:p>
        </w:tc>
      </w:tr>
    </w:tbl>
    <w:p>
      <w:pPr>
        <w:pStyle w:val="Heading2"/>
        <w:spacing w:after="120" w:before="280"/>
      </w:pPr>
      <w:r>
        <w:t xml:space="preserve">4.17 Audit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AUD-01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read of a patient record and every create, edit, void, merge, export, and print is logged with user, time, device, and the record touched.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AUD-02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Audit logs are append-only, kept locally, and included in any aggregate export. Facility admins can read but never edit or delete them.</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AUD-03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Audit reports: who accessed a given patient, what a given user did in a period, break-the-glass events, after-hours access, bulk exports.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AUD-04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Configuration changes (forms, prices, roles, mappings) are versioned with who changed what.</w:t>
            </w:r>
          </w:p>
        </w:tc>
      </w:tr>
    </w:tbl>
    <w:p>
      <w:pPr>
        <w:pStyle w:val="Heading2"/>
        <w:spacing w:after="120" w:before="280"/>
      </w:pPr>
      <w:r>
        <w:t xml:space="preserve">4.18 Administration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Facility profile: name, level, ownership, national facility code, DHIS2 org unit, state and LGA, service points, wards, clinic sessions, and the active tier profile.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Reference data managed centrally and shipped in bundles: states, LGAs, wards, facility list, cadres, ICD-11, EML, NHMIS mappings. Facilities can add local values flagged as local.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Module switches per facility (billing, inpatient, radiology, queue display, SMS, OTC sales, sign-off, two-step lab release).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Device registration: each device running the app is named and tied to the facility, with an identifier range for offline number generation.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Optional central console for a state or partner, fed by files: a facility exports a status and aggregate bundle (version, last backup, open data-quality issues, aggregate indicators) and the state or partner imports it. Configuration and update bundles travel the same way. Direct connection is a later add-on.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Update bundles are signed, versioned, and applied with a pre-update backup and a rollback option.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Backup and restore are visible in the admin console with last-success status and a one-click restore test.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ADM-08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Licensing and activation for the open-core model: a facility key that unlocks paid modules without internet, renewable by file.</w:t>
            </w:r>
          </w:p>
        </w:tc>
      </w:tr>
    </w:tbl>
    <w:p>
      <w:pPr>
        <w:pStyle w:val="Heading2"/>
        <w:spacing w:after="120" w:before="280"/>
      </w:pPr>
      <w:r>
        <w:t xml:space="preserve">4.19 Installation wizard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On first launch the wizard runs before any login. It works fully offline, with state, LGA, and facility reference data bundled in the installer.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1, facility identity: facility name, state, LGA (filtered by state), ward, facility ID, ownership (public, private, faith-based), and level. The facility ID is checked against the bundled national facility list; a match auto-fills name and location, and manual entry is allowed with a not-in-list flag. Both the national facility registry code and the DHIS2 org unit UID are captured.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2, profile and topology: tier profile (PHC, secondary, tertiary, private) and topology (single device or facility server). This sets the process profile and default module switches.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3, admin account: full name, username, password, phone, and recovery PIN. This account is the facility admin and the only account until it creates others.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4, device and numbering: device name, hospital number format (prefix, starting sequence, check digit), and the identifier range for this device.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5, essentials: backup location (local path and external drive), printers, server time zone, and clock confirmation.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6, optional imports: a state or partner configuration bundle, a program pack, a tariff template, and a legacy data file for migration. All can be skipped and done later from the admin console.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Step 7, review and finish: a summary of every choice, a test backup run, and a printed or saved setup record with the facility ID and version.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Every wizard value is editable later in the admin console, except the facility ID, which requires a permission and logs the change.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INS-10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The wizard can be re-run with an existing database to recover a lost admin account, using the recovery PIN.</w:t>
            </w:r>
          </w:p>
        </w:tc>
      </w:tr>
    </w:tbl>
    <w:p>
      <w:pPr>
        <w:pStyle w:val="Heading2"/>
        <w:spacing w:after="120" w:before="280"/>
      </w:pPr>
      <w:r>
        <w:t xml:space="preserve">4.20 Program enrolment engine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ENR-01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Programs are defined as data: name, eligibility, states, outcomes, required forms per state, program identifier format.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ENR-02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Enrol with date, location, and provider. Concurrent programs allowed. Re-enrolment after an outcome keeps the full history.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ENR-03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State transitions carry dates and reasons. Rules may auto-transition (for example 28 days without pickup becomes interruption in treatment) with manual override logged.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ENR-04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Outcomes close the enrolment (completed, transferred, dead, lost, discontinued) and update patient status where relevant.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ENR-05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Enrolment lists, monthly cohorts, and state distributions are available to every pack's reports.</w:t>
            </w:r>
          </w:p>
        </w:tc>
      </w:tr>
    </w:tbl>
    <w:p>
      <w:pPr>
        <w:pStyle w:val="Heading2"/>
        <w:spacing w:after="120" w:before="280"/>
      </w:pPr>
      <w:r>
        <w:t xml:space="preserve">4.21 Patient flags and alerts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FLG-01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Rules are data, evaluated on chart open and nightly, over obs, encounters, programs, appointments, and results.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FLG-02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Flags show on the chart header and patient lists with severity. Dismissible with reason for a set period.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FLG-03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Each flag can feed a role worklist (VL due, TB screen due, ANC overdue).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FLG-04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Packs ship starter rules. A test tool runs a rule against sample patients before publishing.</w:t>
            </w:r>
          </w:p>
        </w:tc>
      </w:tr>
    </w:tbl>
    <w:p>
      <w:pPr>
        <w:pStyle w:val="Heading2"/>
        <w:spacing w:after="120" w:before="280"/>
      </w:pPr>
      <w:r>
        <w:t xml:space="preserve">4.22 Procedures and treatment room</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PRC-01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Procedure catalogue per facility with local codes, NHIA procedure mapping, default price, and consumables.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PRC-02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Procedures are ordered from an encounter or as walk-in and queue at the treatment room.</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PRC-03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Record performer, date, site, consumables used (draws from stock), outcome, complications, and notes.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PRC-04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Procedures appear in the chart timeline, billing, and reports.</w:t>
            </w:r>
          </w:p>
        </w:tc>
      </w:tr>
    </w:tbl>
    <w:p>
      <w:pPr>
        <w:pStyle w:val="Heading2"/>
        <w:spacing w:after="120" w:before="280"/>
      </w:pPr>
      <w:r>
        <w:t xml:space="preserve">4.23 Multi-site instance</w:t>
      </w:r>
    </w:p>
    <w:p>
      <w:pPr>
        <w:spacing w:after="120"/>
      </w:pPr>
      <w:r>
        <w:rPr>
          <w:rFonts w:ascii="Calibri" w:cs="Calibri" w:eastAsia="Calibri" w:hAnsi="Calibri"/>
          <w:sz w:val="22"/>
          <w:szCs w:val="22"/>
        </w:rPr>
        <w:t xml:space="preserve">Deferred to version 2. One installation serves one facility, with no site, facility or tenancy dimension in the data model. Facilities with several physical sites run one installation per site and exchange records by file. The original SIT-01 to SIT-03 requirements are kept in the version 2 backlog.</w:t>
      </w:r>
    </w:p>
    <w:p>
      <w:pPr>
        <w:pStyle w:val="Heading2"/>
        <w:spacing w:after="120" w:before="280"/>
      </w:pPr>
      <w:r>
        <w:t xml:space="preserve">4.24 Referrals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REF-01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Referral out: reason, urgency, destination from the facility list or free text, auto-generated clinical summary, printed letter with letterhead and a feedback slip.</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REF-02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Referral in: source facility, date, reason, linked to the visit, with a printable feedback note.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REF-03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Internal referrals between departments create a queue entry.</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REF-04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Referral register with outcome tracking (arrived, not arrived, feedback received) and an open-referrals worklist.</w:t>
            </w:r>
          </w:p>
        </w:tc>
      </w:tr>
    </w:tbl>
    <w:p>
      <w:pPr>
        <w:pStyle w:val="Heading2"/>
        <w:spacing w:after="120" w:before="280"/>
      </w:pPr>
      <w:r>
        <w:t xml:space="preserve">4.25 Records management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HIM-01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Folder register: folder exists, location (rack, shelf), status (in store, out, missing, archived).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HIM-02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Folder requests and movement log (issued to, date, returned) with an overdue list.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HIM-03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Document templates with letterhead: prescription, lab request, referral letter, sick leave and fitness certificates, birth notification, death certificate, medical report, discharge summary. Editable by admins, numbered where required.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HIM-04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Consent forms (treatment, surgery, HIV testing, data sharing) signed on screen or scanned, stored against the encounter, status visible on the chart.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HIM-05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Coding worklist of uncoded or provisional diagnoses after discharge for HIM officers, with coding changes audited.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HIM-06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User productivity reports: encounters per user per day, backlog age, edits and voids per user.</w:t>
            </w:r>
          </w:p>
        </w:tc>
      </w:tr>
    </w:tbl>
    <w:p>
      <w:pPr>
        <w:pStyle w:val="Heading1"/>
        <w:spacing w:after="160" w:before="360"/>
      </w:pPr>
      <w:r>
        <w:t xml:space="preserve">5. Nonfunctional requirements</w:t>
      </w:r>
    </w:p>
    <w:p>
      <w:pPr>
        <w:pStyle w:val="Heading3"/>
        <w:spacing w:after="80" w:before="200"/>
      </w:pPr>
      <w:r>
        <w:t xml:space="preserve">Deployment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One installer per platform (Windows 10/11, Ubuntu LTS, other Linux) that bundles its own PHP runtime, web server, SQLite database and every dependency. Installs and runs with no internet.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Two topologies: single device (PHC, small clinic) and facility server with browser clients on LAN. Same software, one setting.</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Starts automatically on boot and recovers without user action after a power cut.</w:t>
            </w:r>
          </w:p>
        </w:tc>
      </w:tr>
    </w:tbl>
    <w:p>
      <w:pPr>
        <w:pStyle w:val="Heading3"/>
        <w:spacing w:after="80" w:before="200"/>
      </w:pPr>
      <w:r>
        <w:t xml:space="preserve">Hardware floor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Single device: 4 GB RAM, dual core, 128 GB SSD. Facility server for secondary: 8 GB RAM, 4 cores, 500 GB SSD, 30 concurrent users. Tertiary: 16 GB, 8 cores, 1 TB, 150 concurrent users. A process profile per topology (worker count, cache and queue settings) ensures single-device mode fits in 4 GB.</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Clients run in Chrome, Edge, or Firefox on 1366x768 screens and on 10-inch tablets.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Supports A4, thermal receipt, and label printers over LAN or USB.</w:t>
            </w:r>
          </w:p>
        </w:tc>
      </w:tr>
    </w:tbl>
    <w:p>
      <w:pPr>
        <w:pStyle w:val="Heading3"/>
        <w:spacing w:after="80" w:before="200"/>
      </w:pPr>
      <w:r>
        <w:t xml:space="preserve">Performance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Screen load under 2 seconds on LAN. Patient search under 2 seconds at 200,000 patients and under 4 seconds at 1 million. Form save under 1 second. Monthly NHMIS report under 60 seconds.</w:t>
            </w:r>
          </w:p>
        </w:tc>
      </w:tr>
    </w:tbl>
    <w:p>
      <w:pPr>
        <w:pStyle w:val="Heading3"/>
        <w:spacing w:after="80" w:before="200"/>
      </w:pPr>
      <w:r>
        <w:t xml:space="preserve">Data safety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Database is crash-safe (write-ahead logging, transactional saves). No partial encounters after a crash.</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Automated daily encrypted backup to the local disk and to an attached external drive, weekly full and daily incremental. Optional cloud copy when online. Backup failure raises a visible alert on every admin login.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Restore is tested automatically by mounting the latest backup and running integrity checks, with the result shown in the admin console.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Full data export in open formats (CSV, FHIR bundles, SQL dump) available to the facility at any time. No lock-in.</w:t>
            </w:r>
          </w:p>
        </w:tc>
      </w:tr>
    </w:tbl>
    <w:p>
      <w:pPr>
        <w:pStyle w:val="Heading3"/>
        <w:spacing w:after="80" w:before="200"/>
      </w:pPr>
      <w:r>
        <w:t xml:space="preserve">Security and privacy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Encryption at rest for the database and backups. TLS on the LAN. Device disk encryption recommended in the install guide.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RBAC and audit as specified in 4.16 and 4.17.</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Compliance with the Nigeria Data Protection Act 2023: lawful basis recorded, purpose limitation, access logging, breach log, data subject access export, and retention rules configurable per record type. Default retention period to be decided.</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Any central or cloud component stores data within Nigeria.</w:t>
            </w:r>
          </w:p>
        </w:tc>
      </w:tr>
    </w:tbl>
    <w:p>
      <w:pPr>
        <w:pStyle w:val="Heading3"/>
        <w:spacing w:after="80" w:before="200"/>
      </w:pPr>
      <w:r>
        <w:t xml:space="preserve">Exchange and updates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All exports, imports, configuration, and update bundles are files, signed and versioned, applicable offline. Network transport is optional and uses the same bundle format.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The facility instance is the source of truth for its own data. Central aggregates are read-only copies.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Updates apply with a pre-update backup and rollback. A failed update leaves the previous version running.</w:t>
            </w:r>
          </w:p>
        </w:tc>
      </w:tr>
    </w:tbl>
    <w:p>
      <w:pPr>
        <w:pStyle w:val="Heading3"/>
        <w:spacing w:after="80" w:before="200"/>
      </w:pPr>
      <w:r>
        <w:t xml:space="preserve">Usability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NFR-19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Designed for low digital literacy: consistent layouts, large targets, plain English labels, no more than three clicks to the common actions per role.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Keyboard-first data entry for retrospective mode.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Built-in training mode with sample patients, isolated from live data, on the same install.</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Label translations supported; English UI at launch.</w:t>
            </w:r>
          </w:p>
        </w:tc>
      </w:tr>
    </w:tbl>
    <w:p>
      <w:pPr>
        <w:pStyle w:val="Heading3"/>
        <w:spacing w:after="80" w:before="200"/>
      </w:pPr>
      <w:r>
        <w:t xml:space="preserve">Maintainability and scale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Modular core with a documented plugin API. Program packs, forms, reports, rules, and tariff templates never require a core release.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Semantic versioning, an LTS release line for public facilities, and automated tests covering exports and NHMIS mappings.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Scales from 1 user and 5,000 patients to 150 users and 1 million patients on the stated hardware.</w:t>
            </w:r>
          </w:p>
        </w:tc>
      </w:tr>
    </w:tbl>
    <w:p>
      <w:pPr>
        <w:pStyle w:val="Heading3"/>
        <w:spacing w:after="80" w:before="200"/>
      </w:pPr>
      <w:r>
        <w:t xml:space="preserve">Operations and licensing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Local health screen: disk space, backup status, last export, clock drift, database size, error count. Logs exportable as a file for support.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The server clock is the time source for all devices; a drift warning appears when clients differ by more than five minutes.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NFR-28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Open-core. The core is open source. Paid modules and support activate by file.</w:t>
            </w:r>
          </w:p>
        </w:tc>
      </w:tr>
    </w:tbl>
    <w:p>
      <w:pPr>
        <w:pStyle w:val="Heading1"/>
        <w:spacing w:after="160" w:before="360"/>
      </w:pPr>
      <w:r>
        <w:t xml:space="preserve">6. Interoperability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FHIR R4 is the canonical exchange model. Every core entity maps to a resource: Patient, Practitioner, Location, Encounter, Condition, Observation, Procedure, ServiceRequest, Specimen, MedicationRequest, MedicationDispense, MedicationAdministration, Coverage, Claim, Appointment, EpisodeOfCare.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 FHIR API is exposed on the LAN with authentication, for local integrations: the radiology module, queue screens, future analyzers, third-party apps. The API is the same one the UI uses.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Terminology baseline as set out in Section 6.1: CIEL as the base dictionary, ICD-10 with the ICD-11 crosswalk, LOINC, the SNOMED CT Global Patient Set only, ICHI, ATC, and UCUM. Concept UUIDs are stable across all installs so exports from any facility mean the same thing.</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Outbound files: FHIR bundles (ndjson), CSV line lists, DHIS2 data value set (JSON or ADX), NDR XML, DATIM, NHLMIS spreadsheet, NHIA and HMO claim templates, IDSR weekly form.</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Inbound files: NMRS (OpenMRS database or FHIR export), LAMISPlus, spreadsheets, hub lab result files, reference data and configuration bundles.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Patient transfer bundle: a signed file containing the full record, importable at another facility running the EHR, with a printable patient summary for facilities that do not.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Designed for but not built in v1: direct DHIS2 push, LIMS exchange, analyzer HL7 or ASTM, payer APIs, national HIE participation. The FHIR model must not need changes when these arrive.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INT-08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All mappings (NHMIS cells, NDR elements, DATIM indicators, claim layouts) are versioned data shipped in bundles, so a reporting change never needs a software release.</w:t>
            </w:r>
          </w:p>
        </w:tc>
      </w:tr>
    </w:tbl>
    <w:p>
      <w:pPr>
        <w:pStyle w:val="Heading2"/>
        <w:spacing w:after="120" w:before="280"/>
      </w:pPr>
      <w:r>
        <w:t xml:space="preserve">6.1 Standards and terminology baseline</w:t>
      </w:r>
    </w:p>
    <w:p>
      <w:pPr>
        <w:spacing w:after="120"/>
      </w:pPr>
      <w:r>
        <w:rPr>
          <w:rFonts w:ascii="Calibri" w:cs="Calibri" w:eastAsia="Calibri" w:hAnsi="Calibri"/>
          <w:sz w:val="22"/>
          <w:szCs w:val="22"/>
        </w:rPr>
        <w:t xml:space="preserve">Every standard below ships inside the installer or a signed reference-data bundle, so no facility needs internet to use it. Versions are pinned per release and updated through refdata bundles. Licence texts and attribution notices are bundled and shown in the About screen.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600"/>
        <w:gridCol w:w="4026"/>
      </w:tblGrid>
      <w:tr>
        <w:trPr>
          <w:tblHeader/>
        </w:trPr>
        <w:tc>
          <w:tcPr>
            <w:tcW w:type="dxa" w:w="2400"/>
            <w:shd w:fill="D9E2F3" w:color="auto" w:val="clear"/>
            <w:tcMar>
              <w:top w:type="dxa" w:w="60"/>
              <w:left w:type="dxa" w:w="100"/>
              <w:bottom w:type="dxa" w:w="60"/>
              <w:right w:type="dxa" w:w="100"/>
            </w:tcMar>
          </w:tcPr>
          <w:p>
            <w:r>
              <w:rPr>
                <w:rFonts w:ascii="Calibri" w:cs="Calibri" w:eastAsia="Calibri" w:hAnsi="Calibri"/>
                <w:b/>
                <w:bCs/>
                <w:sz w:val="20"/>
                <w:szCs w:val="20"/>
              </w:rPr>
              <w:t xml:space="preserve">Standard</w:t>
            </w:r>
          </w:p>
        </w:tc>
        <w:tc>
          <w:tcPr>
            <w:tcW w:type="dxa" w:w="2600"/>
            <w:shd w:fill="D9E2F3" w:color="auto" w:val="clear"/>
            <w:tcMar>
              <w:top w:type="dxa" w:w="60"/>
              <w:left w:type="dxa" w:w="100"/>
              <w:bottom w:type="dxa" w:w="60"/>
              <w:right w:type="dxa" w:w="100"/>
            </w:tcMar>
          </w:tcPr>
          <w:p>
            <w:r>
              <w:rPr>
                <w:rFonts w:ascii="Calibri" w:cs="Calibri" w:eastAsia="Calibri" w:hAnsi="Calibri"/>
                <w:b/>
                <w:bCs/>
                <w:sz w:val="20"/>
                <w:szCs w:val="20"/>
              </w:rPr>
              <w:t xml:space="preserve">Used for</w:t>
            </w:r>
          </w:p>
        </w:tc>
        <w:tc>
          <w:tcPr>
            <w:tcW w:type="dxa" w:w="4026"/>
            <w:shd w:fill="D9E2F3" w:color="auto" w:val="clear"/>
            <w:tcMar>
              <w:top w:type="dxa" w:w="60"/>
              <w:left w:type="dxa" w:w="100"/>
              <w:bottom w:type="dxa" w:w="60"/>
              <w:right w:type="dxa" w:w="100"/>
            </w:tcMar>
          </w:tcPr>
          <w:p>
            <w:r>
              <w:rPr>
                <w:rFonts w:ascii="Calibri" w:cs="Calibri" w:eastAsia="Calibri" w:hAnsi="Calibri"/>
                <w:b/>
                <w:bCs/>
                <w:sz w:val="20"/>
                <w:szCs w:val="20"/>
              </w:rPr>
              <w:t xml:space="preserve">Licence and offline handling</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CIEL dictionary</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Base concept dictionary; source of most mappings; matches NMRS for migration</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Distributed through OpenConceptLab under a Creative Commons attribution licence (confirm current terms before bundling). Pinned release seeded at build; refreshed twice a year by refdata bundle.</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ICD-11 (MMS)</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Secondary mapping carried on each ICD-10 code for exports and future national alignment</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from WHO under licence acceptance; crosswalk bundled as a concept mapping.</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ICD-10</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Primary diagnosis and cause-of-death coding; claims, NHMIS, registers, HIM coding</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WHO tables bundled; ICD-10 remains the national coding standard in practice.</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SNOMED CT Global Patient Set</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Clinical concept mappings carried through CIEL</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under CC BY 4.0. Nigeria is not a SNOMED International member, so the full terminology is never bundled.</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LOINC</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Lab test and panel identification</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under the Regenstrief LOINC licence; subset bundled with the required notice.</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ICHI</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Procedure classification; NHIA procedure list mapped to it</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from WHO; bundled.</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ATC/DDD</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Drug classification</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from the WHO Collaborating Centre; bundled with the Nigeria EML and the NAFDAC registered product list as reference data.</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UCUM</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Units of measure</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bundled.</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FHIR R4</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Exchange model and API</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Free (HL7); HAPI FHIR structures.</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HL7 v2 and ASTM</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Analyzer interfacing</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Version 2 only; designed for.</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DHIS2 metadata, NHMIS forms</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NHMIS reporting</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From FMOH; shipped as versioned mapping bundles.</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NDR XSD, MER indicator references, NHLMIS product list</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HIV pack exports, logistics reports</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From NACA, PEPFAR, and FMOH; shipped as versioned bundles inside the packs.</w:t>
            </w:r>
          </w:p>
        </w:tc>
      </w:tr>
      <w:tr>
        <w:tc>
          <w:tcPr>
            <w:tcW w:type="dxa" w:w="2400"/>
            <w:tcMar>
              <w:top w:type="dxa" w:w="60"/>
              <w:left w:type="dxa" w:w="100"/>
              <w:bottom w:type="dxa" w:w="60"/>
              <w:right w:type="dxa" w:w="100"/>
            </w:tcMar>
          </w:tcPr>
          <w:p>
            <w:r>
              <w:rPr>
                <w:rFonts w:ascii="Calibri" w:cs="Calibri" w:eastAsia="Calibri" w:hAnsi="Calibri"/>
                <w:b/>
                <w:bCs/>
                <w:sz w:val="20"/>
                <w:szCs w:val="20"/>
              </w:rPr>
              <w:t xml:space="preserve">NHFR facility codes, ISO 3166-2:NG, E.164, ISO 8601</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Facility identity, states, phones, dates</w:t>
            </w:r>
          </w:p>
        </w:tc>
        <w:tc>
          <w:tcPr>
            <w:tcW w:type="dxa" w:w="4026"/>
            <w:tcMar>
              <w:top w:type="dxa" w:w="60"/>
              <w:left w:type="dxa" w:w="100"/>
              <w:bottom w:type="dxa" w:w="60"/>
              <w:right w:type="dxa" w:w="100"/>
            </w:tcMar>
          </w:tcPr>
          <w:p>
            <w:r>
              <w:rPr>
                <w:rFonts w:ascii="Calibri" w:cs="Calibri" w:eastAsia="Calibri" w:hAnsi="Calibri"/>
                <w:b w:val="false"/>
                <w:bCs w:val="false"/>
                <w:sz w:val="20"/>
                <w:szCs w:val="20"/>
              </w:rPr>
              <w:t xml:space="preserve">Reference data in the installer.</w:t>
            </w:r>
          </w:p>
        </w:tc>
      </w:tr>
    </w:tbl>
    <w:p>
      <w:pPr>
        <w:spacing w:after="120"/>
      </w:pPr>
      <w:r>
        <w:rPr>
          <w:rFonts w:ascii="Calibri" w:cs="Calibri" w:eastAsia="Calibri" w:hAnsi="Calibri"/>
          <w:sz w:val="22"/>
          <w:szCs w:val="22"/>
        </w:rPr>
        <w:t xml:space="preserve">Governance: a terminology board (product team plus state and partner HI representatives) owns the dictionary. Facilities may add local concepts flagged as local; the board reviews and promotes them into the shared dictionary in the next refdata bundle, mapping them to CIEL or the product namespace.</w:t>
      </w:r>
    </w:p>
    <w:p>
      <w:pPr>
        <w:pStyle w:val="Heading1"/>
        <w:spacing w:after="160" w:before="360"/>
      </w:pPr>
      <w:r>
        <w:t xml:space="preserve">7. Deployment and support model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526"/>
      </w:tblGrid>
      <w:tr>
        <w:trPr>
          <w:tblHeader/>
        </w:trPr>
        <w:tc>
          <w:tcPr>
            <w:tcW w:type="dxa" w:w="150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7526"/>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DEP-01</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Site readiness checklist before install: power and UPS, LAN or single device, printer, a named facility IT or records officer, and a data migration decision.</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DEP-02</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Installation kit: installer, install guide, hardware spec sheet, configuration checklist, and a sample facility bundle.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DEP-03</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Go-live pattern: configure through the wizard, migrate legacy data, train by role, run in parallel with paper for one reporting cycle, then sign off when the month's NHMIS report reconciles.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DEP-04</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Three support tiers: facility IT or records officer (first line: restarts, backups, user admin), state or partner HI officer (second line: configuration, updates, data quality), product team (third line: defects). Each tier has a defined handoff.</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DEP-05</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Diagnostics bundle: one click exports logs, health status, version, and configuration to a file the facility can send by WhatsApp or email. Support never needs remote access.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DEP-06</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Training: role-based curricula, the built-in training mode, printed job aids per screen, and SOPs for backup, month-end, and update.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DEP-07</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Release cadence: one LTS release per year for public facilities, quarterly patches, program and mapping bundles whenever NHMIS, NDR, or DATIM change.</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DEP-08</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Migration playbook for NMRS and LAMISPlus sites, including a reconciliation report (patient counts, active cohort, last visit dates) before cut-over.</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DEP-09</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Cost model per facility: hardware, installation, training, annual support. Paid by the state for public facilities, by the partner for program sites, by the facility for private sites.</w:t>
            </w:r>
          </w:p>
        </w:tc>
      </w:tr>
      <w:tr>
        <w:tc>
          <w:tcPr>
            <w:tcW w:type="dxa" w:w="1500"/>
            <w:tcMar>
              <w:top w:type="dxa" w:w="60"/>
              <w:left w:type="dxa" w:w="100"/>
              <w:bottom w:type="dxa" w:w="60"/>
              <w:right w:type="dxa" w:w="100"/>
            </w:tcMar>
          </w:tcPr>
          <w:p>
            <w:r>
              <w:rPr>
                <w:rFonts w:ascii="Calibri" w:cs="Calibri" w:eastAsia="Calibri" w:hAnsi="Calibri"/>
                <w:b/>
                <w:bCs/>
                <w:sz w:val="20"/>
                <w:szCs w:val="20"/>
              </w:rPr>
              <w:t xml:space="preserve">DEP-10</w:t>
            </w:r>
          </w:p>
        </w:tc>
        <w:tc>
          <w:tcPr>
            <w:tcW w:type="dxa" w:w="7526"/>
            <w:tcMar>
              <w:top w:type="dxa" w:w="60"/>
              <w:left w:type="dxa" w:w="100"/>
              <w:bottom w:type="dxa" w:w="60"/>
              <w:right w:type="dxa" w:w="100"/>
            </w:tcMar>
          </w:tcPr>
          <w:p>
            <w:r>
              <w:rPr>
                <w:rFonts w:ascii="Calibri" w:cs="Calibri" w:eastAsia="Calibri" w:hAnsi="Calibri"/>
                <w:b w:val="false"/>
                <w:bCs w:val="false"/>
                <w:sz w:val="20"/>
                <w:szCs w:val="20"/>
              </w:rPr>
              <w:t xml:space="preserve">Governance: data belongs to the facility and its state. A change board with state, partner, and private representatives approves core roadmap changes.</w:t>
            </w:r>
          </w:p>
        </w:tc>
      </w:tr>
    </w:tbl>
    <w:p>
      <w:pPr>
        <w:pStyle w:val="Heading1"/>
        <w:spacing w:after="160" w:before="360"/>
      </w:pPr>
      <w:r>
        <w:t xml:space="preserve">8. Success metrics</w:t>
      </w:r>
    </w:p>
    <w:p>
      <w:pPr>
        <w:pStyle w:val="ListParagraph"/>
        <w:numPr>
          <w:ilvl w:val="0"/>
          <w:numId w:val="2"/>
        </w:numPr>
        <w:spacing w:after="60"/>
      </w:pPr>
      <w:r>
        <w:rPr>
          <w:rFonts w:ascii="Calibri" w:cs="Calibri" w:eastAsia="Calibri" w:hAnsi="Calibri"/>
          <w:sz w:val="22"/>
          <w:szCs w:val="22"/>
        </w:rPr>
        <w:t xml:space="preserve">Same-day entry: 80% of encounters entered on the visit date within six months of go-live.</w:t>
      </w:r>
    </w:p>
    <w:p>
      <w:pPr>
        <w:pStyle w:val="ListParagraph"/>
        <w:numPr>
          <w:ilvl w:val="0"/>
          <w:numId w:val="2"/>
        </w:numPr>
        <w:spacing w:after="60"/>
      </w:pPr>
      <w:r>
        <w:rPr>
          <w:rFonts w:ascii="Calibri" w:cs="Calibri" w:eastAsia="Calibri" w:hAnsi="Calibri"/>
          <w:sz w:val="22"/>
          <w:szCs w:val="22"/>
        </w:rPr>
        <w:t xml:space="preserve">Duplicate rate under 2% of registered patients.</w:t>
      </w:r>
    </w:p>
    <w:p>
      <w:pPr>
        <w:pStyle w:val="ListParagraph"/>
        <w:numPr>
          <w:ilvl w:val="0"/>
          <w:numId w:val="2"/>
        </w:numPr>
        <w:spacing w:after="60"/>
      </w:pPr>
      <w:r>
        <w:rPr>
          <w:rFonts w:ascii="Calibri" w:cs="Calibri" w:eastAsia="Calibri" w:hAnsi="Calibri"/>
          <w:sz w:val="22"/>
          <w:szCs w:val="22"/>
        </w:rPr>
        <w:t xml:space="preserve">NHMIS report produced from the system by the 5th of the month at 90% of sites.</w:t>
      </w:r>
    </w:p>
    <w:p>
      <w:pPr>
        <w:pStyle w:val="ListParagraph"/>
        <w:numPr>
          <w:ilvl w:val="0"/>
          <w:numId w:val="2"/>
        </w:numPr>
        <w:spacing w:after="60"/>
      </w:pPr>
      <w:r>
        <w:rPr>
          <w:rFonts w:ascii="Calibri" w:cs="Calibri" w:eastAsia="Calibri" w:hAnsi="Calibri"/>
          <w:sz w:val="22"/>
          <w:szCs w:val="22"/>
        </w:rPr>
        <w:t xml:space="preserve">Backup success above 99%, zero unrecovered data loss incidents.</w:t>
      </w:r>
    </w:p>
    <w:p>
      <w:pPr>
        <w:pStyle w:val="ListParagraph"/>
        <w:numPr>
          <w:ilvl w:val="0"/>
          <w:numId w:val="2"/>
        </w:numPr>
        <w:spacing w:after="60"/>
      </w:pPr>
      <w:r>
        <w:rPr>
          <w:rFonts w:ascii="Calibri" w:cs="Calibri" w:eastAsia="Calibri" w:hAnsi="Calibri"/>
          <w:sz w:val="22"/>
          <w:szCs w:val="22"/>
        </w:rPr>
        <w:t xml:space="preserve">Monthly report preparation time cut by at least 70% versus paper.</w:t>
      </w:r>
    </w:p>
    <w:p>
      <w:pPr>
        <w:pStyle w:val="ListParagraph"/>
        <w:numPr>
          <w:ilvl w:val="0"/>
          <w:numId w:val="2"/>
        </w:numPr>
        <w:spacing w:after="60"/>
      </w:pPr>
      <w:r>
        <w:rPr>
          <w:rFonts w:ascii="Calibri" w:cs="Calibri" w:eastAsia="Calibri" w:hAnsi="Calibri"/>
          <w:sz w:val="22"/>
          <w:szCs w:val="22"/>
        </w:rPr>
        <w:t xml:space="preserve">Claims rejection rate below 10% at billing sites.</w:t>
      </w:r>
    </w:p>
    <w:p>
      <w:pPr>
        <w:pStyle w:val="ListParagraph"/>
        <w:numPr>
          <w:ilvl w:val="0"/>
          <w:numId w:val="2"/>
        </w:numPr>
        <w:spacing w:after="60"/>
      </w:pPr>
      <w:r>
        <w:rPr>
          <w:rFonts w:ascii="Calibri" w:cs="Calibri" w:eastAsia="Calibri" w:hAnsi="Calibri"/>
          <w:sz w:val="22"/>
          <w:szCs w:val="22"/>
        </w:rPr>
        <w:t xml:space="preserve">90% of sites on a supported version at any time.</w:t>
      </w:r>
    </w:p>
    <w:p>
      <w:pPr>
        <w:pStyle w:val="ListParagraph"/>
        <w:numPr>
          <w:ilvl w:val="0"/>
          <w:numId w:val="2"/>
        </w:numPr>
        <w:spacing w:after="60"/>
      </w:pPr>
      <w:r>
        <w:rPr>
          <w:rFonts w:ascii="Calibri" w:cs="Calibri" w:eastAsia="Calibri" w:hAnsi="Calibri"/>
          <w:sz w:val="22"/>
          <w:szCs w:val="22"/>
        </w:rPr>
        <w:t xml:space="preserve">First-line resolution of 70% of support tickets.</w:t>
      </w:r>
    </w:p>
    <w:p>
      <w:pPr>
        <w:pStyle w:val="Heading1"/>
        <w:spacing w:after="160" w:before="360"/>
      </w:pPr>
      <w:r>
        <w:t xml:space="preserve">9. Risks and mitigations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rPr>
          <w:tblHeader/>
        </w:trPr>
        <w:tc>
          <w:tcPr>
            <w:tcW w:type="dxa" w:w="3200"/>
            <w:shd w:fill="D9E2F3" w:color="auto" w:val="clear"/>
            <w:tcMar>
              <w:top w:type="dxa" w:w="60"/>
              <w:left w:type="dxa" w:w="100"/>
              <w:bottom w:type="dxa" w:w="60"/>
              <w:right w:type="dxa" w:w="100"/>
            </w:tcMar>
          </w:tcPr>
          <w:p>
            <w:r>
              <w:rPr>
                <w:rFonts w:ascii="Calibri" w:cs="Calibri" w:eastAsia="Calibri" w:hAnsi="Calibri"/>
                <w:b/>
                <w:bCs/>
                <w:sz w:val="20"/>
                <w:szCs w:val="20"/>
              </w:rPr>
              <w:t xml:space="preserve">Risk</w:t>
            </w:r>
          </w:p>
        </w:tc>
        <w:tc>
          <w:tcPr>
            <w:tcW w:type="dxa" w:w="5826"/>
            <w:shd w:fill="D9E2F3" w:color="auto" w:val="clear"/>
            <w:tcMar>
              <w:top w:type="dxa" w:w="60"/>
              <w:left w:type="dxa" w:w="100"/>
              <w:bottom w:type="dxa" w:w="60"/>
              <w:right w:type="dxa" w:w="100"/>
            </w:tcMar>
          </w:tcPr>
          <w:p>
            <w:r>
              <w:rPr>
                <w:rFonts w:ascii="Calibri" w:cs="Calibri" w:eastAsia="Calibri" w:hAnsi="Calibri"/>
                <w:b/>
                <w:bCs/>
                <w:sz w:val="20"/>
                <w:szCs w:val="20"/>
              </w:rPr>
              <w:t xml:space="preserve">Mitigation</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Four tiers in scope</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Profiles on one core; secondary-first MVP.</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Greenfield core (dictionary, forms engine, exports)</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Front-load these sprints; seed the dictionary from CIEL.</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Sustainability after pilot</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Cost model, open-core, state buy-in before install.</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HIV sites already run NMRS</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The HIV pack must fully replace NMRS reporting or sites will double enter. Migration and NDR parity are launch criteria for those sites.</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Power and hardware</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Single-device mode; UPS in the site checklist.</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Staff turnover</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Training mode, job aids, role templates.</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Reporting standards change often</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All mappings as data in bundles.</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Memory on 4 GB devices</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Process profile per topology; load testing on the hardware floor.</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Legacy data quality</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Reconciliation report gates cut-over.</w:t>
            </w:r>
          </w:p>
        </w:tc>
      </w:tr>
      <w:tr>
        <w:tc>
          <w:tcPr>
            <w:tcW w:type="dxa" w:w="3200"/>
            <w:tcMar>
              <w:top w:type="dxa" w:w="60"/>
              <w:left w:type="dxa" w:w="100"/>
              <w:bottom w:type="dxa" w:w="60"/>
              <w:right w:type="dxa" w:w="100"/>
            </w:tcMar>
          </w:tcPr>
          <w:p>
            <w:r>
              <w:rPr>
                <w:rFonts w:ascii="Calibri" w:cs="Calibri" w:eastAsia="Calibri" w:hAnsi="Calibri"/>
                <w:b/>
                <w:bCs/>
                <w:sz w:val="20"/>
                <w:szCs w:val="20"/>
              </w:rPr>
              <w:t xml:space="preserve">Hybrid paper and digital records</w:t>
            </w:r>
          </w:p>
        </w:tc>
        <w:tc>
          <w:tcPr>
            <w:tcW w:type="dxa" w:w="5826"/>
            <w:tcMar>
              <w:top w:type="dxa" w:w="60"/>
              <w:left w:type="dxa" w:w="100"/>
              <w:bottom w:type="dxa" w:w="60"/>
              <w:right w:type="dxa" w:w="100"/>
            </w:tcMar>
          </w:tcPr>
          <w:p>
            <w:r>
              <w:rPr>
                <w:rFonts w:ascii="Calibri" w:cs="Calibri" w:eastAsia="Calibri" w:hAnsi="Calibri"/>
                <w:b w:val="false"/>
                <w:bCs w:val="false"/>
                <w:sz w:val="20"/>
                <w:szCs w:val="20"/>
              </w:rPr>
              <w:t xml:space="preserve">Folder tracking, printed documents, and retrospective entry mode are core, not extras.</w:t>
            </w:r>
          </w:p>
        </w:tc>
      </w:tr>
    </w:tbl>
    <w:p>
      <w:pPr>
        <w:pStyle w:val="Heading1"/>
        <w:spacing w:after="160" w:before="360"/>
      </w:pPr>
      <w:r>
        <w:t xml:space="preserve">10. Roadmap</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7426"/>
      </w:tblGrid>
      <w:tr>
        <w:trPr>
          <w:tblHeader/>
        </w:trPr>
        <w:tc>
          <w:tcPr>
            <w:tcW w:type="dxa" w:w="1600"/>
            <w:shd w:fill="D9E2F3" w:color="auto" w:val="clear"/>
            <w:tcMar>
              <w:top w:type="dxa" w:w="60"/>
              <w:left w:type="dxa" w:w="100"/>
              <w:bottom w:type="dxa" w:w="60"/>
              <w:right w:type="dxa" w:w="100"/>
            </w:tcMar>
          </w:tcPr>
          <w:p>
            <w:r>
              <w:rPr>
                <w:rFonts w:ascii="Calibri" w:cs="Calibri" w:eastAsia="Calibri" w:hAnsi="Calibri"/>
                <w:b/>
                <w:bCs/>
                <w:sz w:val="20"/>
                <w:szCs w:val="20"/>
              </w:rPr>
              <w:t xml:space="preserve">Release</w:t>
            </w:r>
          </w:p>
        </w:tc>
        <w:tc>
          <w:tcPr>
            <w:tcW w:type="dxa" w:w="7426"/>
            <w:shd w:fill="D9E2F3" w:color="auto" w:val="clear"/>
            <w:tcMar>
              <w:top w:type="dxa" w:w="60"/>
              <w:left w:type="dxa" w:w="100"/>
              <w:bottom w:type="dxa" w:w="60"/>
              <w:right w:type="dxa" w:w="100"/>
            </w:tcMar>
          </w:tcPr>
          <w:p>
            <w:r>
              <w:rPr>
                <w:rFonts w:ascii="Calibri" w:cs="Calibri" w:eastAsia="Calibri" w:hAnsi="Calibri"/>
                <w:b/>
                <w:bCs/>
                <w:sz w:val="20"/>
                <w:szCs w:val="20"/>
              </w:rPr>
              <w:t xml:space="preserve">Scope</w:t>
            </w:r>
          </w:p>
        </w:tc>
      </w:tr>
      <w:tr>
        <w:tc>
          <w:tcPr>
            <w:tcW w:type="dxa" w:w="1600"/>
            <w:tcMar>
              <w:top w:type="dxa" w:w="60"/>
              <w:left w:type="dxa" w:w="100"/>
              <w:bottom w:type="dxa" w:w="60"/>
              <w:right w:type="dxa" w:w="100"/>
            </w:tcMar>
          </w:tcPr>
          <w:p>
            <w:r>
              <w:rPr>
                <w:rFonts w:ascii="Calibri" w:cs="Calibri" w:eastAsia="Calibri" w:hAnsi="Calibri"/>
                <w:b/>
                <w:bCs/>
                <w:sz w:val="20"/>
                <w:szCs w:val="20"/>
              </w:rPr>
              <w:t xml:space="preserve">v1.0</w:t>
            </w:r>
          </w:p>
        </w:tc>
        <w:tc>
          <w:tcPr>
            <w:tcW w:type="dxa" w:w="7426"/>
            <w:tcMar>
              <w:top w:type="dxa" w:w="60"/>
              <w:left w:type="dxa" w:w="100"/>
              <w:bottom w:type="dxa" w:w="60"/>
              <w:right w:type="dxa" w:w="100"/>
            </w:tcMar>
          </w:tcPr>
          <w:p>
            <w:r>
              <w:rPr>
                <w:rFonts w:ascii="Calibri" w:cs="Calibri" w:eastAsia="Calibri" w:hAnsi="Calibri"/>
                <w:b w:val="false"/>
                <w:bCs w:val="false"/>
                <w:sz w:val="20"/>
                <w:szCs w:val="20"/>
              </w:rPr>
              <w:t xml:space="preserve">Core, secondary profile, private profile billing and OTC, installation wizard, NHMIS and IDSR reports, DHIS2 file export, NHLMIS export, claim templates with seeded state scheme tariffs, referrals, records management, program enrolment engine, patient flags, procedures.</w:t>
            </w:r>
          </w:p>
        </w:tc>
      </w:tr>
      <w:tr>
        <w:tc>
          <w:tcPr>
            <w:tcW w:type="dxa" w:w="1600"/>
            <w:tcMar>
              <w:top w:type="dxa" w:w="60"/>
              <w:left w:type="dxa" w:w="100"/>
              <w:bottom w:type="dxa" w:w="60"/>
              <w:right w:type="dxa" w:w="100"/>
            </w:tcMar>
          </w:tcPr>
          <w:p>
            <w:r>
              <w:rPr>
                <w:rFonts w:ascii="Calibri" w:cs="Calibri" w:eastAsia="Calibri" w:hAnsi="Calibri"/>
                <w:b/>
                <w:bCs/>
                <w:sz w:val="20"/>
                <w:szCs w:val="20"/>
              </w:rPr>
              <w:t xml:space="preserve">v1.x</w:t>
            </w:r>
          </w:p>
        </w:tc>
        <w:tc>
          <w:tcPr>
            <w:tcW w:type="dxa" w:w="7426"/>
            <w:tcMar>
              <w:top w:type="dxa" w:w="60"/>
              <w:left w:type="dxa" w:w="100"/>
              <w:bottom w:type="dxa" w:w="60"/>
              <w:right w:type="dxa" w:w="100"/>
            </w:tcMar>
          </w:tcPr>
          <w:p>
            <w:r>
              <w:rPr>
                <w:rFonts w:ascii="Calibri" w:cs="Calibri" w:eastAsia="Calibri" w:hAnsi="Calibri"/>
                <w:b w:val="false"/>
                <w:bCs w:val="false"/>
                <w:sz w:val="20"/>
                <w:szCs w:val="20"/>
              </w:rPr>
              <w:t xml:space="preserve">PHC profile with ANC, immunization, family planning, and nutrition packs; HIV pack with NDR and DATIM parity and NMRS migration; tertiary profile; TB and malaria packs.</w:t>
            </w:r>
          </w:p>
        </w:tc>
      </w:tr>
      <w:tr>
        <w:tc>
          <w:tcPr>
            <w:tcW w:type="dxa" w:w="1600"/>
            <w:tcMar>
              <w:top w:type="dxa" w:w="60"/>
              <w:left w:type="dxa" w:w="100"/>
              <w:bottom w:type="dxa" w:w="60"/>
              <w:right w:type="dxa" w:w="100"/>
            </w:tcMar>
          </w:tcPr>
          <w:p>
            <w:r>
              <w:rPr>
                <w:rFonts w:ascii="Calibri" w:cs="Calibri" w:eastAsia="Calibri" w:hAnsi="Calibri"/>
                <w:b/>
                <w:bCs/>
                <w:sz w:val="20"/>
                <w:szCs w:val="20"/>
              </w:rPr>
              <w:t xml:space="preserve">v2</w:t>
            </w:r>
          </w:p>
        </w:tc>
        <w:tc>
          <w:tcPr>
            <w:tcW w:type="dxa" w:w="7426"/>
            <w:tcMar>
              <w:top w:type="dxa" w:w="60"/>
              <w:left w:type="dxa" w:w="100"/>
              <w:bottom w:type="dxa" w:w="60"/>
              <w:right w:type="dxa" w:w="100"/>
            </w:tcMar>
          </w:tcPr>
          <w:p>
            <w:r>
              <w:rPr>
                <w:rFonts w:ascii="Calibri" w:cs="Calibri" w:eastAsia="Calibri" w:hAnsi="Calibri"/>
                <w:b w:val="false"/>
                <w:bCs w:val="false"/>
                <w:sz w:val="20"/>
                <w:szCs w:val="20"/>
              </w:rPr>
              <w:t xml:space="preserve">Biometrics, radiology module, theatre module, DHIS2 direct push, LIMS exchange, analyzer interfacing, payer APIs, SMS reply handling, GSM modem option, connected central console, patient portal, national HIE participation, multi-site instance.</w:t>
            </w:r>
          </w:p>
        </w:tc>
      </w:tr>
    </w:tbl>
    <w:p>
      <w:pPr>
        <w:pStyle w:val="Heading1"/>
        <w:spacing w:after="160" w:before="360"/>
      </w:pPr>
      <w:r>
        <w:t xml:space="preserve">11. Decision log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026"/>
      </w:tblGrid>
      <w:tr>
        <w:trPr>
          <w:tblHeader/>
        </w:trPr>
        <w:tc>
          <w:tcPr>
            <w:tcW w:type="dxa" w:w="3000"/>
            <w:shd w:fill="D9E2F3" w:color="auto" w:val="clear"/>
            <w:tcMar>
              <w:top w:type="dxa" w:w="60"/>
              <w:left w:type="dxa" w:w="100"/>
              <w:bottom w:type="dxa" w:w="60"/>
              <w:right w:type="dxa" w:w="100"/>
            </w:tcMar>
          </w:tcPr>
          <w:p>
            <w:r>
              <w:rPr>
                <w:rFonts w:ascii="Calibri" w:cs="Calibri" w:eastAsia="Calibri" w:hAnsi="Calibri"/>
                <w:b/>
                <w:bCs/>
                <w:sz w:val="20"/>
                <w:szCs w:val="20"/>
              </w:rPr>
              <w:t xml:space="preserve">Topic</w:t>
            </w:r>
          </w:p>
        </w:tc>
        <w:tc>
          <w:tcPr>
            <w:tcW w:type="dxa" w:w="6026"/>
            <w:shd w:fill="D9E2F3" w:color="auto" w:val="clear"/>
            <w:tcMar>
              <w:top w:type="dxa" w:w="60"/>
              <w:left w:type="dxa" w:w="100"/>
              <w:bottom w:type="dxa" w:w="60"/>
              <w:right w:type="dxa" w:w="100"/>
            </w:tcMar>
          </w:tcPr>
          <w:p>
            <w:r>
              <w:rPr>
                <w:rFonts w:ascii="Calibri" w:cs="Calibri" w:eastAsia="Calibri" w:hAnsi="Calibri"/>
                <w:b/>
                <w:bCs/>
                <w:sz w:val="20"/>
                <w:szCs w:val="20"/>
              </w:rPr>
              <w:t xml:space="preserve">Decision</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Facility tiers in scope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All four (PHC, secondary, tertiary, private), delivered as profiles on one core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Technical base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Laravel 13 on PHP 8.4 with Vue 3 and Inertia, one SQLite database per facility, platform independent. Build began July 2026.</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Owner and buyer</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Mixed: state, partner, and private. Open-core licensing</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Internet</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Never a dependency. Standalone per-facility instance, file-based exchange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Hospital number format</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Left per facility</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Biometrics</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Version 2</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Diagnosis coding</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ICD-10 stored as primary, with the WHO crosswalk bundled as a concept mapping so exports can carry ICD-11; direct ICD-11 coding is a later release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SNOMED CT</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Global Patient Set only; full SNOMED CT not bundled because Nigeria is not a member</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Base dictionary</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CIEL, pinned release, CIEL UUIDs retained, local concepts in the product namespace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Clinician sign-off</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Optional, per facility</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LMIS (NHLMIS, state)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Export only</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OTC sales</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Version 1, private profile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National LIMS</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File-based exchange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Radiology</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Separate module, later</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Payment gateway</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None. POS and transfers captured manually</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State scheme tariff templates</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Seeded at launch</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Theatre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Forms only</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Emergency unit triage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Standard OPD triage</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SMS</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Cloud gateway only, opportunistic; no GSM modem; no reply handling</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DHIS2</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File export in v1</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IDSR</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Worklist plus generated weekly form</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Central console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Optional and file-fed; no remote user management</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Multi-site instance</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Version 2; one installation per facility</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Product term</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EHR, not EMR</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Two-factor authentication</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Off by default; offline TOTP if enabled</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Installation wizard</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Required: facility identity, state, LGA, facility ID, admin credentials, and setup essentials</w:t>
            </w:r>
          </w:p>
        </w:tc>
      </w:tr>
      <w:tr>
        <w:tc>
          <w:tcPr>
            <w:tcW w:type="dxa" w:w="3000"/>
            <w:tcMar>
              <w:top w:type="dxa" w:w="60"/>
              <w:left w:type="dxa" w:w="100"/>
              <w:bottom w:type="dxa" w:w="60"/>
              <w:right w:type="dxa" w:w="100"/>
            </w:tcMar>
          </w:tcPr>
          <w:p>
            <w:r>
              <w:rPr>
                <w:rFonts w:ascii="Calibri" w:cs="Calibri" w:eastAsia="Calibri" w:hAnsi="Calibri"/>
                <w:b/>
                <w:bCs/>
                <w:sz w:val="20"/>
                <w:szCs w:val="20"/>
              </w:rPr>
              <w:t xml:space="preserve">Retention period default</w:t>
            </w:r>
          </w:p>
        </w:tc>
        <w:tc>
          <w:tcPr>
            <w:tcW w:type="dxa" w:w="6026"/>
            <w:tcMar>
              <w:top w:type="dxa" w:w="60"/>
              <w:left w:type="dxa" w:w="100"/>
              <w:bottom w:type="dxa" w:w="60"/>
              <w:right w:type="dxa" w:w="100"/>
            </w:tcMar>
          </w:tcPr>
          <w:p>
            <w:r>
              <w:rPr>
                <w:rFonts w:ascii="Calibri" w:cs="Calibri" w:eastAsia="Calibri" w:hAnsi="Calibri"/>
                <w:b w:val="false"/>
                <w:bCs w:val="false"/>
                <w:sz w:val="20"/>
                <w:szCs w:val="20"/>
              </w:rPr>
              <w:t xml:space="preserve">To be decided</w:t>
            </w:r>
          </w:p>
        </w:tc>
      </w:tr>
    </w:tbl>
    <w:p>
      <w:pPr>
        <w:pStyle w:val="Heading1"/>
        <w:spacing w:after="160" w:before="360"/>
      </w:pPr>
      <w:r>
        <w:t xml:space="preserve">12. Open questions</w:t>
      </w:r>
    </w:p>
    <w:p>
      <w:pPr>
        <w:pStyle w:val="ListParagraph"/>
        <w:numPr>
          <w:ilvl w:val="0"/>
          <w:numId w:val="4"/>
        </w:numPr>
        <w:spacing w:after="60"/>
      </w:pPr>
      <w:r>
        <w:rPr>
          <w:rFonts w:ascii="Calibri" w:cs="Calibri" w:eastAsia="Calibri" w:hAnsi="Calibri"/>
          <w:sz w:val="22"/>
          <w:szCs w:val="22"/>
        </w:rPr>
        <w:t xml:space="preserve">Confirm the MVP order: core plus secondary profile first.</w:t>
      </w:r>
    </w:p>
    <w:p>
      <w:pPr>
        <w:pStyle w:val="ListParagraph"/>
        <w:numPr>
          <w:ilvl w:val="0"/>
          <w:numId w:val="4"/>
        </w:numPr>
        <w:spacing w:after="60"/>
      </w:pPr>
      <w:r>
        <w:rPr>
          <w:rFonts w:ascii="Calibri" w:cs="Calibri" w:eastAsia="Calibri" w:hAnsi="Calibri"/>
          <w:sz w:val="22"/>
          <w:szCs w:val="22"/>
        </w:rPr>
        <w:t xml:space="preserve">Default retention period per record type.</w:t>
      </w:r>
    </w:p>
    <w:p>
      <w:pPr>
        <w:pStyle w:val="ListParagraph"/>
        <w:numPr>
          <w:ilvl w:val="0"/>
          <w:numId w:val="4"/>
        </w:numPr>
        <w:spacing w:after="60"/>
      </w:pPr>
      <w:r>
        <w:rPr>
          <w:rFonts w:ascii="Calibri" w:cs="Calibri" w:eastAsia="Calibri" w:hAnsi="Calibri"/>
          <w:sz w:val="22"/>
          <w:szCs w:val="22"/>
        </w:rPr>
        <w:t xml:space="preserve">Product name and pen name for the public brand.</w:t>
      </w:r>
    </w:p>
    <w:p>
      <w:pPr>
        <w:pStyle w:val="ListParagraph"/>
        <w:numPr>
          <w:ilvl w:val="0"/>
          <w:numId w:val="4"/>
        </w:numPr>
        <w:spacing w:after="60"/>
      </w:pPr>
      <w:r>
        <w:rPr>
          <w:rFonts w:ascii="Calibri" w:cs="Calibri" w:eastAsia="Calibri" w:hAnsi="Calibri"/>
          <w:sz w:val="22"/>
          <w:szCs w:val="22"/>
        </w:rPr>
        <w:t xml:space="preserve">Which state health insurance scheme tariff templates ship at launch.</w:t>
      </w:r>
    </w:p>
    <w:p>
      <w:pPr>
        <w:pStyle w:val="ListParagraph"/>
        <w:numPr>
          <w:ilvl w:val="0"/>
          <w:numId w:val="4"/>
        </w:numPr>
        <w:spacing w:after="60"/>
      </w:pPr>
      <w:r>
        <w:rPr>
          <w:rFonts w:ascii="Calibri" w:cs="Calibri" w:eastAsia="Calibri" w:hAnsi="Calibri"/>
          <w:sz w:val="22"/>
          <w:szCs w:val="22"/>
        </w:rPr>
        <w:t xml:space="preserve">Pricing for paid modules and support tiers.</w:t>
      </w:r>
    </w:p>
    <w:p>
      <w:pPr>
        <w:pStyle w:val="ListParagraph"/>
        <w:numPr>
          <w:ilvl w:val="0"/>
          <w:numId w:val="4"/>
        </w:numPr>
        <w:spacing w:after="60"/>
      </w:pPr>
      <w:r>
        <w:rPr>
          <w:rFonts w:ascii="Calibri" w:cs="Calibri" w:eastAsia="Calibri" w:hAnsi="Calibri"/>
          <w:sz w:val="22"/>
          <w:szCs w:val="22"/>
        </w:rPr>
        <w:t xml:space="preserve">Detailed definitions for the HIV, PHC, TB, and malaria packs and the radiology module.</w:t>
      </w:r>
    </w:p>
    <w:p>
      <w:pPr>
        <w:pStyle w:val="ListParagraph"/>
        <w:numPr>
          <w:ilvl w:val="0"/>
          <w:numId w:val="4"/>
        </w:numPr>
        <w:spacing w:after="60"/>
      </w:pPr>
      <w:r>
        <w:rPr>
          <w:rFonts w:ascii="Calibri" w:cs="Calibri" w:eastAsia="Calibri" w:hAnsi="Calibri"/>
          <w:sz w:val="22"/>
          <w:szCs w:val="22"/>
        </w:rPr>
        <w:t xml:space="preserve">Terminology governance: composition of the terminology board and the review cadence for local concepts.</w:t>
      </w:r>
    </w:p>
    <w:p>
      <w:pPr>
        <w:pStyle w:val="ListParagraph"/>
        <w:numPr>
          <w:ilvl w:val="0"/>
          <w:numId w:val="4"/>
        </w:numPr>
        <w:spacing w:after="60"/>
      </w:pPr>
      <w:r>
        <w:rPr>
          <w:rFonts w:ascii="Calibri" w:cs="Calibri" w:eastAsia="Calibri" w:hAnsi="Calibri"/>
          <w:sz w:val="22"/>
          <w:szCs w:val="22"/>
        </w:rPr>
        <w:t xml:space="preserve">Confirm CIEL licence terms and the treatment of SNOMED mappings inside CIEL before bundling.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EHR PRD v0.2.0 (aligned to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EHR Product Requirements Document</dc:title>
  <dc:creator>Ola</dc:creator>
  <cp:lastModifiedBy>Un-named</cp:lastModifiedBy>
  <cp:revision>1</cp:revision>
  <dcterms:created xsi:type="dcterms:W3CDTF">2026-09-12T10:24:07.926Z</dcterms:created>
  <dcterms:modified xsi:type="dcterms:W3CDTF">2026-09-12T10:24:07.926Z</dcterms:modified>
</cp:coreProperties>
</file>

<file path=docProps/custom.xml><?xml version="1.0" encoding="utf-8"?>
<Properties xmlns="http://schemas.openxmlformats.org/officeDocument/2006/custom-properties" xmlns:vt="http://schemas.openxmlformats.org/officeDocument/2006/docPropsVTypes"/>
</file>