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numPr>
          <w:ilvl w:val="0"/>
          <w:numId w:val="0"/>
        </w:numPr>
        <w:bidi w:val="0"/>
        <w:spacing w:before="0" w:after="0"/>
        <w:ind w:left="0" w:hanging="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itle"/>
        <w:bidi w:val="0"/>
        <w:rPr/>
      </w:pPr>
      <w:r>
        <w:rPr/>
        <w:t xml:space="preserve"> </w:t>
      </w:r>
      <w:r>
        <w:rPr/>
        <w:t>A Quick Look at Redlining – Comparison between HOLC Designations and 2020 Census Data</w:t>
      </w:r>
    </w:p>
    <w:p>
      <w:pPr>
        <w:pStyle w:val="Subtitle"/>
        <w:bidi w:val="0"/>
        <w:rPr/>
      </w:pPr>
      <w:r>
        <w:rPr/>
        <w:t>By Olga Ivashyna</w:t>
      </w:r>
    </w:p>
    <w:p>
      <w:pPr>
        <w:pStyle w:val="Subtitle"/>
        <w:bidi w:val="0"/>
        <w:rPr/>
      </w:pPr>
      <w:r>
        <w:rPr/>
        <w:t>(ECO4443 -  Spring 2026)</w:t>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Heading2"/>
        <w:numPr>
          <w:ilvl w:val="1"/>
          <w:numId w:val="2"/>
        </w:numPr>
        <w:bidi w:val="0"/>
        <w:jc w:val="left"/>
        <w:rPr/>
      </w:pPr>
      <w:r>
        <w:rPr/>
        <w:t xml:space="preserve">Introduction: </w:t>
      </w:r>
    </w:p>
    <w:p>
      <w:pPr>
        <w:pStyle w:val="TextBody"/>
        <w:bidi w:val="0"/>
        <w:spacing w:before="0" w:after="0"/>
        <w:rPr/>
      </w:pPr>
      <w:r>
        <w:rPr/>
        <w:tab/>
        <w:t>Redlining has had a vast impact on the history of the United States and on the current demographics. For those uninitiated, redlining can be defined as the real estate practice  of assigning areas or neighborhood with a four-letter system (from “A” for “Best” to “D” for “Hazardous”) and using that system as a mechanism of essentially assigning people of different races to different areas, with the end result being that racial minorities ended up living in worse areas.</w:t>
      </w:r>
    </w:p>
    <w:p>
      <w:pPr>
        <w:pStyle w:val="TextBody"/>
        <w:bidi w:val="0"/>
        <w:spacing w:before="0" w:after="0"/>
        <w:rPr/>
      </w:pPr>
      <w:r>
        <w:rPr/>
        <w:tab/>
        <w:t>There are two datasets that will be analyzed over the course of this paper. The first dataset (metro-grades) involves variables such as the name of the area, the grade level of the area assigned by the Home Owners' Loan Corporation (HOLC), the number, percentages and location quotient (defined by the Mapping Inequality Project as  “...small-area measures of segregation that specifically compare one racial/ethnic group’s proportion in a granular geography to their proportion in a larger surrounding geography. An LQ above 1 for a given racial group indicates overrepresentation in that HOLC zone relative to the broader surrounding area, and values below 1 indicate underrepresentation ”) of different areas, and the percentages of different racial groups living in surrounding areas. The second dataset(zone-block-matches) has more categorical variables such as the HOLC ID, the state, and the percentage line-up between the 2020 US Census racial demographic and the racial demographics at the power of the HOLC’s influence.</w:t>
      </w:r>
    </w:p>
    <w:p>
      <w:pPr>
        <w:pStyle w:val="TextBody"/>
        <w:bidi w:val="0"/>
        <w:spacing w:before="0" w:after="0"/>
        <w:rPr/>
      </w:pPr>
      <w:r>
        <w:rPr/>
        <w:tab/>
        <w:t xml:space="preserve">The questions this paper is interested in asking as follows: can the racial demographics of an area be predicted based on the HOLC grade of an area and </w:t>
      </w:r>
      <w:r>
        <w:rPr/>
        <w:t>the racial demographics of</w:t>
      </w:r>
      <w:r>
        <w:rPr/>
        <w:t xml:space="preserve"> surrounding </w:t>
      </w:r>
      <w:r>
        <w:rPr/>
        <w:t>areas</w:t>
      </w:r>
      <w:r>
        <w:rPr/>
        <w:t>, and is there a significant overlap in racial compositions between 2020 and the time of the HOLC’s peak? The outcome variable for the first question will be the percentages of different races living in an area and the paper will be using the percentages of surrounding areas and the HOLC grade as the predictors. The second question will being looking into the outcome of the 2020 percentage comparison using he percentages of surrounding areas, the HOLC grade and the location quotient and the as predictors.</w:t>
      </w:r>
    </w:p>
    <w:p>
      <w:pPr>
        <w:pStyle w:val="TextBody"/>
        <w:bidi w:val="0"/>
        <w:spacing w:before="0" w:after="0"/>
        <w:rPr/>
      </w:pPr>
      <w:r>
        <w:rPr/>
      </w:r>
    </w:p>
    <w:p>
      <w:pPr>
        <w:pStyle w:val="TextBody"/>
        <w:bidi w:val="0"/>
        <w:spacing w:before="0" w:after="0"/>
        <w:rPr/>
      </w:pPr>
      <w:r>
        <w:rPr/>
        <w:t xml:space="preserve">Link to the initial datasets (read: unaltered): </w:t>
      </w:r>
      <w:hyperlink r:id="rId2">
        <w:r>
          <w:rPr>
            <w:rStyle w:val="InternetLink"/>
          </w:rPr>
          <w:t>https://github.com/fivethirtyeight/data/tree/master/redlining</w:t>
        </w:r>
      </w:hyperlink>
    </w:p>
    <w:p>
      <w:pPr>
        <w:pStyle w:val="Heading2"/>
        <w:numPr>
          <w:ilvl w:val="1"/>
          <w:numId w:val="2"/>
        </w:numPr>
        <w:bidi w:val="0"/>
        <w:jc w:val="left"/>
        <w:rPr/>
      </w:pPr>
      <w:r>
        <w:rPr/>
        <w:t xml:space="preserve">Descriptive Analysis: </w:t>
      </w:r>
    </w:p>
    <w:p>
      <w:pPr>
        <w:pStyle w:val="TextBody"/>
        <w:bidi w:val="0"/>
        <w:spacing w:before="0" w:after="0"/>
        <w:rPr/>
      </w:pPr>
      <w:r>
        <w:rPr/>
        <w:tab/>
        <w:t>Metro-grades has 27 total variables, including the name of the metropolitan area(</w:t>
      </w:r>
      <w:r>
        <w:rPr>
          <w:b/>
          <w:bCs/>
        </w:rPr>
        <w:t>metro_area</w:t>
      </w:r>
      <w:r>
        <w:rPr/>
        <w:t>), the HOLC grade given to an area(</w:t>
      </w:r>
      <w:r>
        <w:rPr>
          <w:b/>
          <w:bCs/>
        </w:rPr>
        <w:t>holc_grade</w:t>
      </w:r>
      <w:r>
        <w:rPr/>
        <w:t>), the white non-Hispanic population of the area(</w:t>
      </w:r>
      <w:r>
        <w:rPr>
          <w:b/>
          <w:bCs/>
        </w:rPr>
        <w:t>white_pop)</w:t>
      </w:r>
      <w:r>
        <w:rPr/>
        <w:t>, the black population of an area</w:t>
      </w:r>
      <w:r>
        <w:rPr>
          <w:b/>
          <w:bCs/>
        </w:rPr>
        <w:t>(black_pop)</w:t>
      </w:r>
      <w:r>
        <w:rPr/>
        <w:t>,the Hispanic population of an area(</w:t>
      </w:r>
      <w:r>
        <w:rPr>
          <w:b/>
          <w:bCs/>
        </w:rPr>
        <w:t>hisp_pop</w:t>
      </w:r>
      <w:r>
        <w:rPr/>
        <w:t>), the Asian population of an area(</w:t>
      </w:r>
      <w:r>
        <w:rPr>
          <w:b/>
          <w:bCs/>
        </w:rPr>
        <w:t>asian_pop</w:t>
      </w:r>
      <w:r>
        <w:rPr/>
        <w:t>), the population of other races in the area(</w:t>
      </w:r>
      <w:r>
        <w:rPr>
          <w:b/>
          <w:bCs/>
        </w:rPr>
        <w:t>other_pop</w:t>
      </w:r>
      <w:r>
        <w:rPr/>
        <w:t>), the total population of a HOLC area(</w:t>
      </w:r>
      <w:r>
        <w:rPr>
          <w:b/>
          <w:bCs/>
        </w:rPr>
        <w:t>total_pop</w:t>
      </w:r>
      <w:r>
        <w:rPr/>
        <w:t>), the percentage of white non-Hispanic people in an area</w:t>
      </w:r>
      <w:r>
        <w:rPr>
          <w:b/>
          <w:bCs/>
        </w:rPr>
        <w:t>(pct_white)</w:t>
      </w:r>
      <w:r>
        <w:rPr/>
        <w:t>, the percentage of black people in an area(</w:t>
      </w:r>
      <w:r>
        <w:rPr>
          <w:b/>
          <w:bCs/>
        </w:rPr>
        <w:t>pct_black</w:t>
      </w:r>
      <w:r>
        <w:rPr/>
        <w:t>), the percentage of Hispanic people in an area(</w:t>
      </w:r>
      <w:r>
        <w:rPr>
          <w:b/>
          <w:bCs/>
        </w:rPr>
        <w:t>pct_hisp</w:t>
      </w:r>
      <w:r>
        <w:rPr/>
        <w:t>), the percentage of Asian people in an area(</w:t>
      </w:r>
      <w:r>
        <w:rPr>
          <w:b/>
          <w:bCs/>
        </w:rPr>
        <w:t>pct_asian</w:t>
      </w:r>
      <w:r>
        <w:rPr/>
        <w:t>), the percentage of other races in an area(</w:t>
      </w:r>
      <w:r>
        <w:rPr>
          <w:b/>
          <w:bCs/>
        </w:rPr>
        <w:t>pct_other</w:t>
      </w:r>
      <w:r>
        <w:rPr/>
        <w:t>), the location quotient of white people in an area(</w:t>
      </w:r>
      <w:r>
        <w:rPr>
          <w:b/>
          <w:bCs/>
        </w:rPr>
        <w:t>lq_white</w:t>
      </w:r>
      <w:r>
        <w:rPr/>
        <w:t>),the location quotient of black people in an area</w:t>
      </w:r>
      <w:r>
        <w:rPr>
          <w:b/>
          <w:bCs/>
        </w:rPr>
        <w:t>(lq_black</w:t>
      </w:r>
      <w:r>
        <w:rPr/>
        <w:t>), the location quotient of Hispanic people(</w:t>
      </w:r>
      <w:r>
        <w:rPr>
          <w:b/>
          <w:bCs/>
        </w:rPr>
        <w:t>lq_hisp</w:t>
      </w:r>
      <w:r>
        <w:rPr/>
        <w:t>), the location quotient of Asian people(</w:t>
      </w:r>
      <w:r>
        <w:rPr>
          <w:b/>
          <w:bCs/>
        </w:rPr>
        <w:t>lq_asian</w:t>
      </w:r>
      <w:r>
        <w:rPr/>
        <w:t>), the location quotient of other races(</w:t>
      </w:r>
      <w:r>
        <w:rPr>
          <w:b/>
          <w:bCs/>
        </w:rPr>
        <w:t>lq_other</w:t>
      </w:r>
      <w:r>
        <w:rPr/>
        <w:t xml:space="preserve">), </w:t>
      </w:r>
      <w:r>
        <w:rPr>
          <w:color w:val="000000"/>
          <w:sz w:val="24"/>
          <w:szCs w:val="24"/>
        </w:rPr>
        <w:t>non-Hispanic white population within surrounding area of a given  metro area’s HOLC zones</w:t>
      </w:r>
      <w:r>
        <w:rPr/>
        <w:t>(</w:t>
      </w:r>
      <w:r>
        <w:rPr>
          <w:b/>
          <w:bCs/>
        </w:rPr>
        <w:t>surr_area_white_pop</w:t>
      </w:r>
      <w:r>
        <w:rPr/>
        <w:t xml:space="preserve">),  </w:t>
      </w:r>
      <w:r>
        <w:rPr>
          <w:color w:val="000000"/>
          <w:sz w:val="24"/>
          <w:szCs w:val="24"/>
        </w:rPr>
        <w:t>non-Hispanic black population within surrounding area of a given  metro area’s HOLC zones</w:t>
      </w:r>
      <w:r>
        <w:rPr/>
        <w:t>(</w:t>
      </w:r>
      <w:r>
        <w:rPr>
          <w:b/>
          <w:bCs/>
        </w:rPr>
        <w:t>surr_area_black_pop</w:t>
      </w:r>
      <w:r>
        <w:rPr/>
        <w:t xml:space="preserve">), </w:t>
      </w:r>
      <w:r>
        <w:rPr>
          <w:color w:val="000000"/>
          <w:sz w:val="24"/>
          <w:szCs w:val="24"/>
        </w:rPr>
        <w:t xml:space="preserve">Hispanic/Latino population within surrounding areaof a given  metro area’s HOLC zones </w:t>
      </w:r>
      <w:r>
        <w:rPr/>
        <w:t>(s</w:t>
      </w:r>
      <w:r>
        <w:rPr>
          <w:b/>
          <w:bCs/>
        </w:rPr>
        <w:t>urfr_area_hisp_pop</w:t>
      </w:r>
      <w:r>
        <w:rPr/>
        <w:t xml:space="preserve">),  </w:t>
      </w:r>
      <w:r>
        <w:rPr>
          <w:color w:val="000000"/>
          <w:sz w:val="24"/>
          <w:szCs w:val="24"/>
        </w:rPr>
        <w:t>non-Hispanic Asian population within surrounding area of a given metro area’s HOLC zones</w:t>
      </w:r>
      <w:r>
        <w:rPr/>
        <w:t>(</w:t>
      </w:r>
      <w:r>
        <w:rPr>
          <w:b/>
          <w:bCs/>
        </w:rPr>
        <w:t>surr_area_asian_pop</w:t>
      </w:r>
      <w:r>
        <w:rPr/>
        <w:t xml:space="preserve">), </w:t>
      </w:r>
      <w:r>
        <w:rPr>
          <w:color w:val="000000"/>
          <w:sz w:val="24"/>
          <w:szCs w:val="24"/>
        </w:rPr>
        <w:t xml:space="preserve"> population of other races within surrounding area of a given metro area’s HOLC zones</w:t>
      </w:r>
      <w:r>
        <w:rPr/>
        <w:t>(</w:t>
      </w:r>
      <w:r>
        <w:rPr>
          <w:b/>
          <w:bCs/>
        </w:rPr>
        <w:t>surr_area_other_pop</w:t>
      </w:r>
      <w:r>
        <w:rPr/>
        <w:t xml:space="preserve">), percentage of </w:t>
      </w:r>
      <w:r>
        <w:rPr>
          <w:color w:val="000000"/>
          <w:sz w:val="24"/>
          <w:szCs w:val="24"/>
        </w:rPr>
        <w:t>non-Hispanic white population within surrounding area of a given metro area’s HOLC zones</w:t>
      </w:r>
      <w:r>
        <w:rPr/>
        <w:t>(</w:t>
      </w:r>
      <w:r>
        <w:rPr>
          <w:b/>
          <w:bCs/>
        </w:rPr>
        <w:t>surr_area_pct_white)</w:t>
      </w:r>
      <w:r>
        <w:rPr/>
        <w:t xml:space="preserve">, percentage of </w:t>
      </w:r>
      <w:r>
        <w:rPr>
          <w:color w:val="000000"/>
          <w:sz w:val="24"/>
          <w:szCs w:val="24"/>
        </w:rPr>
        <w:t xml:space="preserve">non-Hispanic black population within surrounding area of a given  metro area’s HOLC zones </w:t>
      </w:r>
      <w:r>
        <w:rPr/>
        <w:t>(</w:t>
      </w:r>
      <w:r>
        <w:rPr>
          <w:b/>
          <w:bCs/>
        </w:rPr>
        <w:t>surr_area_pct_black</w:t>
      </w:r>
      <w:r>
        <w:rPr/>
        <w:t xml:space="preserve">), percentage of </w:t>
      </w:r>
      <w:r>
        <w:rPr>
          <w:color w:val="000000"/>
          <w:sz w:val="24"/>
          <w:szCs w:val="24"/>
        </w:rPr>
        <w:t>Hispanic/Latino population within surrounding area of a given  metro area’s HOLC zones</w:t>
      </w:r>
      <w:r>
        <w:rPr/>
        <w:t>(</w:t>
      </w:r>
      <w:r>
        <w:rPr>
          <w:b/>
          <w:bCs/>
        </w:rPr>
        <w:t>surr_area_pct_hisp</w:t>
      </w:r>
      <w:r>
        <w:rPr/>
        <w:t xml:space="preserve">), percentage of </w:t>
      </w:r>
      <w:r>
        <w:rPr>
          <w:color w:val="000000"/>
          <w:sz w:val="24"/>
          <w:szCs w:val="24"/>
        </w:rPr>
        <w:t>non-Hispanic Asian population within surrounding area of a given  metro area’s HOLC zones</w:t>
      </w:r>
      <w:r>
        <w:rPr>
          <w:b/>
          <w:bCs/>
        </w:rPr>
        <w:t>(surr_area_pct_asian</w:t>
      </w:r>
      <w:r>
        <w:rPr/>
        <w:t xml:space="preserve">), and the percentage </w:t>
      </w:r>
      <w:r>
        <w:rPr>
          <w:color w:val="000000"/>
          <w:sz w:val="24"/>
          <w:szCs w:val="24"/>
        </w:rPr>
        <w:t xml:space="preserve"> of the population  of other races within surrounding area of a given  metro area’s HOLC zones</w:t>
      </w:r>
      <w:r>
        <w:rPr/>
        <w:t>(</w:t>
      </w:r>
      <w:r>
        <w:rPr>
          <w:b/>
          <w:bCs/>
        </w:rPr>
        <w:t>surr_area_pct_other</w:t>
      </w:r>
      <w:r>
        <w:rPr/>
        <w:t xml:space="preserve">). </w:t>
      </w:r>
    </w:p>
    <w:p>
      <w:pPr>
        <w:pStyle w:val="TextBody"/>
        <w:bidi w:val="0"/>
        <w:spacing w:before="0" w:after="0"/>
        <w:rPr/>
      </w:pPr>
      <w:r>
        <w:rPr/>
        <w:tab/>
        <w:t xml:space="preserve">Zone-block matches has seven total columns. This includes </w:t>
      </w:r>
      <w:r>
        <w:rPr>
          <w:b w:val="false"/>
          <w:bCs w:val="false"/>
          <w:color w:val="000000"/>
          <w:sz w:val="24"/>
          <w:szCs w:val="24"/>
        </w:rPr>
        <w:t>city name from this zone's HOLC map</w:t>
      </w:r>
      <w:r>
        <w:rPr>
          <w:b w:val="false"/>
          <w:bCs w:val="false"/>
          <w:color w:val="000000"/>
          <w:sz w:val="22"/>
        </w:rPr>
        <w:t xml:space="preserve"> </w:t>
      </w:r>
      <w:r>
        <w:rPr>
          <w:color w:val="000000"/>
          <w:sz w:val="22"/>
        </w:rPr>
        <w:t>(</w:t>
      </w:r>
      <w:r>
        <w:rPr>
          <w:b/>
          <w:bCs/>
          <w:color w:val="000000"/>
          <w:sz w:val="22"/>
        </w:rPr>
        <w:t xml:space="preserve">holc_city), </w:t>
      </w:r>
      <w:r>
        <w:rPr>
          <w:b w:val="false"/>
          <w:bCs w:val="false"/>
          <w:color w:val="000000"/>
          <w:sz w:val="24"/>
          <w:szCs w:val="24"/>
        </w:rPr>
        <w:t>state abbreviation from this zone's HOLC map</w:t>
      </w:r>
      <w:r>
        <w:rPr>
          <w:b/>
          <w:bCs/>
          <w:color w:val="000000"/>
          <w:sz w:val="22"/>
        </w:rPr>
        <w:t xml:space="preserve">(holc_state), </w:t>
      </w:r>
      <w:r>
        <w:rPr>
          <w:b w:val="false"/>
          <w:bCs w:val="false"/>
          <w:color w:val="000000"/>
          <w:sz w:val="24"/>
          <w:szCs w:val="24"/>
        </w:rPr>
        <w:t>HOLC grade assigned to this zone</w:t>
      </w:r>
      <w:r>
        <w:rPr>
          <w:b/>
          <w:bCs/>
          <w:color w:val="000000"/>
          <w:sz w:val="22"/>
        </w:rPr>
        <w:t xml:space="preserve">(holc_grade), </w:t>
      </w:r>
      <w:r>
        <w:rPr>
          <w:b w:val="false"/>
          <w:bCs w:val="false"/>
          <w:color w:val="000000"/>
          <w:sz w:val="24"/>
          <w:szCs w:val="24"/>
        </w:rPr>
        <w:t>HOLC ID assigned to this zone</w:t>
      </w:r>
      <w:r>
        <w:rPr>
          <w:b/>
          <w:bCs/>
          <w:color w:val="000000"/>
          <w:sz w:val="22"/>
        </w:rPr>
        <w:t xml:space="preserve">(holc_id), </w:t>
      </w:r>
      <w:r>
        <w:rPr>
          <w:b w:val="false"/>
          <w:bCs w:val="false"/>
          <w:color w:val="000000"/>
          <w:sz w:val="24"/>
          <w:szCs w:val="24"/>
        </w:rPr>
        <w:t>Neighborhood ID from HOLC</w:t>
      </w:r>
      <w:r>
        <w:rPr>
          <w:b/>
          <w:bCs/>
          <w:color w:val="000000"/>
          <w:sz w:val="22"/>
        </w:rPr>
        <w:t xml:space="preserve">(holc_neighborhood_id), </w:t>
      </w:r>
      <w:hyperlink r:id="rId3">
        <w:r>
          <w:rPr>
            <w:rFonts w:ascii="Consolas" w:hAnsi="Consolas"/>
            <w:b/>
            <w:bCs/>
            <w:color w:val="000000"/>
            <w:sz w:val="22"/>
          </w:rPr>
          <w:t>`GEOID20`</w:t>
        </w:r>
      </w:hyperlink>
      <w:r>
        <w:rPr>
          <w:rFonts w:ascii="Consolas" w:hAnsi="Consolas"/>
          <w:color w:val="000000"/>
          <w:sz w:val="22"/>
        </w:rPr>
        <w:t xml:space="preserve"> </w:t>
      </w:r>
      <w:r>
        <w:rPr>
          <w:color w:val="000000"/>
          <w:sz w:val="24"/>
          <w:szCs w:val="24"/>
        </w:rPr>
        <w:t xml:space="preserve">of 2020 U.S. census block </w:t>
      </w:r>
      <w:r>
        <w:rPr>
          <w:b/>
          <w:bCs/>
          <w:color w:val="000000"/>
          <w:sz w:val="22"/>
        </w:rPr>
        <w:t>(block_geoid20),</w:t>
      </w:r>
      <w:r>
        <w:rPr>
          <w:b w:val="false"/>
          <w:bCs w:val="false"/>
          <w:color w:val="000000"/>
          <w:sz w:val="24"/>
          <w:szCs w:val="24"/>
        </w:rPr>
        <w:t xml:space="preserve"> and the estimated percent of the 2020 U.S. census block's total area that intersects with a given HOLC zone</w:t>
      </w:r>
      <w:r>
        <w:rPr>
          <w:b/>
          <w:bCs/>
          <w:color w:val="000000"/>
          <w:sz w:val="24"/>
          <w:szCs w:val="24"/>
        </w:rPr>
        <w:t xml:space="preserve">(pct_match). </w:t>
      </w:r>
    </w:p>
    <w:p>
      <w:pPr>
        <w:pStyle w:val="TextBody"/>
        <w:bidi w:val="0"/>
        <w:spacing w:before="0" w:after="0"/>
        <w:rPr/>
      </w:pPr>
      <w:r>
        <w:rPr>
          <w:b/>
          <w:bCs/>
          <w:color w:val="000000"/>
          <w:sz w:val="22"/>
        </w:rPr>
        <w:tab/>
      </w:r>
      <w:r>
        <w:rPr>
          <w:b w:val="false"/>
          <w:bCs w:val="false"/>
          <w:color w:val="000000"/>
          <w:sz w:val="24"/>
          <w:szCs w:val="24"/>
        </w:rPr>
        <w:t>For metro-grades, the data can be gathered  as follows:</w:t>
      </w:r>
    </w:p>
    <w:p>
      <w:pPr>
        <w:pStyle w:val="TextBody"/>
        <w:bidi w:val="0"/>
        <w:spacing w:before="0" w:after="0"/>
        <w:rPr>
          <w:rFonts w:ascii="Liberation Serif" w:hAnsi="Liberation Serif"/>
          <w:b w:val="false"/>
          <w:b w:val="false"/>
          <w:bCs w:val="false"/>
          <w:color w:val="000000"/>
          <w:sz w:val="24"/>
          <w:szCs w:val="24"/>
        </w:rPr>
      </w:pPr>
      <w:r>
        <w:rPr>
          <w:b w:val="false"/>
          <w:bCs w:val="false"/>
          <w:color w:val="000000"/>
          <w:sz w:val="24"/>
          <w:szCs w:val="24"/>
        </w:rPr>
      </w:r>
    </w:p>
    <w:tbl>
      <w:tblPr>
        <w:tblW w:w="7204" w:type="dxa"/>
        <w:jc w:val="left"/>
        <w:tblInd w:w="326" w:type="dxa"/>
        <w:tblLayout w:type="fixed"/>
        <w:tblCellMar>
          <w:top w:w="0" w:type="dxa"/>
          <w:left w:w="30" w:type="dxa"/>
          <w:bottom w:w="0" w:type="dxa"/>
          <w:right w:w="30" w:type="dxa"/>
        </w:tblCellMar>
      </w:tblPr>
      <w:tblGrid>
        <w:gridCol w:w="2159"/>
        <w:gridCol w:w="1350"/>
        <w:gridCol w:w="1801"/>
        <w:gridCol w:w="1893"/>
      </w:tblGrid>
      <w:tr>
        <w:trPr>
          <w:trHeight w:val="305" w:hRule="atLeast"/>
        </w:trPr>
        <w:tc>
          <w:tcPr>
            <w:tcW w:w="2159" w:type="dxa"/>
            <w:tcBorders/>
          </w:tcPr>
          <w:p>
            <w:pPr>
              <w:pStyle w:val="Normal"/>
              <w:widowControl w:val="false"/>
              <w:tabs>
                <w:tab w:val="clear" w:pos="709"/>
              </w:tabs>
              <w:jc w:val="right"/>
              <w:rPr>
                <w:rFonts w:ascii="Aptos Narrow" w:hAnsi="Aptos Narrow"/>
                <w:color w:val="000000"/>
                <w:sz w:val="22"/>
              </w:rPr>
            </w:pPr>
            <w:r>
              <w:rPr>
                <w:rFonts w:ascii="Aptos Narrow" w:hAnsi="Aptos Narrow"/>
                <w:color w:val="000000"/>
                <w:sz w:val="22"/>
              </w:rPr>
            </w:r>
          </w:p>
        </w:tc>
        <w:tc>
          <w:tcPr>
            <w:tcW w:w="1350" w:type="dxa"/>
            <w:tcBorders/>
          </w:tcPr>
          <w:p>
            <w:pPr>
              <w:pStyle w:val="Normal"/>
              <w:widowControl w:val="false"/>
              <w:tabs>
                <w:tab w:val="clear" w:pos="709"/>
              </w:tabs>
              <w:jc w:val="left"/>
              <w:rPr/>
            </w:pPr>
            <w:r>
              <w:rPr>
                <w:rFonts w:ascii="Aptos Narrow" w:hAnsi="Aptos Narrow"/>
                <w:color w:val="000000"/>
                <w:sz w:val="22"/>
              </w:rPr>
              <w:t>Mean</w:t>
            </w:r>
          </w:p>
        </w:tc>
        <w:tc>
          <w:tcPr>
            <w:tcW w:w="1801" w:type="dxa"/>
            <w:tcBorders/>
          </w:tcPr>
          <w:p>
            <w:pPr>
              <w:pStyle w:val="Normal"/>
              <w:widowControl w:val="false"/>
              <w:tabs>
                <w:tab w:val="clear" w:pos="709"/>
              </w:tabs>
              <w:jc w:val="left"/>
              <w:rPr/>
            </w:pPr>
            <w:r>
              <w:rPr>
                <w:rFonts w:ascii="Aptos Narrow" w:hAnsi="Aptos Narrow"/>
                <w:color w:val="000000"/>
                <w:sz w:val="22"/>
              </w:rPr>
              <w:t>Median</w:t>
            </w:r>
          </w:p>
        </w:tc>
        <w:tc>
          <w:tcPr>
            <w:tcW w:w="1893" w:type="dxa"/>
            <w:tcBorders/>
          </w:tcPr>
          <w:p>
            <w:pPr>
              <w:pStyle w:val="Normal"/>
              <w:widowControl w:val="false"/>
              <w:tabs>
                <w:tab w:val="clear" w:pos="709"/>
              </w:tabs>
              <w:jc w:val="left"/>
              <w:rPr/>
            </w:pPr>
            <w:r>
              <w:rPr>
                <w:rFonts w:ascii="Aptos Narrow" w:hAnsi="Aptos Narrow"/>
                <w:color w:val="000000"/>
                <w:sz w:val="22"/>
              </w:rPr>
              <w:t>Std Dev</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pct-white</w:t>
            </w:r>
          </w:p>
        </w:tc>
        <w:tc>
          <w:tcPr>
            <w:tcW w:w="1350" w:type="dxa"/>
            <w:tcBorders/>
          </w:tcPr>
          <w:p>
            <w:pPr>
              <w:pStyle w:val="Normal"/>
              <w:widowControl w:val="false"/>
              <w:tabs>
                <w:tab w:val="clear" w:pos="709"/>
              </w:tabs>
              <w:jc w:val="right"/>
              <w:rPr/>
            </w:pPr>
            <w:r>
              <w:rPr>
                <w:rFonts w:ascii="Aptos Narrow" w:hAnsi="Aptos Narrow"/>
                <w:color w:val="000000"/>
                <w:sz w:val="22"/>
              </w:rPr>
              <w:t>55.45245</w:t>
            </w:r>
          </w:p>
        </w:tc>
        <w:tc>
          <w:tcPr>
            <w:tcW w:w="1801" w:type="dxa"/>
            <w:tcBorders/>
          </w:tcPr>
          <w:p>
            <w:pPr>
              <w:pStyle w:val="Normal"/>
              <w:widowControl w:val="false"/>
              <w:tabs>
                <w:tab w:val="clear" w:pos="709"/>
              </w:tabs>
              <w:jc w:val="right"/>
              <w:rPr/>
            </w:pPr>
            <w:r>
              <w:rPr>
                <w:rFonts w:ascii="Aptos Narrow" w:hAnsi="Aptos Narrow"/>
                <w:color w:val="000000"/>
                <w:sz w:val="22"/>
              </w:rPr>
              <w:t>59.01</w:t>
            </w:r>
          </w:p>
        </w:tc>
        <w:tc>
          <w:tcPr>
            <w:tcW w:w="1893" w:type="dxa"/>
            <w:tcBorders/>
          </w:tcPr>
          <w:p>
            <w:pPr>
              <w:pStyle w:val="Normal"/>
              <w:widowControl w:val="false"/>
              <w:tabs>
                <w:tab w:val="clear" w:pos="709"/>
              </w:tabs>
              <w:jc w:val="right"/>
              <w:rPr/>
            </w:pPr>
            <w:r>
              <w:rPr>
                <w:rFonts w:ascii="Aptos Narrow" w:hAnsi="Aptos Narrow"/>
                <w:color w:val="000000"/>
                <w:sz w:val="22"/>
              </w:rPr>
              <w:t>22.47838</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pct-black</w:t>
            </w:r>
          </w:p>
        </w:tc>
        <w:tc>
          <w:tcPr>
            <w:tcW w:w="1350" w:type="dxa"/>
            <w:tcBorders/>
          </w:tcPr>
          <w:p>
            <w:pPr>
              <w:pStyle w:val="Normal"/>
              <w:widowControl w:val="false"/>
              <w:tabs>
                <w:tab w:val="clear" w:pos="709"/>
              </w:tabs>
              <w:jc w:val="right"/>
              <w:rPr/>
            </w:pPr>
            <w:r>
              <w:rPr>
                <w:rFonts w:ascii="Aptos Narrow" w:hAnsi="Aptos Narrow"/>
                <w:color w:val="000000"/>
                <w:sz w:val="22"/>
              </w:rPr>
              <w:t>19.98296</w:t>
            </w:r>
          </w:p>
        </w:tc>
        <w:tc>
          <w:tcPr>
            <w:tcW w:w="1801" w:type="dxa"/>
            <w:tcBorders/>
          </w:tcPr>
          <w:p>
            <w:pPr>
              <w:pStyle w:val="Normal"/>
              <w:widowControl w:val="false"/>
              <w:tabs>
                <w:tab w:val="clear" w:pos="709"/>
              </w:tabs>
              <w:jc w:val="right"/>
              <w:rPr/>
            </w:pPr>
            <w:r>
              <w:rPr>
                <w:rFonts w:ascii="Aptos Narrow" w:hAnsi="Aptos Narrow"/>
                <w:color w:val="000000"/>
                <w:sz w:val="22"/>
              </w:rPr>
              <w:t>13.39</w:t>
            </w:r>
          </w:p>
        </w:tc>
        <w:tc>
          <w:tcPr>
            <w:tcW w:w="1893" w:type="dxa"/>
            <w:tcBorders/>
          </w:tcPr>
          <w:p>
            <w:pPr>
              <w:pStyle w:val="Normal"/>
              <w:widowControl w:val="false"/>
              <w:tabs>
                <w:tab w:val="clear" w:pos="709"/>
              </w:tabs>
              <w:jc w:val="right"/>
              <w:rPr/>
            </w:pPr>
            <w:r>
              <w:rPr>
                <w:rFonts w:ascii="Aptos Narrow" w:hAnsi="Aptos Narrow"/>
                <w:color w:val="000000"/>
                <w:sz w:val="22"/>
              </w:rPr>
              <w:t>18.66854</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pct-his</w:t>
            </w:r>
          </w:p>
        </w:tc>
        <w:tc>
          <w:tcPr>
            <w:tcW w:w="1350" w:type="dxa"/>
            <w:tcBorders/>
          </w:tcPr>
          <w:p>
            <w:pPr>
              <w:pStyle w:val="Normal"/>
              <w:widowControl w:val="false"/>
              <w:tabs>
                <w:tab w:val="clear" w:pos="709"/>
              </w:tabs>
              <w:jc w:val="right"/>
              <w:rPr/>
            </w:pPr>
            <w:r>
              <w:rPr>
                <w:rFonts w:ascii="Aptos Narrow" w:hAnsi="Aptos Narrow"/>
                <w:color w:val="000000"/>
                <w:sz w:val="22"/>
              </w:rPr>
              <w:t>15.54083</w:t>
            </w:r>
          </w:p>
        </w:tc>
        <w:tc>
          <w:tcPr>
            <w:tcW w:w="1801" w:type="dxa"/>
            <w:tcBorders/>
          </w:tcPr>
          <w:p>
            <w:pPr>
              <w:pStyle w:val="Normal"/>
              <w:widowControl w:val="false"/>
              <w:tabs>
                <w:tab w:val="clear" w:pos="709"/>
              </w:tabs>
              <w:jc w:val="right"/>
              <w:rPr/>
            </w:pPr>
            <w:r>
              <w:rPr>
                <w:rFonts w:ascii="Aptos Narrow" w:hAnsi="Aptos Narrow"/>
                <w:color w:val="000000"/>
                <w:sz w:val="22"/>
              </w:rPr>
              <w:t>8.8</w:t>
            </w:r>
          </w:p>
        </w:tc>
        <w:tc>
          <w:tcPr>
            <w:tcW w:w="1893" w:type="dxa"/>
            <w:tcBorders/>
          </w:tcPr>
          <w:p>
            <w:pPr>
              <w:pStyle w:val="Normal"/>
              <w:widowControl w:val="false"/>
              <w:tabs>
                <w:tab w:val="clear" w:pos="709"/>
              </w:tabs>
              <w:jc w:val="right"/>
              <w:rPr/>
            </w:pPr>
            <w:r>
              <w:rPr>
                <w:rFonts w:ascii="Aptos Narrow" w:hAnsi="Aptos Narrow"/>
                <w:color w:val="000000"/>
                <w:sz w:val="22"/>
              </w:rPr>
              <w:t>16.86134</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pct-asian</w:t>
            </w:r>
          </w:p>
        </w:tc>
        <w:tc>
          <w:tcPr>
            <w:tcW w:w="1350" w:type="dxa"/>
            <w:tcBorders/>
          </w:tcPr>
          <w:p>
            <w:pPr>
              <w:pStyle w:val="Normal"/>
              <w:widowControl w:val="false"/>
              <w:tabs>
                <w:tab w:val="clear" w:pos="709"/>
              </w:tabs>
              <w:jc w:val="right"/>
              <w:rPr/>
            </w:pPr>
            <w:r>
              <w:rPr>
                <w:rFonts w:ascii="Aptos Narrow" w:hAnsi="Aptos Narrow"/>
                <w:color w:val="000000"/>
                <w:sz w:val="22"/>
              </w:rPr>
              <w:t>3.231162</w:t>
            </w:r>
          </w:p>
        </w:tc>
        <w:tc>
          <w:tcPr>
            <w:tcW w:w="1801" w:type="dxa"/>
            <w:tcBorders/>
          </w:tcPr>
          <w:p>
            <w:pPr>
              <w:pStyle w:val="Normal"/>
              <w:widowControl w:val="false"/>
              <w:tabs>
                <w:tab w:val="clear" w:pos="709"/>
              </w:tabs>
              <w:jc w:val="right"/>
              <w:rPr/>
            </w:pPr>
            <w:r>
              <w:rPr>
                <w:rFonts w:ascii="Aptos Narrow" w:hAnsi="Aptos Narrow"/>
                <w:color w:val="000000"/>
                <w:sz w:val="22"/>
              </w:rPr>
              <w:t>2.01</w:t>
            </w:r>
          </w:p>
        </w:tc>
        <w:tc>
          <w:tcPr>
            <w:tcW w:w="1893" w:type="dxa"/>
            <w:tcBorders/>
          </w:tcPr>
          <w:p>
            <w:pPr>
              <w:pStyle w:val="Normal"/>
              <w:widowControl w:val="false"/>
              <w:tabs>
                <w:tab w:val="clear" w:pos="709"/>
              </w:tabs>
              <w:jc w:val="right"/>
              <w:rPr/>
            </w:pPr>
            <w:r>
              <w:rPr>
                <w:rFonts w:ascii="Aptos Narrow" w:hAnsi="Aptos Narrow"/>
                <w:color w:val="000000"/>
                <w:sz w:val="22"/>
              </w:rPr>
              <w:t>3.668255</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pct-other</w:t>
            </w:r>
          </w:p>
        </w:tc>
        <w:tc>
          <w:tcPr>
            <w:tcW w:w="1350" w:type="dxa"/>
            <w:tcBorders/>
          </w:tcPr>
          <w:p>
            <w:pPr>
              <w:pStyle w:val="Normal"/>
              <w:widowControl w:val="false"/>
              <w:tabs>
                <w:tab w:val="clear" w:pos="709"/>
              </w:tabs>
              <w:jc w:val="right"/>
              <w:rPr/>
            </w:pPr>
            <w:r>
              <w:rPr>
                <w:rFonts w:ascii="Aptos Narrow" w:hAnsi="Aptos Narrow"/>
                <w:color w:val="000000"/>
                <w:sz w:val="22"/>
              </w:rPr>
              <w:t>5.792722</w:t>
            </w:r>
          </w:p>
        </w:tc>
        <w:tc>
          <w:tcPr>
            <w:tcW w:w="1801" w:type="dxa"/>
            <w:tcBorders/>
          </w:tcPr>
          <w:p>
            <w:pPr>
              <w:pStyle w:val="Normal"/>
              <w:widowControl w:val="false"/>
              <w:tabs>
                <w:tab w:val="clear" w:pos="709"/>
              </w:tabs>
              <w:jc w:val="right"/>
              <w:rPr/>
            </w:pPr>
            <w:r>
              <w:rPr>
                <w:rFonts w:ascii="Aptos Narrow" w:hAnsi="Aptos Narrow"/>
                <w:color w:val="000000"/>
                <w:sz w:val="22"/>
              </w:rPr>
              <w:t>5.55</w:t>
            </w:r>
          </w:p>
        </w:tc>
        <w:tc>
          <w:tcPr>
            <w:tcW w:w="1893" w:type="dxa"/>
            <w:tcBorders/>
          </w:tcPr>
          <w:p>
            <w:pPr>
              <w:pStyle w:val="Normal"/>
              <w:widowControl w:val="false"/>
              <w:tabs>
                <w:tab w:val="clear" w:pos="709"/>
              </w:tabs>
              <w:jc w:val="right"/>
              <w:rPr/>
            </w:pPr>
            <w:r>
              <w:rPr>
                <w:rFonts w:ascii="Aptos Narrow" w:hAnsi="Aptos Narrow"/>
                <w:color w:val="000000"/>
                <w:sz w:val="22"/>
              </w:rPr>
              <w:t>2.070412</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white-lq</w:t>
            </w:r>
          </w:p>
        </w:tc>
        <w:tc>
          <w:tcPr>
            <w:tcW w:w="1350" w:type="dxa"/>
            <w:tcBorders/>
          </w:tcPr>
          <w:p>
            <w:pPr>
              <w:pStyle w:val="Normal"/>
              <w:widowControl w:val="false"/>
              <w:tabs>
                <w:tab w:val="clear" w:pos="709"/>
              </w:tabs>
              <w:jc w:val="right"/>
              <w:rPr/>
            </w:pPr>
            <w:r>
              <w:rPr>
                <w:rFonts w:ascii="Aptos Narrow" w:hAnsi="Aptos Narrow"/>
                <w:color w:val="000000"/>
                <w:sz w:val="22"/>
              </w:rPr>
              <w:t>1.050236</w:t>
            </w:r>
          </w:p>
        </w:tc>
        <w:tc>
          <w:tcPr>
            <w:tcW w:w="1801" w:type="dxa"/>
            <w:tcBorders/>
          </w:tcPr>
          <w:p>
            <w:pPr>
              <w:pStyle w:val="Normal"/>
              <w:widowControl w:val="false"/>
              <w:tabs>
                <w:tab w:val="clear" w:pos="709"/>
              </w:tabs>
              <w:jc w:val="right"/>
              <w:rPr/>
            </w:pPr>
            <w:r>
              <w:rPr>
                <w:rFonts w:ascii="Aptos Narrow" w:hAnsi="Aptos Narrow"/>
                <w:color w:val="000000"/>
                <w:sz w:val="22"/>
              </w:rPr>
              <w:t>0.98</w:t>
            </w:r>
          </w:p>
        </w:tc>
        <w:tc>
          <w:tcPr>
            <w:tcW w:w="1893" w:type="dxa"/>
            <w:tcBorders/>
          </w:tcPr>
          <w:p>
            <w:pPr>
              <w:pStyle w:val="Normal"/>
              <w:widowControl w:val="false"/>
              <w:tabs>
                <w:tab w:val="clear" w:pos="709"/>
              </w:tabs>
              <w:jc w:val="right"/>
              <w:rPr/>
            </w:pPr>
            <w:r>
              <w:rPr>
                <w:rFonts w:ascii="Aptos Narrow" w:hAnsi="Aptos Narrow"/>
                <w:color w:val="000000"/>
                <w:sz w:val="22"/>
              </w:rPr>
              <w:t>0.476836</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black-lq</w:t>
            </w:r>
          </w:p>
        </w:tc>
        <w:tc>
          <w:tcPr>
            <w:tcW w:w="1350" w:type="dxa"/>
            <w:tcBorders/>
          </w:tcPr>
          <w:p>
            <w:pPr>
              <w:pStyle w:val="Normal"/>
              <w:widowControl w:val="false"/>
              <w:tabs>
                <w:tab w:val="clear" w:pos="709"/>
              </w:tabs>
              <w:jc w:val="right"/>
              <w:rPr/>
            </w:pPr>
            <w:r>
              <w:rPr>
                <w:rFonts w:ascii="Aptos Narrow" w:hAnsi="Aptos Narrow"/>
                <w:color w:val="000000"/>
                <w:sz w:val="22"/>
              </w:rPr>
              <w:t>1.042341</w:t>
            </w:r>
          </w:p>
        </w:tc>
        <w:tc>
          <w:tcPr>
            <w:tcW w:w="1801" w:type="dxa"/>
            <w:tcBorders/>
          </w:tcPr>
          <w:p>
            <w:pPr>
              <w:pStyle w:val="Normal"/>
              <w:widowControl w:val="false"/>
              <w:tabs>
                <w:tab w:val="clear" w:pos="709"/>
              </w:tabs>
              <w:jc w:val="right"/>
              <w:rPr/>
            </w:pPr>
            <w:r>
              <w:rPr>
                <w:rFonts w:ascii="Aptos Narrow" w:hAnsi="Aptos Narrow"/>
                <w:color w:val="000000"/>
                <w:sz w:val="22"/>
              </w:rPr>
              <w:t>1.02</w:t>
            </w:r>
          </w:p>
        </w:tc>
        <w:tc>
          <w:tcPr>
            <w:tcW w:w="1893" w:type="dxa"/>
            <w:tcBorders/>
          </w:tcPr>
          <w:p>
            <w:pPr>
              <w:pStyle w:val="Normal"/>
              <w:widowControl w:val="false"/>
              <w:tabs>
                <w:tab w:val="clear" w:pos="709"/>
              </w:tabs>
              <w:jc w:val="right"/>
              <w:rPr/>
            </w:pPr>
            <w:r>
              <w:rPr>
                <w:rFonts w:ascii="Aptos Narrow" w:hAnsi="Aptos Narrow"/>
                <w:color w:val="000000"/>
                <w:sz w:val="22"/>
              </w:rPr>
              <w:t>0.65246</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his-lq</w:t>
            </w:r>
          </w:p>
        </w:tc>
        <w:tc>
          <w:tcPr>
            <w:tcW w:w="1350" w:type="dxa"/>
            <w:tcBorders/>
          </w:tcPr>
          <w:p>
            <w:pPr>
              <w:pStyle w:val="Normal"/>
              <w:widowControl w:val="false"/>
              <w:tabs>
                <w:tab w:val="clear" w:pos="709"/>
              </w:tabs>
              <w:jc w:val="right"/>
              <w:rPr/>
            </w:pPr>
            <w:r>
              <w:rPr>
                <w:rFonts w:ascii="Aptos Narrow" w:hAnsi="Aptos Narrow"/>
                <w:color w:val="000000"/>
                <w:sz w:val="22"/>
              </w:rPr>
              <w:t>1.024102</w:t>
            </w:r>
          </w:p>
        </w:tc>
        <w:tc>
          <w:tcPr>
            <w:tcW w:w="1801" w:type="dxa"/>
            <w:tcBorders/>
          </w:tcPr>
          <w:p>
            <w:pPr>
              <w:pStyle w:val="Normal"/>
              <w:widowControl w:val="false"/>
              <w:tabs>
                <w:tab w:val="clear" w:pos="709"/>
              </w:tabs>
              <w:jc w:val="right"/>
              <w:rPr/>
            </w:pPr>
            <w:r>
              <w:rPr>
                <w:rFonts w:ascii="Aptos Narrow" w:hAnsi="Aptos Narrow"/>
                <w:color w:val="000000"/>
                <w:sz w:val="22"/>
              </w:rPr>
              <w:t>1</w:t>
            </w:r>
          </w:p>
        </w:tc>
        <w:tc>
          <w:tcPr>
            <w:tcW w:w="1893" w:type="dxa"/>
            <w:tcBorders/>
          </w:tcPr>
          <w:p>
            <w:pPr>
              <w:pStyle w:val="Normal"/>
              <w:widowControl w:val="false"/>
              <w:tabs>
                <w:tab w:val="clear" w:pos="709"/>
              </w:tabs>
              <w:jc w:val="right"/>
              <w:rPr/>
            </w:pPr>
            <w:r>
              <w:rPr>
                <w:rFonts w:ascii="Aptos Narrow" w:hAnsi="Aptos Narrow"/>
                <w:color w:val="000000"/>
                <w:sz w:val="22"/>
              </w:rPr>
              <w:t>0.468835</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asian-lq</w:t>
            </w:r>
          </w:p>
        </w:tc>
        <w:tc>
          <w:tcPr>
            <w:tcW w:w="1350" w:type="dxa"/>
            <w:tcBorders/>
          </w:tcPr>
          <w:p>
            <w:pPr>
              <w:pStyle w:val="Normal"/>
              <w:widowControl w:val="false"/>
              <w:tabs>
                <w:tab w:val="clear" w:pos="709"/>
              </w:tabs>
              <w:jc w:val="right"/>
              <w:rPr/>
            </w:pPr>
            <w:r>
              <w:rPr>
                <w:rFonts w:ascii="Aptos Narrow" w:hAnsi="Aptos Narrow"/>
                <w:color w:val="000000"/>
                <w:sz w:val="22"/>
              </w:rPr>
              <w:t>0.821506</w:t>
            </w:r>
          </w:p>
        </w:tc>
        <w:tc>
          <w:tcPr>
            <w:tcW w:w="1801" w:type="dxa"/>
            <w:tcBorders/>
          </w:tcPr>
          <w:p>
            <w:pPr>
              <w:pStyle w:val="Normal"/>
              <w:widowControl w:val="false"/>
              <w:tabs>
                <w:tab w:val="clear" w:pos="709"/>
              </w:tabs>
              <w:jc w:val="right"/>
              <w:rPr/>
            </w:pPr>
            <w:r>
              <w:rPr>
                <w:rFonts w:ascii="Aptos Narrow" w:hAnsi="Aptos Narrow"/>
                <w:color w:val="000000"/>
                <w:sz w:val="22"/>
              </w:rPr>
              <w:t>0.74</w:t>
            </w:r>
          </w:p>
        </w:tc>
        <w:tc>
          <w:tcPr>
            <w:tcW w:w="1893" w:type="dxa"/>
            <w:tcBorders/>
          </w:tcPr>
          <w:p>
            <w:pPr>
              <w:pStyle w:val="Normal"/>
              <w:widowControl w:val="false"/>
              <w:tabs>
                <w:tab w:val="clear" w:pos="709"/>
              </w:tabs>
              <w:jc w:val="right"/>
              <w:rPr/>
            </w:pPr>
            <w:r>
              <w:rPr>
                <w:rFonts w:ascii="Aptos Narrow" w:hAnsi="Aptos Narrow"/>
                <w:color w:val="000000"/>
                <w:sz w:val="22"/>
              </w:rPr>
              <w:t>0.425137</w:t>
            </w:r>
          </w:p>
        </w:tc>
      </w:tr>
      <w:tr>
        <w:trPr>
          <w:trHeight w:val="305" w:hRule="atLeast"/>
        </w:trPr>
        <w:tc>
          <w:tcPr>
            <w:tcW w:w="2159" w:type="dxa"/>
            <w:tcBorders/>
          </w:tcPr>
          <w:p>
            <w:pPr>
              <w:pStyle w:val="Normal"/>
              <w:widowControl w:val="false"/>
              <w:tabs>
                <w:tab w:val="clear" w:pos="709"/>
              </w:tabs>
              <w:jc w:val="left"/>
              <w:rPr/>
            </w:pPr>
            <w:r>
              <w:rPr>
                <w:rFonts w:ascii="Aptos Narrow" w:hAnsi="Aptos Narrow"/>
                <w:color w:val="000000"/>
                <w:sz w:val="22"/>
              </w:rPr>
              <w:t>other-lq</w:t>
            </w:r>
          </w:p>
        </w:tc>
        <w:tc>
          <w:tcPr>
            <w:tcW w:w="1350" w:type="dxa"/>
            <w:tcBorders/>
          </w:tcPr>
          <w:p>
            <w:pPr>
              <w:pStyle w:val="Normal"/>
              <w:widowControl w:val="false"/>
              <w:tabs>
                <w:tab w:val="clear" w:pos="709"/>
              </w:tabs>
              <w:jc w:val="right"/>
              <w:rPr/>
            </w:pPr>
            <w:r>
              <w:rPr>
                <w:rFonts w:ascii="Aptos Narrow" w:hAnsi="Aptos Narrow"/>
                <w:color w:val="000000"/>
                <w:sz w:val="22"/>
              </w:rPr>
              <w:t>1.05167</w:t>
            </w:r>
          </w:p>
        </w:tc>
        <w:tc>
          <w:tcPr>
            <w:tcW w:w="1801" w:type="dxa"/>
            <w:tcBorders/>
          </w:tcPr>
          <w:p>
            <w:pPr>
              <w:pStyle w:val="Normal"/>
              <w:widowControl w:val="false"/>
              <w:tabs>
                <w:tab w:val="clear" w:pos="709"/>
              </w:tabs>
              <w:jc w:val="right"/>
              <w:rPr/>
            </w:pPr>
            <w:r>
              <w:rPr>
                <w:rFonts w:ascii="Aptos Narrow" w:hAnsi="Aptos Narrow"/>
                <w:color w:val="000000"/>
                <w:sz w:val="22"/>
              </w:rPr>
              <w:t>1.05</w:t>
            </w:r>
          </w:p>
        </w:tc>
        <w:tc>
          <w:tcPr>
            <w:tcW w:w="1893" w:type="dxa"/>
            <w:tcBorders/>
          </w:tcPr>
          <w:p>
            <w:pPr>
              <w:pStyle w:val="Normal"/>
              <w:widowControl w:val="false"/>
              <w:tabs>
                <w:tab w:val="clear" w:pos="709"/>
              </w:tabs>
              <w:jc w:val="right"/>
              <w:rPr/>
            </w:pPr>
            <w:r>
              <w:rPr>
                <w:rFonts w:ascii="Aptos Narrow" w:hAnsi="Aptos Narrow"/>
                <w:color w:val="000000"/>
                <w:sz w:val="22"/>
              </w:rPr>
              <w:t>0.200859</w:t>
            </w:r>
          </w:p>
        </w:tc>
      </w:tr>
      <w:tr>
        <w:trPr>
          <w:trHeight w:val="305" w:hRule="atLeast"/>
        </w:trPr>
        <w:tc>
          <w:tcPr>
            <w:tcW w:w="2159" w:type="dxa"/>
            <w:tcBorders/>
          </w:tcPr>
          <w:p>
            <w:pPr>
              <w:pStyle w:val="TextBody"/>
              <w:widowControl w:val="false"/>
              <w:tabs>
                <w:tab w:val="clear" w:pos="709"/>
              </w:tabs>
              <w:bidi w:val="0"/>
              <w:spacing w:before="0" w:after="0"/>
              <w:jc w:val="left"/>
              <w:rPr>
                <w:b w:val="false"/>
                <w:b w:val="false"/>
                <w:bCs w:val="false"/>
              </w:rPr>
            </w:pPr>
            <w:r>
              <w:rPr>
                <w:rFonts w:ascii="Aptos Narrow" w:hAnsi="Aptos Narrow"/>
                <w:b w:val="false"/>
                <w:bCs w:val="false"/>
                <w:color w:val="000000"/>
                <w:sz w:val="22"/>
              </w:rPr>
              <w:t>surr_area_white_pop</w:t>
            </w:r>
          </w:p>
        </w:tc>
        <w:tc>
          <w:tcPr>
            <w:tcW w:w="1350" w:type="dxa"/>
            <w:tcBorders/>
          </w:tcPr>
          <w:p>
            <w:pPr>
              <w:pStyle w:val="Normal"/>
              <w:widowControl w:val="false"/>
              <w:tabs>
                <w:tab w:val="clear" w:pos="709"/>
              </w:tabs>
              <w:jc w:val="right"/>
              <w:rPr/>
            </w:pPr>
            <w:r>
              <w:rPr>
                <w:rFonts w:ascii="Aptos Narrow" w:hAnsi="Aptos Narrow"/>
                <w:color w:val="000000"/>
                <w:sz w:val="22"/>
              </w:rPr>
              <w:t>54.77328</w:t>
            </w:r>
          </w:p>
        </w:tc>
        <w:tc>
          <w:tcPr>
            <w:tcW w:w="1801" w:type="dxa"/>
            <w:tcBorders/>
          </w:tcPr>
          <w:p>
            <w:pPr>
              <w:pStyle w:val="Normal"/>
              <w:widowControl w:val="false"/>
              <w:tabs>
                <w:tab w:val="clear" w:pos="709"/>
              </w:tabs>
              <w:jc w:val="right"/>
              <w:rPr/>
            </w:pPr>
            <w:r>
              <w:rPr>
                <w:rFonts w:ascii="Aptos Narrow" w:hAnsi="Aptos Narrow"/>
                <w:color w:val="000000"/>
                <w:sz w:val="22"/>
              </w:rPr>
              <w:t>57.22</w:t>
            </w:r>
          </w:p>
        </w:tc>
        <w:tc>
          <w:tcPr>
            <w:tcW w:w="1893" w:type="dxa"/>
            <w:tcBorders/>
          </w:tcPr>
          <w:p>
            <w:pPr>
              <w:pStyle w:val="Normal"/>
              <w:widowControl w:val="false"/>
              <w:tabs>
                <w:tab w:val="clear" w:pos="709"/>
              </w:tabs>
              <w:jc w:val="right"/>
              <w:rPr/>
            </w:pPr>
            <w:r>
              <w:rPr>
                <w:rFonts w:ascii="Aptos Narrow" w:hAnsi="Aptos Narrow"/>
                <w:color w:val="000000"/>
                <w:sz w:val="22"/>
              </w:rPr>
              <w:t>17.34471</w:t>
            </w:r>
          </w:p>
        </w:tc>
      </w:tr>
      <w:tr>
        <w:trPr>
          <w:trHeight w:val="305" w:hRule="atLeast"/>
        </w:trPr>
        <w:tc>
          <w:tcPr>
            <w:tcW w:w="2159" w:type="dxa"/>
            <w:tcBorders/>
          </w:tcPr>
          <w:p>
            <w:pPr>
              <w:pStyle w:val="TextBody"/>
              <w:widowControl w:val="false"/>
              <w:tabs>
                <w:tab w:val="clear" w:pos="709"/>
              </w:tabs>
              <w:bidi w:val="0"/>
              <w:spacing w:before="0" w:after="0"/>
              <w:jc w:val="left"/>
              <w:rPr>
                <w:b w:val="false"/>
                <w:b w:val="false"/>
                <w:bCs w:val="false"/>
              </w:rPr>
            </w:pPr>
            <w:r>
              <w:rPr>
                <w:rFonts w:ascii="Aptos Narrow" w:hAnsi="Aptos Narrow"/>
                <w:b w:val="false"/>
                <w:bCs w:val="false"/>
                <w:color w:val="000000"/>
                <w:sz w:val="22"/>
              </w:rPr>
              <w:t>surr_area_black_pop</w:t>
            </w:r>
          </w:p>
        </w:tc>
        <w:tc>
          <w:tcPr>
            <w:tcW w:w="1350" w:type="dxa"/>
            <w:tcBorders/>
          </w:tcPr>
          <w:p>
            <w:pPr>
              <w:pStyle w:val="Normal"/>
              <w:widowControl w:val="false"/>
              <w:tabs>
                <w:tab w:val="clear" w:pos="709"/>
              </w:tabs>
              <w:jc w:val="right"/>
              <w:rPr/>
            </w:pPr>
            <w:r>
              <w:rPr>
                <w:rFonts w:ascii="Aptos Narrow" w:hAnsi="Aptos Narrow"/>
                <w:color w:val="000000"/>
                <w:sz w:val="22"/>
              </w:rPr>
              <w:t>20.05102</w:t>
            </w:r>
          </w:p>
        </w:tc>
        <w:tc>
          <w:tcPr>
            <w:tcW w:w="1801" w:type="dxa"/>
            <w:tcBorders/>
          </w:tcPr>
          <w:p>
            <w:pPr>
              <w:pStyle w:val="Normal"/>
              <w:widowControl w:val="false"/>
              <w:tabs>
                <w:tab w:val="clear" w:pos="709"/>
              </w:tabs>
              <w:jc w:val="right"/>
              <w:rPr/>
            </w:pPr>
            <w:r>
              <w:rPr>
                <w:rFonts w:ascii="Aptos Narrow" w:hAnsi="Aptos Narrow"/>
                <w:color w:val="000000"/>
                <w:sz w:val="22"/>
              </w:rPr>
              <w:t>16.55</w:t>
            </w:r>
          </w:p>
        </w:tc>
        <w:tc>
          <w:tcPr>
            <w:tcW w:w="1893" w:type="dxa"/>
            <w:tcBorders/>
          </w:tcPr>
          <w:p>
            <w:pPr>
              <w:pStyle w:val="Normal"/>
              <w:widowControl w:val="false"/>
              <w:tabs>
                <w:tab w:val="clear" w:pos="709"/>
              </w:tabs>
              <w:jc w:val="right"/>
              <w:rPr/>
            </w:pPr>
            <w:r>
              <w:rPr>
                <w:rFonts w:ascii="Aptos Narrow" w:hAnsi="Aptos Narrow"/>
                <w:color w:val="000000"/>
                <w:sz w:val="22"/>
              </w:rPr>
              <w:t>15.19279</w:t>
            </w:r>
          </w:p>
        </w:tc>
      </w:tr>
      <w:tr>
        <w:trPr>
          <w:trHeight w:val="305" w:hRule="atLeast"/>
        </w:trPr>
        <w:tc>
          <w:tcPr>
            <w:tcW w:w="2159" w:type="dxa"/>
            <w:tcBorders/>
          </w:tcPr>
          <w:p>
            <w:pPr>
              <w:pStyle w:val="TextBody"/>
              <w:widowControl w:val="false"/>
              <w:tabs>
                <w:tab w:val="clear" w:pos="709"/>
              </w:tabs>
              <w:bidi w:val="0"/>
              <w:spacing w:before="0" w:after="0"/>
              <w:jc w:val="left"/>
              <w:rPr>
                <w:b w:val="false"/>
                <w:b w:val="false"/>
                <w:bCs w:val="false"/>
              </w:rPr>
            </w:pPr>
            <w:r>
              <w:rPr>
                <w:rFonts w:ascii="Aptos Narrow" w:hAnsi="Aptos Narrow"/>
                <w:b w:val="false"/>
                <w:bCs w:val="false"/>
                <w:color w:val="000000"/>
                <w:sz w:val="22"/>
              </w:rPr>
              <w:t>surr_area_his_pop</w:t>
            </w:r>
          </w:p>
        </w:tc>
        <w:tc>
          <w:tcPr>
            <w:tcW w:w="1350" w:type="dxa"/>
            <w:tcBorders/>
          </w:tcPr>
          <w:p>
            <w:pPr>
              <w:pStyle w:val="Normal"/>
              <w:widowControl w:val="false"/>
              <w:tabs>
                <w:tab w:val="clear" w:pos="709"/>
              </w:tabs>
              <w:jc w:val="right"/>
              <w:rPr/>
            </w:pPr>
            <w:r>
              <w:rPr>
                <w:rFonts w:ascii="Aptos Narrow" w:hAnsi="Aptos Narrow"/>
                <w:color w:val="000000"/>
                <w:sz w:val="22"/>
              </w:rPr>
              <w:t>15.58183</w:t>
            </w:r>
          </w:p>
        </w:tc>
        <w:tc>
          <w:tcPr>
            <w:tcW w:w="1801" w:type="dxa"/>
            <w:tcBorders/>
          </w:tcPr>
          <w:p>
            <w:pPr>
              <w:pStyle w:val="Normal"/>
              <w:widowControl w:val="false"/>
              <w:tabs>
                <w:tab w:val="clear" w:pos="709"/>
              </w:tabs>
              <w:jc w:val="right"/>
              <w:rPr/>
            </w:pPr>
            <w:r>
              <w:rPr>
                <w:rFonts w:ascii="Aptos Narrow" w:hAnsi="Aptos Narrow"/>
                <w:color w:val="000000"/>
                <w:sz w:val="22"/>
              </w:rPr>
              <w:t>9.57</w:t>
            </w:r>
          </w:p>
        </w:tc>
        <w:tc>
          <w:tcPr>
            <w:tcW w:w="1893" w:type="dxa"/>
            <w:tcBorders/>
          </w:tcPr>
          <w:p>
            <w:pPr>
              <w:pStyle w:val="Normal"/>
              <w:widowControl w:val="false"/>
              <w:tabs>
                <w:tab w:val="clear" w:pos="709"/>
              </w:tabs>
              <w:jc w:val="right"/>
              <w:rPr/>
            </w:pPr>
            <w:r>
              <w:rPr>
                <w:rFonts w:ascii="Aptos Narrow" w:hAnsi="Aptos Narrow"/>
                <w:color w:val="000000"/>
                <w:sz w:val="22"/>
              </w:rPr>
              <w:t>15.18811</w:t>
            </w:r>
          </w:p>
        </w:tc>
      </w:tr>
      <w:tr>
        <w:trPr>
          <w:trHeight w:val="305" w:hRule="atLeast"/>
        </w:trPr>
        <w:tc>
          <w:tcPr>
            <w:tcW w:w="2159" w:type="dxa"/>
            <w:tcBorders/>
          </w:tcPr>
          <w:p>
            <w:pPr>
              <w:pStyle w:val="TextBody"/>
              <w:widowControl w:val="false"/>
              <w:tabs>
                <w:tab w:val="clear" w:pos="709"/>
              </w:tabs>
              <w:bidi w:val="0"/>
              <w:spacing w:before="0" w:after="0"/>
              <w:jc w:val="left"/>
              <w:rPr>
                <w:b w:val="false"/>
                <w:b w:val="false"/>
                <w:bCs w:val="false"/>
              </w:rPr>
            </w:pPr>
            <w:r>
              <w:rPr>
                <w:rFonts w:ascii="Aptos Narrow" w:hAnsi="Aptos Narrow"/>
                <w:b w:val="false"/>
                <w:bCs w:val="false"/>
                <w:color w:val="000000"/>
                <w:sz w:val="22"/>
              </w:rPr>
              <w:t>surr_area_asian_pop</w:t>
            </w:r>
          </w:p>
        </w:tc>
        <w:tc>
          <w:tcPr>
            <w:tcW w:w="1350" w:type="dxa"/>
            <w:tcBorders/>
          </w:tcPr>
          <w:p>
            <w:pPr>
              <w:pStyle w:val="Normal"/>
              <w:widowControl w:val="false"/>
              <w:tabs>
                <w:tab w:val="clear" w:pos="709"/>
              </w:tabs>
              <w:jc w:val="right"/>
              <w:rPr/>
            </w:pPr>
            <w:r>
              <w:rPr>
                <w:rFonts w:ascii="Aptos Narrow" w:hAnsi="Aptos Narrow"/>
                <w:color w:val="000000"/>
                <w:sz w:val="22"/>
              </w:rPr>
              <w:t>4.080708</w:t>
            </w:r>
          </w:p>
        </w:tc>
        <w:tc>
          <w:tcPr>
            <w:tcW w:w="1801" w:type="dxa"/>
            <w:tcBorders/>
          </w:tcPr>
          <w:p>
            <w:pPr>
              <w:pStyle w:val="Normal"/>
              <w:widowControl w:val="false"/>
              <w:tabs>
                <w:tab w:val="clear" w:pos="709"/>
              </w:tabs>
              <w:jc w:val="right"/>
              <w:rPr/>
            </w:pPr>
            <w:r>
              <w:rPr>
                <w:rFonts w:ascii="Aptos Narrow" w:hAnsi="Aptos Narrow"/>
                <w:color w:val="000000"/>
                <w:sz w:val="22"/>
              </w:rPr>
              <w:t>3.1</w:t>
            </w:r>
          </w:p>
        </w:tc>
        <w:tc>
          <w:tcPr>
            <w:tcW w:w="1893" w:type="dxa"/>
            <w:tcBorders/>
          </w:tcPr>
          <w:p>
            <w:pPr>
              <w:pStyle w:val="Normal"/>
              <w:widowControl w:val="false"/>
              <w:tabs>
                <w:tab w:val="clear" w:pos="709"/>
              </w:tabs>
              <w:jc w:val="right"/>
              <w:rPr/>
            </w:pPr>
            <w:r>
              <w:rPr>
                <w:rFonts w:ascii="Aptos Narrow" w:hAnsi="Aptos Narrow"/>
                <w:color w:val="000000"/>
                <w:sz w:val="22"/>
              </w:rPr>
              <w:t>4.227148</w:t>
            </w:r>
          </w:p>
        </w:tc>
      </w:tr>
      <w:tr>
        <w:trPr>
          <w:trHeight w:val="305" w:hRule="atLeast"/>
        </w:trPr>
        <w:tc>
          <w:tcPr>
            <w:tcW w:w="2159" w:type="dxa"/>
            <w:tcBorders/>
          </w:tcPr>
          <w:p>
            <w:pPr>
              <w:pStyle w:val="TextBody"/>
              <w:widowControl w:val="false"/>
              <w:tabs>
                <w:tab w:val="clear" w:pos="709"/>
              </w:tabs>
              <w:bidi w:val="0"/>
              <w:spacing w:before="0" w:after="0"/>
              <w:jc w:val="left"/>
              <w:rPr>
                <w:b w:val="false"/>
                <w:b w:val="false"/>
                <w:bCs w:val="false"/>
              </w:rPr>
            </w:pPr>
            <w:r>
              <w:rPr>
                <w:rFonts w:ascii="Aptos Narrow" w:hAnsi="Aptos Narrow"/>
                <w:b w:val="false"/>
                <w:bCs w:val="false"/>
                <w:color w:val="000000"/>
                <w:sz w:val="22"/>
              </w:rPr>
              <w:t>surr_area_other_pop</w:t>
            </w:r>
          </w:p>
        </w:tc>
        <w:tc>
          <w:tcPr>
            <w:tcW w:w="1350" w:type="dxa"/>
            <w:tcBorders/>
          </w:tcPr>
          <w:p>
            <w:pPr>
              <w:pStyle w:val="Normal"/>
              <w:widowControl w:val="false"/>
              <w:tabs>
                <w:tab w:val="clear" w:pos="709"/>
              </w:tabs>
              <w:jc w:val="right"/>
              <w:rPr/>
            </w:pPr>
            <w:r>
              <w:rPr>
                <w:rFonts w:ascii="Aptos Narrow" w:hAnsi="Aptos Narrow"/>
                <w:color w:val="000000"/>
                <w:sz w:val="22"/>
              </w:rPr>
              <w:t>5.51323</w:t>
            </w:r>
          </w:p>
        </w:tc>
        <w:tc>
          <w:tcPr>
            <w:tcW w:w="1801" w:type="dxa"/>
            <w:tcBorders/>
          </w:tcPr>
          <w:p>
            <w:pPr>
              <w:pStyle w:val="Normal"/>
              <w:widowControl w:val="false"/>
              <w:tabs>
                <w:tab w:val="clear" w:pos="709"/>
              </w:tabs>
              <w:jc w:val="right"/>
              <w:rPr/>
            </w:pPr>
            <w:r>
              <w:rPr>
                <w:rFonts w:ascii="Aptos Narrow" w:hAnsi="Aptos Narrow"/>
                <w:color w:val="000000"/>
                <w:sz w:val="22"/>
              </w:rPr>
              <w:t>5.31</w:t>
            </w:r>
          </w:p>
        </w:tc>
        <w:tc>
          <w:tcPr>
            <w:tcW w:w="1893" w:type="dxa"/>
            <w:tcBorders/>
          </w:tcPr>
          <w:p>
            <w:pPr>
              <w:pStyle w:val="Normal"/>
              <w:widowControl w:val="false"/>
              <w:tabs>
                <w:tab w:val="clear" w:pos="709"/>
              </w:tabs>
              <w:jc w:val="right"/>
              <w:rPr/>
            </w:pPr>
            <w:r>
              <w:rPr>
                <w:rFonts w:ascii="Aptos Narrow" w:hAnsi="Aptos Narrow"/>
                <w:color w:val="000000"/>
                <w:sz w:val="22"/>
              </w:rPr>
              <w:t>1.773156</w:t>
            </w:r>
          </w:p>
        </w:tc>
      </w:tr>
    </w:tbl>
    <w:p>
      <w:pPr>
        <w:pStyle w:val="TextBody"/>
        <w:bidi w:val="0"/>
        <w:spacing w:before="0" w:after="0"/>
        <w:rPr>
          <w:rFonts w:ascii="Liberation Serif" w:hAnsi="Liberation Serif"/>
          <w:b w:val="false"/>
          <w:b w:val="false"/>
          <w:bCs w:val="false"/>
          <w:color w:val="000000"/>
          <w:sz w:val="24"/>
          <w:szCs w:val="24"/>
        </w:rPr>
      </w:pPr>
      <w:r>
        <w:rPr>
          <w:b w:val="false"/>
          <w:bCs w:val="false"/>
          <w:color w:val="000000"/>
          <w:sz w:val="24"/>
          <w:szCs w:val="24"/>
        </w:rPr>
      </w:r>
    </w:p>
    <w:p>
      <w:pPr>
        <w:pStyle w:val="TextBody"/>
        <w:bidi w:val="0"/>
        <w:spacing w:before="0" w:after="0"/>
        <w:rPr/>
      </w:pPr>
      <w:r>
        <w:rPr/>
        <w:t>The distributions for each of the variables measured are as follows:</w:t>
      </w:r>
    </w:p>
    <w:p>
      <w:pPr>
        <w:pStyle w:val="TextBody"/>
        <w:bidi w:val="0"/>
        <w:spacing w:before="0" w:after="0"/>
        <w:rPr/>
      </w:pPr>
      <w:r>
        <w:rPr/>
        <w:drawing>
          <wp:anchor behindDoc="0" distT="0" distB="0" distL="0" distR="0" simplePos="0" locked="0" layoutInCell="0" allowOverlap="1" relativeHeight="3">
            <wp:simplePos x="0" y="0"/>
            <wp:positionH relativeFrom="column">
              <wp:posOffset>11430</wp:posOffset>
            </wp:positionH>
            <wp:positionV relativeFrom="paragraph">
              <wp:posOffset>635</wp:posOffset>
            </wp:positionV>
            <wp:extent cx="3274060" cy="1970405"/>
            <wp:effectExtent l="0" t="0" r="0" b="0"/>
            <wp:wrapSquare wrapText="largest"/>
            <wp:docPr id="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pic:cNvPicPr>
                      <a:picLocks noChangeAspect="1" noChangeArrowheads="1"/>
                    </pic:cNvPicPr>
                  </pic:nvPicPr>
                  <pic:blipFill>
                    <a:blip r:embed="rId4"/>
                    <a:stretch>
                      <a:fillRect/>
                    </a:stretch>
                  </pic:blipFill>
                  <pic:spPr bwMode="auto">
                    <a:xfrm>
                      <a:off x="0" y="0"/>
                      <a:ext cx="3274060" cy="1970405"/>
                    </a:xfrm>
                    <a:prstGeom prst="rect">
                      <a:avLst/>
                    </a:prstGeom>
                  </pic:spPr>
                </pic:pic>
              </a:graphicData>
            </a:graphic>
          </wp:anchor>
        </w:drawing>
        <w:drawing>
          <wp:anchor behindDoc="0" distT="0" distB="0" distL="0" distR="0" simplePos="0" locked="0" layoutInCell="0" allowOverlap="1" relativeHeight="4">
            <wp:simplePos x="0" y="0"/>
            <wp:positionH relativeFrom="column">
              <wp:posOffset>3284855</wp:posOffset>
            </wp:positionH>
            <wp:positionV relativeFrom="paragraph">
              <wp:posOffset>635</wp:posOffset>
            </wp:positionV>
            <wp:extent cx="3257550" cy="196088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5"/>
                    <a:stretch>
                      <a:fillRect/>
                    </a:stretch>
                  </pic:blipFill>
                  <pic:spPr bwMode="auto">
                    <a:xfrm>
                      <a:off x="0" y="0"/>
                      <a:ext cx="3257550" cy="1960880"/>
                    </a:xfrm>
                    <a:prstGeom prst="rect">
                      <a:avLst/>
                    </a:prstGeom>
                  </pic:spPr>
                </pic:pic>
              </a:graphicData>
            </a:graphic>
          </wp:anchor>
        </w:drawing>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drawing>
          <wp:anchor behindDoc="0" distT="0" distB="0" distL="0" distR="0" simplePos="0" locked="0" layoutInCell="0" allowOverlap="1" relativeHeight="5">
            <wp:simplePos x="0" y="0"/>
            <wp:positionH relativeFrom="column">
              <wp:posOffset>3223895</wp:posOffset>
            </wp:positionH>
            <wp:positionV relativeFrom="paragraph">
              <wp:posOffset>-131445</wp:posOffset>
            </wp:positionV>
            <wp:extent cx="3050540" cy="183578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6"/>
                    <a:stretch>
                      <a:fillRect/>
                    </a:stretch>
                  </pic:blipFill>
                  <pic:spPr bwMode="auto">
                    <a:xfrm>
                      <a:off x="0" y="0"/>
                      <a:ext cx="3050540" cy="1835785"/>
                    </a:xfrm>
                    <a:prstGeom prst="rect">
                      <a:avLst/>
                    </a:prstGeom>
                  </pic:spPr>
                </pic:pic>
              </a:graphicData>
            </a:graphic>
          </wp:anchor>
        </w:drawing>
        <w:drawing>
          <wp:anchor behindDoc="0" distT="0" distB="0" distL="0" distR="0" simplePos="0" locked="0" layoutInCell="0" allowOverlap="1" relativeHeight="6">
            <wp:simplePos x="0" y="0"/>
            <wp:positionH relativeFrom="column">
              <wp:posOffset>-53340</wp:posOffset>
            </wp:positionH>
            <wp:positionV relativeFrom="paragraph">
              <wp:posOffset>-125095</wp:posOffset>
            </wp:positionV>
            <wp:extent cx="3020695" cy="1891665"/>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7"/>
                    <a:stretch>
                      <a:fillRect/>
                    </a:stretch>
                  </pic:blipFill>
                  <pic:spPr bwMode="auto">
                    <a:xfrm>
                      <a:off x="0" y="0"/>
                      <a:ext cx="3020695" cy="1891665"/>
                    </a:xfrm>
                    <a:prstGeom prst="rect">
                      <a:avLst/>
                    </a:prstGeom>
                  </pic:spPr>
                </pic:pic>
              </a:graphicData>
            </a:graphic>
          </wp:anchor>
        </w:drawing>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drawing>
          <wp:anchor behindDoc="0" distT="0" distB="0" distL="0" distR="0" simplePos="0" locked="0" layoutInCell="0" allowOverlap="1" relativeHeight="7">
            <wp:simplePos x="0" y="0"/>
            <wp:positionH relativeFrom="column">
              <wp:posOffset>-53975</wp:posOffset>
            </wp:positionH>
            <wp:positionV relativeFrom="paragraph">
              <wp:posOffset>55245</wp:posOffset>
            </wp:positionV>
            <wp:extent cx="3034665" cy="193103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8"/>
                    <a:stretch>
                      <a:fillRect/>
                    </a:stretch>
                  </pic:blipFill>
                  <pic:spPr bwMode="auto">
                    <a:xfrm>
                      <a:off x="0" y="0"/>
                      <a:ext cx="3034665" cy="1931035"/>
                    </a:xfrm>
                    <a:prstGeom prst="rect">
                      <a:avLst/>
                    </a:prstGeom>
                  </pic:spPr>
                </pic:pic>
              </a:graphicData>
            </a:graphic>
          </wp:anchor>
        </w:drawing>
        <w:drawing>
          <wp:anchor behindDoc="0" distT="0" distB="0" distL="0" distR="0" simplePos="0" locked="0" layoutInCell="0" allowOverlap="1" relativeHeight="8">
            <wp:simplePos x="0" y="0"/>
            <wp:positionH relativeFrom="column">
              <wp:posOffset>3201670</wp:posOffset>
            </wp:positionH>
            <wp:positionV relativeFrom="paragraph">
              <wp:posOffset>31115</wp:posOffset>
            </wp:positionV>
            <wp:extent cx="3291205" cy="1927860"/>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9"/>
                    <a:stretch>
                      <a:fillRect/>
                    </a:stretch>
                  </pic:blipFill>
                  <pic:spPr bwMode="auto">
                    <a:xfrm>
                      <a:off x="0" y="0"/>
                      <a:ext cx="3291205" cy="1927860"/>
                    </a:xfrm>
                    <a:prstGeom prst="rect">
                      <a:avLst/>
                    </a:prstGeom>
                  </pic:spPr>
                </pic:pic>
              </a:graphicData>
            </a:graphic>
          </wp:anchor>
        </w:drawing>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drawing>
          <wp:anchor behindDoc="0" distT="0" distB="0" distL="0" distR="0" simplePos="0" locked="0" layoutInCell="0" allowOverlap="1" relativeHeight="9">
            <wp:simplePos x="0" y="0"/>
            <wp:positionH relativeFrom="column">
              <wp:posOffset>-46355</wp:posOffset>
            </wp:positionH>
            <wp:positionV relativeFrom="paragraph">
              <wp:posOffset>106045</wp:posOffset>
            </wp:positionV>
            <wp:extent cx="3034030" cy="1795780"/>
            <wp:effectExtent l="0" t="0" r="0" b="0"/>
            <wp:wrapSquare wrapText="largest"/>
            <wp:docPr id="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descr=""/>
                    <pic:cNvPicPr>
                      <a:picLocks noChangeAspect="1" noChangeArrowheads="1"/>
                    </pic:cNvPicPr>
                  </pic:nvPicPr>
                  <pic:blipFill>
                    <a:blip r:embed="rId10"/>
                    <a:stretch>
                      <a:fillRect/>
                    </a:stretch>
                  </pic:blipFill>
                  <pic:spPr bwMode="auto">
                    <a:xfrm>
                      <a:off x="0" y="0"/>
                      <a:ext cx="3034030" cy="1795780"/>
                    </a:xfrm>
                    <a:prstGeom prst="rect">
                      <a:avLst/>
                    </a:prstGeom>
                  </pic:spPr>
                </pic:pic>
              </a:graphicData>
            </a:graphic>
          </wp:anchor>
        </w:drawing>
        <w:drawing>
          <wp:anchor behindDoc="0" distT="0" distB="0" distL="0" distR="0" simplePos="0" locked="0" layoutInCell="0" allowOverlap="1" relativeHeight="10">
            <wp:simplePos x="0" y="0"/>
            <wp:positionH relativeFrom="column">
              <wp:posOffset>3195320</wp:posOffset>
            </wp:positionH>
            <wp:positionV relativeFrom="paragraph">
              <wp:posOffset>6985</wp:posOffset>
            </wp:positionV>
            <wp:extent cx="3526155" cy="1998980"/>
            <wp:effectExtent l="0" t="0" r="0" b="0"/>
            <wp:wrapSquare wrapText="largest"/>
            <wp:docPr id="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descr=""/>
                    <pic:cNvPicPr>
                      <a:picLocks noChangeAspect="1" noChangeArrowheads="1"/>
                    </pic:cNvPicPr>
                  </pic:nvPicPr>
                  <pic:blipFill>
                    <a:blip r:embed="rId11"/>
                    <a:stretch>
                      <a:fillRect/>
                    </a:stretch>
                  </pic:blipFill>
                  <pic:spPr bwMode="auto">
                    <a:xfrm>
                      <a:off x="0" y="0"/>
                      <a:ext cx="3526155" cy="1998980"/>
                    </a:xfrm>
                    <a:prstGeom prst="rect">
                      <a:avLst/>
                    </a:prstGeom>
                  </pic:spPr>
                </pic:pic>
              </a:graphicData>
            </a:graphic>
          </wp:anchor>
        </w:drawing>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drawing>
          <wp:anchor behindDoc="0" distT="0" distB="0" distL="0" distR="0" simplePos="0" locked="0" layoutInCell="0" allowOverlap="1" relativeHeight="11">
            <wp:simplePos x="0" y="0"/>
            <wp:positionH relativeFrom="column">
              <wp:posOffset>-52705</wp:posOffset>
            </wp:positionH>
            <wp:positionV relativeFrom="paragraph">
              <wp:posOffset>62230</wp:posOffset>
            </wp:positionV>
            <wp:extent cx="3098165" cy="1804035"/>
            <wp:effectExtent l="0" t="0" r="0" b="0"/>
            <wp:wrapSquare wrapText="largest"/>
            <wp:docPr id="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descr=""/>
                    <pic:cNvPicPr>
                      <a:picLocks noChangeAspect="1" noChangeArrowheads="1"/>
                    </pic:cNvPicPr>
                  </pic:nvPicPr>
                  <pic:blipFill>
                    <a:blip r:embed="rId12"/>
                    <a:stretch>
                      <a:fillRect/>
                    </a:stretch>
                  </pic:blipFill>
                  <pic:spPr bwMode="auto">
                    <a:xfrm>
                      <a:off x="0" y="0"/>
                      <a:ext cx="3098165" cy="1804035"/>
                    </a:xfrm>
                    <a:prstGeom prst="rect">
                      <a:avLst/>
                    </a:prstGeom>
                  </pic:spPr>
                </pic:pic>
              </a:graphicData>
            </a:graphic>
          </wp:anchor>
        </w:drawing>
        <w:drawing>
          <wp:anchor behindDoc="0" distT="0" distB="0" distL="0" distR="0" simplePos="0" locked="0" layoutInCell="0" allowOverlap="1" relativeHeight="12">
            <wp:simplePos x="0" y="0"/>
            <wp:positionH relativeFrom="column">
              <wp:posOffset>3255010</wp:posOffset>
            </wp:positionH>
            <wp:positionV relativeFrom="paragraph">
              <wp:posOffset>119380</wp:posOffset>
            </wp:positionV>
            <wp:extent cx="3408680" cy="1710055"/>
            <wp:effectExtent l="0" t="0" r="0" b="0"/>
            <wp:wrapSquare wrapText="largest"/>
            <wp:docPr id="1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 descr=""/>
                    <pic:cNvPicPr>
                      <a:picLocks noChangeAspect="1" noChangeArrowheads="1"/>
                    </pic:cNvPicPr>
                  </pic:nvPicPr>
                  <pic:blipFill>
                    <a:blip r:embed="rId13"/>
                    <a:stretch>
                      <a:fillRect/>
                    </a:stretch>
                  </pic:blipFill>
                  <pic:spPr bwMode="auto">
                    <a:xfrm>
                      <a:off x="0" y="0"/>
                      <a:ext cx="3408680" cy="1710055"/>
                    </a:xfrm>
                    <a:prstGeom prst="rect">
                      <a:avLst/>
                    </a:prstGeom>
                  </pic:spPr>
                </pic:pic>
              </a:graphicData>
            </a:graphic>
          </wp:anchor>
        </w:drawing>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drawing>
          <wp:anchor behindDoc="0" distT="0" distB="0" distL="0" distR="0" simplePos="0" locked="0" layoutInCell="0" allowOverlap="1" relativeHeight="13">
            <wp:simplePos x="0" y="0"/>
            <wp:positionH relativeFrom="column">
              <wp:posOffset>-74930</wp:posOffset>
            </wp:positionH>
            <wp:positionV relativeFrom="paragraph">
              <wp:posOffset>-514350</wp:posOffset>
            </wp:positionV>
            <wp:extent cx="3248025" cy="1842770"/>
            <wp:effectExtent l="0" t="0" r="0" b="0"/>
            <wp:wrapSquare wrapText="largest"/>
            <wp:docPr id="1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2" descr=""/>
                    <pic:cNvPicPr>
                      <a:picLocks noChangeAspect="1" noChangeArrowheads="1"/>
                    </pic:cNvPicPr>
                  </pic:nvPicPr>
                  <pic:blipFill>
                    <a:blip r:embed="rId14"/>
                    <a:stretch>
                      <a:fillRect/>
                    </a:stretch>
                  </pic:blipFill>
                  <pic:spPr bwMode="auto">
                    <a:xfrm>
                      <a:off x="0" y="0"/>
                      <a:ext cx="3248025" cy="1842770"/>
                    </a:xfrm>
                    <a:prstGeom prst="rect">
                      <a:avLst/>
                    </a:prstGeom>
                  </pic:spPr>
                </pic:pic>
              </a:graphicData>
            </a:graphic>
          </wp:anchor>
        </w:drawing>
        <w:drawing>
          <wp:anchor behindDoc="0" distT="0" distB="0" distL="0" distR="0" simplePos="0" locked="0" layoutInCell="0" allowOverlap="1" relativeHeight="14">
            <wp:simplePos x="0" y="0"/>
            <wp:positionH relativeFrom="column">
              <wp:posOffset>3229610</wp:posOffset>
            </wp:positionH>
            <wp:positionV relativeFrom="paragraph">
              <wp:posOffset>-526415</wp:posOffset>
            </wp:positionV>
            <wp:extent cx="3549015" cy="1851025"/>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5"/>
                    <a:stretch>
                      <a:fillRect/>
                    </a:stretch>
                  </pic:blipFill>
                  <pic:spPr bwMode="auto">
                    <a:xfrm>
                      <a:off x="0" y="0"/>
                      <a:ext cx="3549015" cy="1851025"/>
                    </a:xfrm>
                    <a:prstGeom prst="rect">
                      <a:avLst/>
                    </a:prstGeom>
                  </pic:spPr>
                </pic:pic>
              </a:graphicData>
            </a:graphic>
          </wp:anchor>
        </w:drawing>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drawing>
          <wp:anchor behindDoc="0" distT="0" distB="0" distL="0" distR="0" simplePos="0" locked="0" layoutInCell="0" allowOverlap="1" relativeHeight="15">
            <wp:simplePos x="0" y="0"/>
            <wp:positionH relativeFrom="column">
              <wp:posOffset>-44450</wp:posOffset>
            </wp:positionH>
            <wp:positionV relativeFrom="paragraph">
              <wp:posOffset>138430</wp:posOffset>
            </wp:positionV>
            <wp:extent cx="3242310" cy="1927860"/>
            <wp:effectExtent l="0" t="0" r="0" b="0"/>
            <wp:wrapSquare wrapText="largest"/>
            <wp:docPr id="1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4" descr=""/>
                    <pic:cNvPicPr>
                      <a:picLocks noChangeAspect="1" noChangeArrowheads="1"/>
                    </pic:cNvPicPr>
                  </pic:nvPicPr>
                  <pic:blipFill>
                    <a:blip r:embed="rId16"/>
                    <a:stretch>
                      <a:fillRect/>
                    </a:stretch>
                  </pic:blipFill>
                  <pic:spPr bwMode="auto">
                    <a:xfrm>
                      <a:off x="0" y="0"/>
                      <a:ext cx="3242310" cy="1927860"/>
                    </a:xfrm>
                    <a:prstGeom prst="rect">
                      <a:avLst/>
                    </a:prstGeom>
                  </pic:spPr>
                </pic:pic>
              </a:graphicData>
            </a:graphic>
          </wp:anchor>
        </w:drawing>
        <w:drawing>
          <wp:anchor behindDoc="0" distT="0" distB="0" distL="0" distR="0" simplePos="0" locked="0" layoutInCell="0" allowOverlap="1" relativeHeight="16">
            <wp:simplePos x="0" y="0"/>
            <wp:positionH relativeFrom="column">
              <wp:posOffset>3295650</wp:posOffset>
            </wp:positionH>
            <wp:positionV relativeFrom="paragraph">
              <wp:posOffset>102235</wp:posOffset>
            </wp:positionV>
            <wp:extent cx="3580765" cy="2038985"/>
            <wp:effectExtent l="0" t="0" r="0" b="0"/>
            <wp:wrapSquare wrapText="largest"/>
            <wp:docPr id="1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5" descr=""/>
                    <pic:cNvPicPr>
                      <a:picLocks noChangeAspect="1" noChangeArrowheads="1"/>
                    </pic:cNvPicPr>
                  </pic:nvPicPr>
                  <pic:blipFill>
                    <a:blip r:embed="rId17"/>
                    <a:stretch>
                      <a:fillRect/>
                    </a:stretch>
                  </pic:blipFill>
                  <pic:spPr bwMode="auto">
                    <a:xfrm>
                      <a:off x="0" y="0"/>
                      <a:ext cx="3580765" cy="2038985"/>
                    </a:xfrm>
                    <a:prstGeom prst="rect">
                      <a:avLst/>
                    </a:prstGeom>
                  </pic:spPr>
                </pic:pic>
              </a:graphicData>
            </a:graphic>
          </wp:anchor>
        </w:drawing>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drawing>
          <wp:anchor behindDoc="0" distT="0" distB="0" distL="0" distR="0" simplePos="0" locked="0" layoutInCell="0" allowOverlap="1" relativeHeight="17">
            <wp:simplePos x="0" y="0"/>
            <wp:positionH relativeFrom="column">
              <wp:posOffset>996315</wp:posOffset>
            </wp:positionH>
            <wp:positionV relativeFrom="paragraph">
              <wp:posOffset>137160</wp:posOffset>
            </wp:positionV>
            <wp:extent cx="4492625" cy="2438400"/>
            <wp:effectExtent l="0" t="0" r="0" b="0"/>
            <wp:wrapSquare wrapText="largest"/>
            <wp:docPr id="1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
                    <pic:cNvPicPr>
                      <a:picLocks noChangeAspect="1" noChangeArrowheads="1"/>
                    </pic:cNvPicPr>
                  </pic:nvPicPr>
                  <pic:blipFill>
                    <a:blip r:embed="rId18"/>
                    <a:stretch>
                      <a:fillRect/>
                    </a:stretch>
                  </pic:blipFill>
                  <pic:spPr bwMode="auto">
                    <a:xfrm>
                      <a:off x="0" y="0"/>
                      <a:ext cx="4492625" cy="2438400"/>
                    </a:xfrm>
                    <a:prstGeom prst="rect">
                      <a:avLst/>
                    </a:prstGeom>
                  </pic:spPr>
                </pic:pic>
              </a:graphicData>
            </a:graphic>
          </wp:anchor>
        </w:drawing>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r>
    </w:p>
    <w:p>
      <w:pPr>
        <w:pStyle w:val="TextBody"/>
        <w:bidi w:val="0"/>
        <w:spacing w:before="0" w:after="0"/>
        <w:rPr/>
      </w:pPr>
      <w:r>
        <w:rPr/>
        <w:tab/>
        <w:t>As is visible, the white population’s percentage and the white percentage in surrounding areas are much more spread out than other races. With the other percentage frequencies, save for the “Other” category, it can be argued that all other groups are skewed right, likely by virtue of the fact that on a national scale, there are considered minorities. The location quotients are generally normally distributed and on the smaller side of things, although the white location quotient has the strongest mean and the other race location quotient has the smallest range.</w:t>
      </w:r>
    </w:p>
    <w:p>
      <w:pPr>
        <w:pStyle w:val="TextBody"/>
        <w:bidi w:val="0"/>
        <w:spacing w:before="0" w:after="0"/>
        <w:rPr/>
      </w:pPr>
      <w:r>
        <w:rPr/>
      </w:r>
    </w:p>
    <w:p>
      <w:pPr>
        <w:pStyle w:val="TextBody"/>
        <w:bidi w:val="0"/>
        <w:spacing w:before="0" w:after="0"/>
        <w:rPr/>
      </w:pPr>
      <w:r>
        <w:rPr/>
        <w:t>The second dataset where we’re testing the percentage match between the 2020 US Census is as follows:</w:t>
      </w:r>
    </w:p>
    <w:tbl>
      <w:tblPr>
        <w:tblW w:w="5310" w:type="dxa"/>
        <w:jc w:val="left"/>
        <w:tblInd w:w="326" w:type="dxa"/>
        <w:tblLayout w:type="fixed"/>
        <w:tblCellMar>
          <w:top w:w="0" w:type="dxa"/>
          <w:left w:w="30" w:type="dxa"/>
          <w:bottom w:w="0" w:type="dxa"/>
          <w:right w:w="30" w:type="dxa"/>
        </w:tblCellMar>
      </w:tblPr>
      <w:tblGrid>
        <w:gridCol w:w="2160"/>
        <w:gridCol w:w="1348"/>
        <w:gridCol w:w="1802"/>
      </w:tblGrid>
      <w:tr>
        <w:trPr>
          <w:trHeight w:val="305" w:hRule="atLeast"/>
        </w:trPr>
        <w:tc>
          <w:tcPr>
            <w:tcW w:w="2160" w:type="dxa"/>
            <w:tcBorders/>
          </w:tcPr>
          <w:p>
            <w:pPr>
              <w:pStyle w:val="Normal"/>
              <w:widowControl w:val="false"/>
              <w:tabs>
                <w:tab w:val="clear" w:pos="709"/>
              </w:tabs>
              <w:jc w:val="left"/>
              <w:rPr/>
            </w:pPr>
            <w:r>
              <w:rPr>
                <w:rFonts w:ascii="Aptos Narrow" w:hAnsi="Aptos Narrow"/>
                <w:color w:val="000000"/>
                <w:sz w:val="22"/>
              </w:rPr>
              <w:t>Mean</w:t>
            </w:r>
          </w:p>
        </w:tc>
        <w:tc>
          <w:tcPr>
            <w:tcW w:w="1348" w:type="dxa"/>
            <w:tcBorders/>
          </w:tcPr>
          <w:p>
            <w:pPr>
              <w:pStyle w:val="Normal"/>
              <w:widowControl w:val="false"/>
              <w:tabs>
                <w:tab w:val="clear" w:pos="709"/>
              </w:tabs>
              <w:jc w:val="left"/>
              <w:rPr/>
            </w:pPr>
            <w:r>
              <w:rPr>
                <w:rFonts w:ascii="Aptos Narrow" w:hAnsi="Aptos Narrow"/>
                <w:color w:val="000000"/>
                <w:sz w:val="22"/>
              </w:rPr>
              <w:t>Median</w:t>
            </w:r>
          </w:p>
        </w:tc>
        <w:tc>
          <w:tcPr>
            <w:tcW w:w="1802" w:type="dxa"/>
            <w:tcBorders/>
          </w:tcPr>
          <w:p>
            <w:pPr>
              <w:pStyle w:val="Normal"/>
              <w:widowControl w:val="false"/>
              <w:tabs>
                <w:tab w:val="clear" w:pos="709"/>
              </w:tabs>
              <w:jc w:val="left"/>
              <w:rPr/>
            </w:pPr>
            <w:r>
              <w:rPr>
                <w:rFonts w:ascii="Aptos Narrow" w:hAnsi="Aptos Narrow"/>
                <w:color w:val="000000"/>
                <w:sz w:val="22"/>
              </w:rPr>
              <w:t>Std Dev</w:t>
            </w:r>
          </w:p>
        </w:tc>
      </w:tr>
      <w:tr>
        <w:trPr>
          <w:trHeight w:val="305" w:hRule="atLeast"/>
        </w:trPr>
        <w:tc>
          <w:tcPr>
            <w:tcW w:w="2160" w:type="dxa"/>
            <w:tcBorders/>
          </w:tcPr>
          <w:p>
            <w:pPr>
              <w:pStyle w:val="Normal"/>
              <w:widowControl w:val="false"/>
              <w:tabs>
                <w:tab w:val="clear" w:pos="709"/>
              </w:tabs>
              <w:jc w:val="right"/>
              <w:rPr/>
            </w:pPr>
            <w:r>
              <w:rPr>
                <w:rFonts w:ascii="Aptos Narrow" w:hAnsi="Aptos Narrow"/>
                <w:color w:val="000000"/>
                <w:sz w:val="22"/>
              </w:rPr>
              <w:t>0.759316501</w:t>
            </w:r>
          </w:p>
        </w:tc>
        <w:tc>
          <w:tcPr>
            <w:tcW w:w="1348" w:type="dxa"/>
            <w:tcBorders/>
          </w:tcPr>
          <w:p>
            <w:pPr>
              <w:pStyle w:val="Normal"/>
              <w:widowControl w:val="false"/>
              <w:tabs>
                <w:tab w:val="clear" w:pos="709"/>
              </w:tabs>
              <w:jc w:val="right"/>
              <w:rPr/>
            </w:pPr>
            <w:r>
              <w:rPr>
                <w:rFonts w:ascii="Aptos Narrow" w:hAnsi="Aptos Narrow"/>
                <w:color w:val="000000"/>
                <w:sz w:val="22"/>
              </w:rPr>
              <w:t>1</w:t>
            </w:r>
          </w:p>
        </w:tc>
        <w:tc>
          <w:tcPr>
            <w:tcW w:w="1802" w:type="dxa"/>
            <w:tcBorders/>
          </w:tcPr>
          <w:p>
            <w:pPr>
              <w:pStyle w:val="Normal"/>
              <w:widowControl w:val="false"/>
              <w:tabs>
                <w:tab w:val="clear" w:pos="709"/>
              </w:tabs>
              <w:jc w:val="right"/>
              <w:rPr/>
            </w:pPr>
            <w:r>
              <w:rPr>
                <w:rFonts w:ascii="Aptos Narrow" w:hAnsi="Aptos Narrow"/>
                <w:color w:val="000000"/>
                <w:sz w:val="22"/>
              </w:rPr>
              <w:t>0.367086</w:t>
            </w:r>
          </w:p>
        </w:tc>
      </w:tr>
    </w:tbl>
    <w:p>
      <w:pPr>
        <w:pStyle w:val="Normal"/>
        <w:rPr>
          <w:rFonts w:ascii="Aptos Narrow" w:hAnsi="Aptos Narrow"/>
          <w:color w:val="000000"/>
          <w:sz w:val="22"/>
        </w:rPr>
      </w:pPr>
      <w:r>
        <w:rPr>
          <w:rFonts w:ascii="Aptos Narrow" w:hAnsi="Aptos Narrow"/>
          <w:color w:val="000000"/>
          <w:sz w:val="22"/>
        </w:rPr>
      </w:r>
    </w:p>
    <w:p>
      <w:pPr>
        <w:pStyle w:val="Normal"/>
        <w:rPr>
          <w:rFonts w:ascii="Aptos Narrow" w:hAnsi="Aptos Narrow"/>
          <w:color w:val="000000"/>
          <w:sz w:val="22"/>
        </w:rPr>
      </w:pPr>
      <w:r>
        <w:rPr>
          <w:rFonts w:ascii="Aptos Narrow" w:hAnsi="Aptos Narrow"/>
          <w:color w:val="000000"/>
          <w:sz w:val="22"/>
        </w:rPr>
      </w:r>
    </w:p>
    <w:p>
      <w:pPr>
        <w:pStyle w:val="Normal"/>
        <w:bidi w:val="0"/>
        <w:spacing w:before="0" w:after="0"/>
        <w:rPr/>
      </w:pPr>
      <w:r>
        <w:rPr/>
        <w:t>The distribution is as follows:</w:t>
      </w:r>
    </w:p>
    <w:p>
      <w:pPr>
        <w:pStyle w:val="Normal"/>
        <w:bidi w:val="0"/>
        <w:spacing w:before="0" w:after="0"/>
        <w:rPr/>
      </w:pPr>
      <w:r>
        <w:rPr/>
        <w:drawing>
          <wp:anchor behindDoc="0" distT="0" distB="0" distL="0" distR="0" simplePos="0" locked="0" layoutInCell="0" allowOverlap="1" relativeHeight="2">
            <wp:simplePos x="0" y="0"/>
            <wp:positionH relativeFrom="column">
              <wp:posOffset>535305</wp:posOffset>
            </wp:positionH>
            <wp:positionV relativeFrom="paragraph">
              <wp:posOffset>114300</wp:posOffset>
            </wp:positionV>
            <wp:extent cx="4703445" cy="3341370"/>
            <wp:effectExtent l="0" t="0" r="0" b="0"/>
            <wp:wrapSquare wrapText="largest"/>
            <wp:docPr id="1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 descr=""/>
                    <pic:cNvPicPr>
                      <a:picLocks noChangeAspect="1" noChangeArrowheads="1"/>
                    </pic:cNvPicPr>
                  </pic:nvPicPr>
                  <pic:blipFill>
                    <a:blip r:embed="rId19"/>
                    <a:stretch>
                      <a:fillRect/>
                    </a:stretch>
                  </pic:blipFill>
                  <pic:spPr bwMode="auto">
                    <a:xfrm>
                      <a:off x="0" y="0"/>
                      <a:ext cx="4703445" cy="3341370"/>
                    </a:xfrm>
                    <a:prstGeom prst="rect">
                      <a:avLst/>
                    </a:prstGeom>
                  </pic:spPr>
                </pic:pic>
              </a:graphicData>
            </a:graphic>
          </wp:anchor>
        </w:drawing>
      </w:r>
    </w:p>
    <w:p>
      <w:pPr>
        <w:pStyle w:val="Heading2"/>
        <w:numPr>
          <w:ilvl w:val="1"/>
          <w:numId w:val="2"/>
        </w:numPr>
        <w:bidi w:val="0"/>
        <w:jc w:val="left"/>
        <w:rPr/>
      </w:pPr>
      <w:r>
        <w:rPr/>
        <w:t xml:space="preserve"> </w:t>
      </w:r>
    </w:p>
    <w:p>
      <w:pPr>
        <w:pStyle w:val="Heading2"/>
        <w:numPr>
          <w:ilvl w:val="1"/>
          <w:numId w:val="2"/>
        </w:numPr>
        <w:bidi w:val="0"/>
        <w:jc w:val="left"/>
        <w:rPr/>
      </w:pPr>
      <w:r>
        <w:rPr/>
      </w:r>
    </w:p>
    <w:p>
      <w:pPr>
        <w:pStyle w:val="Heading2"/>
        <w:numPr>
          <w:ilvl w:val="1"/>
          <w:numId w:val="2"/>
        </w:numPr>
        <w:bidi w:val="0"/>
        <w:jc w:val="left"/>
        <w:rPr/>
      </w:pPr>
      <w:r>
        <w:rPr/>
      </w:r>
    </w:p>
    <w:p>
      <w:pPr>
        <w:pStyle w:val="Heading2"/>
        <w:numPr>
          <w:ilvl w:val="1"/>
          <w:numId w:val="2"/>
        </w:numPr>
        <w:bidi w:val="0"/>
        <w:jc w:val="left"/>
        <w:rPr/>
      </w:pPr>
      <w:r>
        <w:rPr/>
      </w:r>
    </w:p>
    <w:p>
      <w:pPr>
        <w:pStyle w:val="Heading2"/>
        <w:numPr>
          <w:ilvl w:val="1"/>
          <w:numId w:val="2"/>
        </w:numPr>
        <w:bidi w:val="0"/>
        <w:jc w:val="left"/>
        <w:rPr/>
      </w:pPr>
      <w:r>
        <w:rPr/>
      </w:r>
    </w:p>
    <w:p>
      <w:pPr>
        <w:pStyle w:val="Heading2"/>
        <w:numPr>
          <w:ilvl w:val="1"/>
          <w:numId w:val="2"/>
        </w:numPr>
        <w:bidi w:val="0"/>
        <w:jc w:val="left"/>
        <w:rPr/>
      </w:pPr>
      <w:r>
        <w:rPr/>
      </w:r>
    </w:p>
    <w:p>
      <w:pPr>
        <w:pStyle w:val="Heading2"/>
        <w:numPr>
          <w:ilvl w:val="1"/>
          <w:numId w:val="2"/>
        </w:numPr>
        <w:bidi w:val="0"/>
        <w:jc w:val="left"/>
        <w:rPr/>
      </w:pPr>
      <w:r>
        <w:rPr/>
      </w:r>
    </w:p>
    <w:p>
      <w:pPr>
        <w:pStyle w:val="Heading2"/>
        <w:numPr>
          <w:ilvl w:val="1"/>
          <w:numId w:val="2"/>
        </w:numPr>
        <w:bidi w:val="0"/>
        <w:jc w:val="left"/>
        <w:rPr/>
      </w:pPr>
      <w:r>
        <w:rPr/>
      </w:r>
    </w:p>
    <w:p>
      <w:pPr>
        <w:pStyle w:val="Heading2"/>
        <w:numPr>
          <w:ilvl w:val="1"/>
          <w:numId w:val="2"/>
        </w:numPr>
        <w:bidi w:val="0"/>
        <w:jc w:val="left"/>
        <w:rPr/>
      </w:pPr>
      <w:r>
        <w:rPr/>
        <w:t xml:space="preserve"> </w:t>
      </w:r>
    </w:p>
    <w:p>
      <w:pPr>
        <w:pStyle w:val="TextBody"/>
        <w:bidi w:val="0"/>
        <w:jc w:val="left"/>
        <w:rPr/>
      </w:pPr>
      <w:r>
        <w:rPr/>
        <w:tab/>
        <w:t>The distribution can be described as incredibly skewed-left, as a majority of the data points show that the block area show a 1-to-1 similarity between the area’s 2020 racial composition and the area’s racial composition during the peak of the HOLC. This would explain the</w:t>
      </w:r>
      <w:r>
        <w:rPr>
          <w:rFonts w:ascii="Aptos Narrow" w:hAnsi="Aptos Narrow"/>
          <w:color w:val="000000"/>
          <w:sz w:val="22"/>
        </w:rPr>
        <w:t xml:space="preserve"> significant difference between the mean and the median shown in the previous table.</w:t>
      </w:r>
    </w:p>
    <w:p>
      <w:pPr>
        <w:pStyle w:val="Heading2"/>
        <w:numPr>
          <w:ilvl w:val="1"/>
          <w:numId w:val="2"/>
        </w:numPr>
        <w:bidi w:val="0"/>
        <w:jc w:val="left"/>
        <w:rPr/>
      </w:pPr>
      <w:r>
        <w:rPr/>
        <w:t xml:space="preserve">Data Cleaning and Manipulation: </w:t>
      </w:r>
    </w:p>
    <w:p>
      <w:pPr>
        <w:pStyle w:val="TextBody"/>
        <w:bidi w:val="0"/>
        <w:spacing w:before="0" w:after="0"/>
        <w:rPr/>
      </w:pPr>
      <w:r>
        <w:rPr/>
        <w:tab/>
        <w:t>The biggest issue with comparing percentage-wise is that the zone-block-matches has information that splits the grades into neighborhoods that get ID’d, which gets further divided into the GEO Blocks of 2020 that were used in the 2020 Census. Because there is no comparison in the metro-grade file, the percentage will have to be merged if there are to be used at all. This will be done by deriving the average, the median, the 10% and 25% quartile to use for comparison and note effects. In a future project, it would be beneficial to find information that breaks down population moreso based on neighborhoods and potentially line them with the blocks of the 2020 census. Some cities will also be deleted in the zone-block-matches and metro-grades files as while the city may be listed in one file, it wasn’t listed in the other. This is potentially as a result of some cities not existing during the peak of the HOLC, or in the case of New York City, one file listed the whole city while the other lists the burroughs instead. This is stated to say that there is a potentially large effect from excluding New York City from the data and that should work like this be done in the future, it would be best to consolidate the percentages in some fashion to best characterize the whole city.</w:t>
      </w:r>
    </w:p>
    <w:p>
      <w:pPr>
        <w:pStyle w:val="TextBody"/>
        <w:bidi w:val="0"/>
        <w:spacing w:before="0" w:after="0"/>
        <w:rPr/>
      </w:pPr>
      <w:r>
        <w:rPr/>
        <w:tab/>
        <w:t>It will also service this paper to not use the columns that include absolute population. These were deleted in a data frame copy as they did not serve a purpose in this analysis, considering that something like city size would then need to be taken into account.</w:t>
      </w:r>
    </w:p>
    <w:p>
      <w:pPr>
        <w:pStyle w:val="TextBody"/>
        <w:bidi w:val="0"/>
        <w:spacing w:before="0" w:after="0"/>
        <w:rPr/>
      </w:pPr>
      <w:r>
        <w:rPr/>
        <w:tab/>
        <w:t>Lastly, models will be grouped by their HOLC grade to best categorize the effect of the grade on the racial composition of an area.</w:t>
      </w:r>
    </w:p>
    <w:p>
      <w:pPr>
        <w:pStyle w:val="Heading2"/>
        <w:numPr>
          <w:ilvl w:val="1"/>
          <w:numId w:val="2"/>
        </w:numPr>
        <w:bidi w:val="0"/>
        <w:jc w:val="left"/>
        <w:rPr/>
      </w:pPr>
      <w:r>
        <w:rPr/>
        <w:t xml:space="preserve">Visualizations: </w:t>
      </w:r>
    </w:p>
    <w:p>
      <w:pPr>
        <w:pStyle w:val="TextBody"/>
        <w:bidi w:val="0"/>
        <w:spacing w:before="0" w:after="0"/>
        <w:rPr/>
      </w:pPr>
      <w:r>
        <w:rPr/>
        <w:t xml:space="preserve">Include and explain your graphs. </w:t>
      </w:r>
    </w:p>
    <w:p>
      <w:pPr>
        <w:pStyle w:val="TextBody"/>
        <w:bidi w:val="0"/>
        <w:spacing w:before="0" w:after="0"/>
        <w:rPr/>
      </w:pPr>
      <w:r>
        <w:rPr/>
      </w:r>
    </w:p>
    <w:p>
      <w:pPr>
        <w:pStyle w:val="TextBody"/>
        <w:bidi w:val="0"/>
        <w:spacing w:before="0" w:after="0"/>
        <w:rPr/>
      </w:pPr>
      <w:r>
        <w:rPr/>
      </w:r>
    </w:p>
    <w:p>
      <w:pPr>
        <w:pStyle w:val="Heading2"/>
        <w:numPr>
          <w:ilvl w:val="1"/>
          <w:numId w:val="2"/>
        </w:numPr>
        <w:bidi w:val="0"/>
        <w:jc w:val="left"/>
        <w:rPr/>
      </w:pPr>
      <w:r>
        <w:rPr/>
        <w:t xml:space="preserve">Statistical Analysis: </w:t>
      </w:r>
    </w:p>
    <w:p>
      <w:pPr>
        <w:pStyle w:val="TextBody"/>
        <w:bidi w:val="0"/>
        <w:spacing w:before="0" w:after="0"/>
        <w:rPr/>
      </w:pPr>
      <w:r>
        <w:rPr/>
        <w:t xml:space="preserve">Detail your models, interpretations, and findings. </w:t>
      </w:r>
    </w:p>
    <w:p>
      <w:pPr>
        <w:pStyle w:val="TextBody"/>
        <w:bidi w:val="0"/>
        <w:spacing w:before="0" w:after="0"/>
        <w:rPr>
          <w:b/>
          <w:b/>
          <w:bCs/>
        </w:rPr>
      </w:pPr>
      <w:r>
        <w:rPr>
          <w:b/>
          <w:bCs/>
        </w:rPr>
        <w:t>Correlations:</w:t>
      </w:r>
    </w:p>
    <w:p>
      <w:pPr>
        <w:pStyle w:val="TextBody"/>
        <w:bidi w:val="0"/>
        <w:spacing w:before="0" w:after="0"/>
        <w:rPr/>
      </w:pPr>
      <w:r>
        <w:rPr/>
        <w:tab/>
        <w:t>For examining correlations, there will be comparisons made between the HOLC grade and HOLC-era racial demographics, HOLC grade and the percentile used to measure change in 2020,  and  HOLC-era surrounding area demographics and HOLC-era  racial demographics.</w:t>
      </w:r>
    </w:p>
    <w:p>
      <w:pPr>
        <w:pStyle w:val="Normal"/>
        <w:bidi w:val="0"/>
        <w:spacing w:lineRule="atLeast" w:line="228" w:before="0" w:after="0"/>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r>
    </w:p>
    <w:tbl>
      <w:tblPr>
        <w:tblW w:w="5000" w:type="pct"/>
        <w:jc w:val="left"/>
        <w:tblInd w:w="0" w:type="dxa"/>
        <w:tblLayout w:type="fixed"/>
        <w:tblCellMar>
          <w:top w:w="0" w:type="dxa"/>
          <w:left w:w="0" w:type="dxa"/>
          <w:bottom w:w="0" w:type="dxa"/>
          <w:right w:w="0" w:type="dxa"/>
        </w:tblCellMar>
      </w:tblPr>
      <w:tblGrid>
        <w:gridCol w:w="4986"/>
        <w:gridCol w:w="4986"/>
      </w:tblGrid>
      <w:tr>
        <w:trPr/>
        <w:tc>
          <w:tcPr>
            <w:tcW w:w="4986" w:type="dxa"/>
            <w:tcBorders/>
          </w:tcPr>
          <w:p>
            <w:pPr>
              <w:pStyle w:val="Normal"/>
              <w:bidi w:val="0"/>
              <w:spacing w:lineRule="atLeast" w:line="228" w:before="0" w:after="0"/>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HOLC Grade A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0.46988160150026886</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-0.3463001554468512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-0.21893993638709167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-0.019057108598977423</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-0.14048326530440722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1.9173129281041026e-18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-1.9752611648407233e-18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-4.289088939584059e-18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-2.406754999440923e-18</w:t>
            </w:r>
          </w:p>
        </w:tc>
        <w:tc>
          <w:tcPr>
            <w:tcW w:w="4986" w:type="dxa"/>
            <w:tcBorders/>
          </w:tcPr>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w:t>
            </w:r>
            <w:r>
              <w:rPr>
                <w:rFonts w:ascii="Liberation Serif" w:hAnsi="Liberation Serif"/>
                <w:b/>
                <w:bCs/>
                <w:color w:val="000000"/>
                <w:sz w:val="24"/>
                <w:szCs w:val="24"/>
                <w:shd w:fill="auto" w:val="clear"/>
              </w:rPr>
              <w:t>-- HOLC Grade B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0.11198923982240117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-0.10113207072328644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-0.041513354627395097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0.010580506694152203</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0.02102585986450995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1.220108226975338e-18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2.1947346276008037e-18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-1.8811793594666927e-18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-5.730369046287912e-19</w:t>
            </w:r>
          </w:p>
        </w:tc>
      </w:tr>
      <w:tr>
        <w:trPr/>
        <w:tc>
          <w:tcPr>
            <w:tcW w:w="4986"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HOLC Grade C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-0.1698142349429607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0.09050569976382061</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0.11254131121508898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0.024728504118033078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0.060661301342971284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1.9173129281041026e-18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-2.6336815531209646e-18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-1.504943487573354e-19</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-1.7191107138863737e-18</w:t>
            </w:r>
          </w:p>
        </w:tc>
        <w:tc>
          <w:tcPr>
            <w:tcW w:w="4986"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HOLC Grade D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-0.4120566063797096</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0.3569265264063173</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0.1479119797993977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-0.016251902213207922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0.05879610409692603</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-3.4860235056438227e-19</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1.0973673138004019e-18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4.163676982286279e-18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-2.7505771422181978e-18</w:t>
            </w:r>
          </w:p>
        </w:tc>
      </w:tr>
    </w:tbl>
    <w:p>
      <w:pPr>
        <w:pStyle w:val="Normal"/>
        <w:bidi w:val="0"/>
        <w:spacing w:lineRule="atLeast" w:line="228" w:before="0" w:after="0"/>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r>
    </w:p>
    <w:p>
      <w:pPr>
        <w:pStyle w:val="Normal"/>
        <w:bidi w:val="0"/>
        <w:spacing w:lineRule="atLeast" w:line="228" w:before="0" w:after="0"/>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Add note here on grades:</w:t>
      </w:r>
    </w:p>
    <w:p>
      <w:pPr>
        <w:pStyle w:val="Normal"/>
        <w:bidi w:val="0"/>
        <w:spacing w:lineRule="atLeast" w:line="228" w:before="0" w:after="0"/>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r>
    </w:p>
    <w:tbl>
      <w:tblPr>
        <w:tblW w:w="9900" w:type="dxa"/>
        <w:jc w:val="left"/>
        <w:tblInd w:w="78" w:type="dxa"/>
        <w:tblLayout w:type="fixed"/>
        <w:tblCellMar>
          <w:top w:w="0" w:type="dxa"/>
          <w:left w:w="0" w:type="dxa"/>
          <w:bottom w:w="0" w:type="dxa"/>
          <w:right w:w="0" w:type="dxa"/>
        </w:tblCellMar>
      </w:tblPr>
      <w:tblGrid>
        <w:gridCol w:w="4920"/>
        <w:gridCol w:w="4980"/>
      </w:tblGrid>
      <w:tr>
        <w:trPr/>
        <w:tc>
          <w:tcPr>
            <w:tcW w:w="4920"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Correlations with surr_area_pct_white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vs surr_area_pct_white: 0.6126182652562834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vs surr_area_pct_white: -0.26636963801768343</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vs surr_area_pct_white: -0.5364099051337361</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vs surr_area_pct_white: -0.15281480870216402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vs surr_area_pct_white: 0.4070917930313486</w:t>
            </w:r>
          </w:p>
        </w:tc>
        <w:tc>
          <w:tcPr>
            <w:tcW w:w="4980"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Correlations with surr_area_pct_black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vs surr_area_pct_black: -0.25664769123435577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vs surr_area_pct_black: 0.6636223219022579</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vs surr_area_pct_black: -0.3000042005133991</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vs surr_area_pct_black: -0.2583743816873132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vs surr_area_pct_black: -0.3236782539246701</w:t>
            </w:r>
          </w:p>
        </w:tc>
      </w:tr>
      <w:tr>
        <w:trPr/>
        <w:tc>
          <w:tcPr>
            <w:tcW w:w="4920"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Correlations with surr_area_pct_hisp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vs surr_area_pct_hisp: -0.44556936658194257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vs surr_area_pct_hisp: -0.2709521511746419</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vs surr_area_pct_hisp: 0.8850306529705594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vs surr_area_pct_hisp: 0.18567976322214502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vs surr_area_pct_hisp: -0.2557384603277851</w:t>
            </w:r>
          </w:p>
        </w:tc>
        <w:tc>
          <w:tcPr>
            <w:tcW w:w="4980"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Correlations with surr_area_pct_asian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vs surr_area_pct_asian: -0.13538630974979035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vs surr_area_pct_asian: -0.19610314021027614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vs surr_area_pct_asian: 0.20482685234694495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vs surr_area_pct_asian: 0.873909046228447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vs surr_area_pct_asian: 0.04322947736272559</w:t>
            </w:r>
          </w:p>
        </w:tc>
      </w:tr>
      <w:tr>
        <w:trPr/>
        <w:tc>
          <w:tcPr>
            <w:tcW w:w="4920"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Correlations with surr_area_pct_other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pct_white vs surr_area_pct_other: 0.32374014095327425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pct_black vs surr_area_pct_other: -0.2707101705555527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pct_hisp vs surr_area_pct_other: -0.24777555412986202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pct_asian vs surr_area_pct_other: 0.05312927058272901</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pct_other vs surr_area_pct_other: 0.8616326033116507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tc>
        <w:tc>
          <w:tcPr>
            <w:tcW w:w="4980" w:type="dxa"/>
            <w:tcBorders/>
          </w:tcPr>
          <w:p>
            <w:pPr>
              <w:pStyle w:val="TableContents"/>
              <w:rPr/>
            </w:pPr>
            <w:r>
              <w:rPr/>
            </w:r>
          </w:p>
        </w:tc>
      </w:tr>
    </w:tbl>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bidi w:val="0"/>
        <w:spacing w:lineRule="atLeast" w:line="228" w:before="0" w:after="0"/>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 xml:space="preserve"> </w:t>
      </w:r>
      <w:r>
        <w:rPr>
          <w:rFonts w:ascii="Liberation Serif" w:hAnsi="Liberation Serif"/>
          <w:b w:val="false"/>
          <w:color w:val="000000"/>
          <w:sz w:val="24"/>
          <w:szCs w:val="24"/>
          <w:shd w:fill="auto" w:val="clear"/>
        </w:rPr>
        <w:t>Add note here on surrounding area:</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tbl>
      <w:tblPr>
        <w:tblW w:w="11244" w:type="dxa"/>
        <w:jc w:val="left"/>
        <w:tblInd w:w="-534" w:type="dxa"/>
        <w:tblLayout w:type="fixed"/>
        <w:tblCellMar>
          <w:top w:w="0" w:type="dxa"/>
          <w:left w:w="0" w:type="dxa"/>
          <w:bottom w:w="0" w:type="dxa"/>
          <w:right w:w="0" w:type="dxa"/>
        </w:tblCellMar>
      </w:tblPr>
      <w:tblGrid>
        <w:gridCol w:w="5328"/>
        <w:gridCol w:w="5916"/>
      </w:tblGrid>
      <w:tr>
        <w:trPr/>
        <w:tc>
          <w:tcPr>
            <w:tcW w:w="5328"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Correlation with local percentages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pct_white: -0.11030575798072215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pct_black: -0.011356859276891647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pct_hisp: 0.1497412844669989</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pct_asian: 0.07259210274558814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pct_other: -0.048817295748237254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pct_white: -0.0725391758512389</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pct_black: -0.05643516622943716</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pct_hisp: 0.1359034575169321</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pct_asian: 0.0929961695359436</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pct_other: 0.026301774574152934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pct_white: -0.05514854429161783</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pct_black: 0.04206963307548537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pct_hisp: 0.0467108132138364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pct_asian: 8.447216733786176e-05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pct_other: -0.16266504498486234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pct_white: -0.10947712141469922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pct_black: 0.03217898738292773</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pct_hisp: 0.11097405883588386</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pct_asian: 0.04542898508699389</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pct_other: -0.08794033855886806</w:t>
            </w:r>
          </w:p>
        </w:tc>
        <w:tc>
          <w:tcPr>
            <w:tcW w:w="5916" w:type="dxa"/>
            <w:tcBorders/>
          </w:tcPr>
          <w:p>
            <w:pPr>
              <w:pStyle w:val="Normal"/>
              <w:spacing w:lineRule="atLeast" w:line="228"/>
              <w:rPr>
                <w:rFonts w:ascii="Liberation Serif" w:hAnsi="Liberation Serif"/>
                <w:b/>
                <w:b/>
                <w:bCs/>
                <w:color w:val="000000"/>
                <w:sz w:val="24"/>
                <w:szCs w:val="24"/>
                <w:highlight w:val="none"/>
                <w:shd w:fill="auto" w:val="clear"/>
              </w:rPr>
            </w:pPr>
            <w:r>
              <w:rPr>
                <w:rFonts w:ascii="Liberation Serif" w:hAnsi="Liberation Serif"/>
                <w:b/>
                <w:bCs/>
                <w:color w:val="000000"/>
                <w:sz w:val="24"/>
                <w:szCs w:val="24"/>
                <w:shd w:fill="auto" w:val="clear"/>
              </w:rPr>
              <w:t>--- Correlation with surrounding area percentages ---</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surr_area_pct_white: -0.03683649692183357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surr_area_pct_black: -0.13223312764823225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surr_area_pct_hisp: 0.15636235529632656</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surr_area_pct_asian: 0.06806644548126738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avg_G vs surr_area_pct_other: -0.01006240815750415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surr_area_pct_white: 0.045573221092587234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surr_area_pct_black: -0.22805689988284597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surr_area_pct_hisp: 0.1401122267884375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surr_area_pct_asian: 0.09700045665467547</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median_G vs surr_area_pct_other: 0.07109384595572428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surr_area_pct_white: -0.10568506601580832</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surr_area_pct_black: 0.07643591991137136</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surr_area_pct_hisp: 0.06803941820975008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surr_area_pct_asian: -0.01697919171998325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decile_10_G vs surr_area_pct_other: -0.1593253465883405</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surr_area_pct_white: -0.07678570727522624</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surr_area_pct_black: -0.026150756448053578</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surr_area_pct_hisp: 0.11222428863438551</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surr_area_pct_asian: 0.03452833897420316</w:t>
            </w:r>
          </w:p>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t>quartile_25_G vs surr_area_pct_other: -0.06679254485903935</w:t>
            </w:r>
          </w:p>
        </w:tc>
      </w:tr>
    </w:tbl>
    <w:p>
      <w:pPr>
        <w:pStyle w:val="Normal"/>
        <w:spacing w:lineRule="atLeast" w:line="228"/>
        <w:rPr>
          <w:rFonts w:ascii="Liberation Serif" w:hAnsi="Liberation Serif"/>
          <w:b w:val="false"/>
          <w:color w:val="000000"/>
          <w:sz w:val="24"/>
          <w:szCs w:val="24"/>
          <w:highlight w:val="none"/>
          <w:shd w:fill="auto" w:val="clear"/>
        </w:rPr>
      </w:pPr>
      <w:r>
        <w:rPr>
          <w:rFonts w:ascii="Liberation Serif" w:hAnsi="Liberation Serif"/>
          <w:b w:val="false"/>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For the correlation notes: </w:t>
      </w:r>
    </w:p>
    <w:p>
      <w:pPr>
        <w:pStyle w:val="Heading3"/>
        <w:numPr>
          <w:ilvl w:val="2"/>
          <w:numId w:val="2"/>
        </w:numPr>
        <w:spacing w:before="140" w:after="120"/>
        <w:rPr/>
      </w:pPr>
      <w:r>
        <w:rPr/>
        <w:t>Simple regression</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pct_white   R-squared:                       0.321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0.321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984.2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3.38e-177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-9030.0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1.806e+04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2078   BIC:                         1.808e+04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1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26.7930      0.999     26.828      0.000      24.834      28.752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holc_grade_x    11.4408      0.365     31.373      0.000      10.726      12.156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41.184   Durbin-Watson:                   0.189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43.215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-0.352   Prob(JB):                     4.13e-10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3.057   Cond. No.                         7.47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Surrounding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pct_white   R-squared:                       0.387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0.386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262.1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1.79e-217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-8924.0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1.786e+04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2074   BIC:                         1.789e+04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5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-1.698e+04   5369.657     -3.161      0.002   -2.75e+04   -6444.583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surr_area_pct_white   170.5842     53.697      3.177      0.002      65.278     275.890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surr_area_pct_black   169.8961     53.692      3.164      0.002      64.599     275.193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surr_area_pct_hisp    169.7602     53.695      3.162      0.002      64.459     275.061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surr_area_pct_asian   169.9967     53.698      3.166      0.002      64.689     275.304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surr_area_pct_other   170.7595     53.710      3.179      0.001      65.428     276.091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18.139   Durbin-Watson:                   0.457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14.455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0.121   Prob(JB):                     0.000726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2.672   Cond. No.                     8.57e+05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[2] The condition number is large, 8.57e+05. This might indicate that there are</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strong multicollinearity or other numerical problems.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 metrics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pct_white   R-squared:                       0.014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0.012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7.203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9.30e-06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-9418.9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1.885e+04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2075   BIC:                         1.888e+04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4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79.0608     10.517      7.518      0.000      58.436      99.685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avg_G           -52.7379     31.556     -1.671      0.095    -114.623       9.147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median_G         14.0753     11.355      1.240      0.215      -8.194      36.344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decile_10_G       7.6477      8.731      0.876      0.381      -9.475      24.770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quartile_25_G     1.0024      6.067      0.165      0.869     -10.896      12.900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204.394   Durbin-Watson:                   0.343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108.473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-0.405   Prob(JB):                     2.79e-24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2.228   Cond. No.                         116.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Dependent variable: pct_black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Grade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pct_black   R-squared:                       0.199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0.198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515.0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4.91e-102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-8827.6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1.766e+04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2078   BIC:                         1.767e+04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1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39.0967      0.906     43.148      0.000      37.320      40.874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holc_grade_x    -7.5082      0.331    -22.693      0.000      -8.157      -6.859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380.625   Durbin-Watson:                   0.233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668.942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1.156   Prob(JB):                    5.51e-146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4.542   Cond. No.                         7.47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White people notes: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Surrounding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pct_black   R-squared:                       0.449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0.448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338.6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1.32e-265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-8437.2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1.689e+04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2074   BIC:                         1.692e+04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5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9932.5018   4249.231      2.337      0.020    1599.300    1.83e+04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surr_area_pct_white   -99.2151     42.493     -2.335      0.020    -182.548     -15.882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surr_area_pct_black   -98.4617     42.489     -2.317      0.021    -181.787     -15.136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surr_area_pct_hisp    -99.3295     42.491     -2.338      0.019    -182.659     -16.000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surr_area_pct_asian   -99.2348     42.494     -2.335      0.020    -182.569     -15.900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surr_area_pct_other   -99.9514     42.503     -2.352      0.019    -183.305     -16.598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62.796   Durbin-Watson:                   0.445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152.948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0.082   Prob(JB):                     6.14e-34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4.318   Cond. No.                     8.57e+05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[2] The condition number is large, 8.57e+05. This might indicate that there are</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strong multicollinearity or other numerical problems.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 metrics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pct_black   R-squared:                       0.009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0.007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4.757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0.000803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-9048.3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1.811e+04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2075   BIC:                         1.813e+04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4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37.4140      8.801      4.251      0.000      20.155      54.673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avg_G           -24.2688     26.407     -0.919      0.358     -76.055      27.518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median_G         -4.7287      9.502     -0.498      0.619     -23.364      13.907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decile_10_G       9.7901      7.306      1.340      0.180      -4.538      24.118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quartile_25_G     8.9818      5.077      1.769      0.077      -0.975      18.938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414.474   Durbin-Watson:                   0.322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709.627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1.295   Prob(JB):                    8.06e-155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4.219   Cond. No.                         116.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Notes on black people: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Dependent variable: pct_hisp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Grade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pct_hisp   R-squared:                       0.059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0.059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130.4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2.52e-29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-8777.2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1.756e+04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2078   BIC:                         1.757e+04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1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24.4549      0.884     27.652      0.000      22.720      26.189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holc_grade_x    -3.6870      0.323    -11.417      0.000      -4.320      -3.054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853.262   Durbin-Watson:                   0.148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3202.021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2.048   Prob(JB):                         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7.492   Cond. No.                         7.47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Surrounding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pct_hisp   R-squared:                       0.787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0.786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1530.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-7233.3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1.448e+04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2074   BIC:                         1.451e+04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5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5179.2352   2382.014      2.174      0.030     507.847    9850.623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surr_area_pct_white   -51.7490     23.820     -2.172      0.030     -98.463      -5.035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surr_area_pct_black   -51.8019     23.818     -2.175      0.030     -98.512      -5.092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surr_area_pct_hisp    -50.7889     23.819     -2.132      0.033     -97.501      -4.077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surr_area_pct_asian   -51.9069     23.821     -2.179      0.029     -98.622      -5.192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surr_area_pct_other   -52.1269     23.826     -2.188      0.029     -98.853      -5.401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185.193   Durbin-Watson:                   0.443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888.273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0.280   Prob(JB):                    1.30e-193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6.152   Cond. No.                     8.57e+05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[2] The condition number is large, 8.57e+05. This might indicate that there are</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strong multicollinearity or other numerical problems.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 metrics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pct_hisp   R-squared:                       0.026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0.024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13.69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5.08e-11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-8813.3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1.764e+04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2075   BIC:                         1.766e+04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4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-22.2277      7.860     -2.828      0.005     -37.643      -6.813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avg_G            75.8371     23.586      3.215      0.001      29.583     122.091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median_G        -12.5766      8.487     -1.482      0.139     -29.221       4.068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decile_10_G     -11.9247      6.526     -1.827      0.068     -24.722       0.873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quartile_25_G    -9.5465      4.535     -2.105      0.035     -18.439      -0.654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857.025   Durbin-Watson:                   0.205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3131.719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2.074   Prob(JB):                         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7.350   Cond. No.                         116.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 on hispanic people:</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Dependent variable: pct_asian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Grade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pct_asian   R-squared:                       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0.03967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0.842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-5639.5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1.128e+04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2078   BIC:                         1.129e+04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1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3.2293      0.196     16.504      0.000       2.846       3.613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holc_grade_x    -0.0142      0.071     -0.199      0.842      -0.154       0.126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1353.669   Durbin-Watson:                   0.158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16600.782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2.948   Prob(JB):                         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15.522   Cond. No.                         7.47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Surrounding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pct_asian   R-squared:                       0.768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0.768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1376.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-4118.5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8249.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2074   BIC:                             8283.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5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1177.8847    532.834      2.211      0.027     132.940    2222.830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surr_area_pct_white   -11.7706      5.328     -2.209      0.027     -22.220      -1.321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surr_area_pct_black   -11.7814      5.328     -2.211      0.027     -22.230      -1.333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surr_area_pct_hisp    -11.7865      5.328     -2.212      0.027     -22.236      -1.337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surr_area_pct_asian   -11.0140      5.328     -2.067      0.039     -21.464      -0.564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surr_area_pct_other   -11.8115      5.330     -2.216      0.027     -22.264      -1.359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365.863   Durbin-Watson:                   0.404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1550.462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0.792   Prob(JB):                         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6.922   Cond. No.                     8.57e+05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[2] The condition number is large, 8.57e+05. This might indicate that there are</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strong multicollinearity or other numerical problems.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 metrics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pct_asian   R-squared:                       0.009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0.007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4.786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0.000764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-5629.9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1.127e+04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2075   BIC:                         1.130e+04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4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1.5228      1.701      0.895      0.371      -1.813       4.859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avg_G            -1.7319      5.105     -0.339      0.734     -11.743       8.279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median_G          2.9715      1.837      1.618      0.106      -0.631       6.574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decile_10_G      -0.9229      1.412     -0.653      0.514      -3.693       1.847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quartile_25_G     0.4587      0.981      0.467      0.640      -1.466       2.383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1352.679   Durbin-Watson:                   0.170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16715.071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2.941   Prob(JB):                         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15.580   Cond. No.                         116.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Notes on asian people: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Dependent variable: pct_other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Grade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pct_other   R-squared:                       0.015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0.015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32.16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1.62e-08</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-4474.0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8952.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2078   BIC:                             8963.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1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6.4262      0.112     57.515      0.000       6.207       6.645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holc_grade_x    -0.2314      0.041     -5.671      0.000      -0.311      -0.151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380.077   Durbin-Watson:                   0.202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1106.086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0.942   Prob(JB):                    6.56e-241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6.036   Cond. No.                         7.47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Surrounding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pct_other   R-squared:                       0.745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0.744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1210.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-3070.1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6152.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2074   BIC:                             6186.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5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785.5906    321.867      2.441      0.015     154.374    1416.807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surr_area_pct_white    -7.8510      3.219     -2.439      0.015     -14.163      -1.539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surr_area_pct_black    -7.8526      3.218     -2.440      0.015     -14.164      -1.541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surr_area_pct_hisp     -7.8568      3.219     -2.441      0.015     -14.169      -1.545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surr_area_pct_asian    -7.8426      3.219     -2.437      0.015     -14.155      -1.530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surr_area_pct_other    -6.8711      3.219     -2.134      0.033     -13.185      -0.557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63.957   Durbin-Watson:                   0.421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119.250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0.225   Prob(JB):                     1.27e-26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4.083   Cond. No.                     8.57e+05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Notes: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[1] Standard Errors assume that the covariance matrix of the errors is correctly specified.</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[2] The condition number is large, 8.57e+05. This might indicate that there are</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strong multicollinearity or other numerical problems.</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G metrics model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 xml:space="preserve">OLS Regression Results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Dep. Variable:              pct_other   R-squared:                       0.032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Model:                            OLS   Adj. R-squared:                  0.030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Method:                 Least Squares   F-statistic:                     17.11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Date:                Sat, 02 May 2026   Prob (F-statistic):           8.09e-14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Time:                        20:35:57   Log-Likelihood:                -4456.2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No. Observations:                2080   AIC:                             8922.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Df Residuals:                    2075   BIC:                             8951.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Df Model:                           4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Covariance Type:            nonrobust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coef    std err          t      P&gt;|t|      [0.025      0.975]</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const             4.2339      0.968      4.376      0.000       2.336       6.132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avg_G             2.8924      2.903      0.996      0.319      -2.801       8.586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median_G          0.2602      1.045      0.249      0.803      -1.789       2.309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decile_10_G      -4.5873      0.803     -5.711      0.000      -6.163      -3.012</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quartile_25_G    -0.8941      0.558     -1.602      0.109      -1.989       0.201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Omnibus:                      444.147   Durbin-Watson:                   0.253</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Prob(Omnibus):                  0.000   Jarque-Bera (JB):             1419.716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Skew:                           1.062   Prob(JB):                    5.16e-309</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Kurtosis:                       6.445   Cond. No.                         116.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Notes on other people: </w:t>
      </w:r>
    </w:p>
    <w:p>
      <w:pPr>
        <w:pStyle w:val="Heading3"/>
        <w:numPr>
          <w:ilvl w:val="2"/>
          <w:numId w:val="2"/>
        </w:numPr>
        <w:spacing w:before="140" w:after="120"/>
        <w:rPr/>
      </w:pPr>
      <w:r>
        <w:rPr/>
        <w:t>Multiple regression</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Multivariate linear model</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Intercept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0.4487 5.0000 2063.0000 507.0113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0.5513 5.0000 2063.0000 507.0113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1.2288 5.0000 2063.0000 507.0113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1.2288 5.0000 2063.0000 507.0113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holc_grade_x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0.3993 15.0000 5695.4360 149.8146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0.6246 15.0000 6195.0000 108.6065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1.4448 15.0000 3891.5464 198.6232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1.4025  5.0000 2065.0000 579.2258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surr_area_pct_white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0.9804 5.0000 2063.0000  8.2452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0.0196 5.0000 2063.0000  8.2452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0.0200 5.0000 2063.0000  8.2452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0.0200 5.0000 2063.0000  8.2452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surr_area_pct_black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0.9805 5.0000 2063.0000  8.2166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0.0195 5.0000 2063.0000  8.2166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0.0199 5.0000 2063.0000  8.2166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0.0199 5.0000 2063.0000  8.2166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surr_area_pct_hisp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0.9806 5.0000 2063.0000  8.1761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0.0194 5.0000 2063.0000  8.1761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0.0198 5.0000 2063.0000  8.1761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0.0198 5.0000 2063.0000  8.1761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surr_area_pct_asian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0.9808 5.0000 2063.0000  8.0693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0.0192 5.0000 2063.0000  8.0693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0.0196 5.0000 2063.0000  8.0693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0.0196 5.0000 2063.0000  8.0693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surr_area_pct_other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0.9813 5.0000 2063.0000  7.8838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0.0187 5.0000 2063.0000  7.8838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0.0191 5.0000 2063.0000  7.8838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0.0191 5.0000 2063.0000  7.8838 0.0000</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avg_G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0.9987 5.0000 2063.0000  0.5242 0.7581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0.0013 5.0000 2063.0000  0.5242 0.7581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0.0013 5.0000 2063.0000  0.5242 0.7581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0.0013 5.0000 2063.0000  0.5242 0.7581</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median_G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0.9985 5.0000 2063.0000  0.5995 0.7004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0.0015 5.0000 2063.0000  0.5995 0.7004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0.0015 5.0000 2063.0000  0.5995 0.7004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0.0015 5.0000 2063.0000  0.5995 0.7004</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decile_10_G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0.9895 5.0000 2063.0000  4.3932 0.0006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0.0105 5.0000 2063.0000  4.3932 0.0006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0.0106 5.0000 2063.0000  4.3932 0.0006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0.0106 5.0000 2063.0000  4.3932 0.0006</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quartile_25_G      Value  Num DF   Den DF  F Value Pr &gt; F</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Wilks' lambda 0.9987 5.0000 2063.0000  0.5181 0.7627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Pillai's trace 0.0013 5.0000 2063.0000  0.5181 0.7627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Hotelling-Lawley trace 0.0013 5.0000 2063.0000  0.5181 0.7627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 xml:space="preserve">      </w:t>
      </w:r>
      <w:r>
        <w:rPr>
          <w:rFonts w:ascii="Liberation Serif" w:hAnsi="Liberation Serif"/>
          <w:color w:val="000000"/>
          <w:sz w:val="24"/>
          <w:szCs w:val="24"/>
          <w:shd w:fill="auto" w:val="clear"/>
        </w:rPr>
        <w:t>Roy's greatest root 0.0013 5.0000 2063.0000  0.5181 0.7627</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t>================================================================</w:t>
      </w:r>
    </w:p>
    <w:p>
      <w:pPr>
        <w:pStyle w:val="Normal"/>
        <w:spacing w:lineRule="atLeast" w:line="228"/>
        <w:rPr>
          <w:rFonts w:ascii="Liberation Serif" w:hAnsi="Liberation Serif"/>
          <w:color w:val="000000"/>
          <w:sz w:val="24"/>
          <w:szCs w:val="24"/>
          <w:highlight w:val="none"/>
          <w:shd w:fill="auto" w:val="clear"/>
        </w:rPr>
      </w:pPr>
      <w:r>
        <w:rPr>
          <w:rFonts w:ascii="Liberation Serif" w:hAnsi="Liberation Serif"/>
          <w:color w:val="000000"/>
          <w:sz w:val="24"/>
          <w:szCs w:val="24"/>
          <w:shd w:fill="auto" w:val="clear"/>
        </w:rPr>
      </w:r>
    </w:p>
    <w:p>
      <w:pPr>
        <w:pStyle w:val="Normal"/>
        <w:spacing w:lineRule="atLeast" w:line="228"/>
        <w:rPr/>
      </w:pPr>
      <w:r>
        <w:rPr/>
        <w:t xml:space="preserve">Notes: </w:t>
      </w:r>
    </w:p>
    <w:p>
      <w:pPr>
        <w:pStyle w:val="Heading2"/>
        <w:numPr>
          <w:ilvl w:val="1"/>
          <w:numId w:val="2"/>
        </w:numPr>
        <w:bidi w:val="0"/>
        <w:jc w:val="left"/>
        <w:rPr/>
      </w:pPr>
      <w:r>
        <w:rPr/>
        <w:t>Visuals:</w:t>
      </w:r>
    </w:p>
    <w:p>
      <w:pPr>
        <w:pStyle w:val="TextBody"/>
        <w:bidi w:val="0"/>
        <w:jc w:val="left"/>
        <w:rPr/>
      </w:pPr>
      <w:r>
        <w:rPr/>
        <w:tab/>
        <w:t xml:space="preserve">Visuals are accessible </w:t>
      </w:r>
      <w:r>
        <w:rPr/>
        <w:t xml:space="preserve">via the photos folder in the Github as well as the local version. Figures 1 through 36 is a comparison of a variable against one of the four HOLC grades. Those variables include the percentages by race as well as the percentage change range. The </w:t>
      </w:r>
      <w:r>
        <w:rPr/>
        <w:t xml:space="preserve">white population had greater </w:t>
      </w:r>
      <w:r>
        <w:rPr/>
        <w:t>proportions in Grade A compared to other rac</w:t>
      </w:r>
      <w:r>
        <w:rPr/>
        <w:t>ial groups</w:t>
      </w:r>
      <w:r>
        <w:rPr/>
        <w:t xml:space="preserve">. As the grade goes down, all the racial demographics become more spread out. </w:t>
      </w:r>
    </w:p>
    <w:p>
      <w:pPr>
        <w:pStyle w:val="TextBody"/>
        <w:bidi w:val="0"/>
        <w:jc w:val="left"/>
        <w:rPr/>
      </w:pPr>
      <w:r>
        <w:rPr/>
        <w:tab/>
        <w:t xml:space="preserve">Figures 37 to 101 compare all relevant variables against the surrounding area racial composition. </w:t>
      </w:r>
      <w:r>
        <w:rPr/>
        <w:t xml:space="preserve">With the percentage of white people in surrounding areas increase, so does the probability that the white population also increases, while the black population percentage decreases, and all other races are generally constant regardless. In contrast, there is an inverse relationship between the proportion of black people in the surrounding areas and the proportion of white people in an area. </w:t>
      </w:r>
      <w:r>
        <w:rPr/>
        <w:t xml:space="preserve">The proportion is direct with the proportion of black people and constant with all other racial groups. With the proportion of Hispanic people in surrounding areas, the proportion of white people increases, while other races’ proportion increases except for the other racial demographic. This also goes for the proportion of Asian people in surrounding areas. With the proportion of other races in surrounding areas, the proportions of other races is constant, save for white people, where it decreases only slightly, and the other racial demographic, </w:t>
      </w:r>
      <w:r>
        <w:rPr/>
        <w:t xml:space="preserve">where there is a strong positive relationship. </w:t>
      </w:r>
    </w:p>
    <w:p>
      <w:pPr>
        <w:pStyle w:val="TextBody"/>
        <w:bidi w:val="0"/>
        <w:jc w:val="left"/>
        <w:rPr/>
      </w:pPr>
      <w:r>
        <w:rPr/>
        <w:tab/>
      </w:r>
      <w:r>
        <w:rPr/>
        <w:t>One thing of note is that there seems to be little use in looking into the percentage change, potentially because of the attempt to generalize information.</w:t>
      </w:r>
    </w:p>
    <w:p>
      <w:pPr>
        <w:pStyle w:val="TextBody"/>
        <w:bidi w:val="0"/>
        <w:jc w:val="left"/>
        <w:rPr/>
      </w:pPr>
      <w:r>
        <w:rPr/>
      </w:r>
    </w:p>
    <w:p>
      <w:pPr>
        <w:pStyle w:val="Heading2"/>
        <w:numPr>
          <w:ilvl w:val="1"/>
          <w:numId w:val="2"/>
        </w:numPr>
        <w:bidi w:val="0"/>
        <w:jc w:val="left"/>
        <w:rPr/>
      </w:pPr>
      <w:r>
        <w:rPr/>
        <w:t xml:space="preserve">Conclusions: </w:t>
      </w:r>
    </w:p>
    <w:p>
      <w:pPr>
        <w:pStyle w:val="TextBody"/>
        <w:bidi w:val="0"/>
        <w:spacing w:before="0" w:after="140"/>
        <w:rPr/>
      </w:pPr>
      <w:r>
        <w:rPr/>
        <w:t xml:space="preserve">Summarize key insights from your analysis. </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Consolas">
    <w:charset w:val="00"/>
    <w:family w:val="roman"/>
    <w:pitch w:val="variable"/>
  </w:font>
  <w:font w:name="Aptos Narrow">
    <w:charset w:val="00"/>
    <w:family w:val="roman"/>
    <w:pitch w:val="variable"/>
  </w:font>
  <w:font w:name="Liberation Serif">
    <w:altName w:val="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TextBody"/>
    <w:qFormat/>
    <w:pPr>
      <w:numPr>
        <w:ilvl w:val="0"/>
        <w:numId w:val="2"/>
      </w:numPr>
      <w:spacing w:before="240" w:after="120"/>
      <w:outlineLvl w:val="0"/>
    </w:pPr>
    <w:rPr>
      <w:b/>
      <w:bCs/>
      <w:sz w:val="36"/>
      <w:szCs w:val="36"/>
    </w:rPr>
  </w:style>
  <w:style w:type="paragraph" w:styleId="Heading2">
    <w:name w:val="Heading 2"/>
    <w:basedOn w:val="Heading"/>
    <w:next w:val="TextBody"/>
    <w:qFormat/>
    <w:pPr>
      <w:numPr>
        <w:ilvl w:val="1"/>
        <w:numId w:val="2"/>
      </w:numPr>
      <w:spacing w:before="200" w:after="120"/>
      <w:outlineLvl w:val="1"/>
    </w:pPr>
    <w:rPr>
      <w:b/>
      <w:bCs/>
      <w:sz w:val="32"/>
      <w:szCs w:val="32"/>
    </w:rPr>
  </w:style>
  <w:style w:type="paragraph" w:styleId="Heading3">
    <w:name w:val="Heading 3"/>
    <w:basedOn w:val="Heading"/>
    <w:next w:val="TextBody"/>
    <w:qFormat/>
    <w:pPr>
      <w:numPr>
        <w:ilvl w:val="2"/>
        <w:numId w:val="2"/>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Heading"/>
    <w:next w:val="TextBody"/>
    <w:qFormat/>
    <w:pPr>
      <w:jc w:val="center"/>
    </w:pPr>
    <w:rPr>
      <w:b/>
      <w:bCs/>
      <w:sz w:val="56"/>
      <w:szCs w:val="56"/>
    </w:rPr>
  </w:style>
  <w:style w:type="paragraph" w:styleId="Subtitle">
    <w:name w:val="Subtitle"/>
    <w:basedOn w:val="Heading"/>
    <w:next w:val="TextBody"/>
    <w:qFormat/>
    <w:pPr>
      <w:spacing w:before="60" w:after="120"/>
      <w:jc w:val="center"/>
    </w:pPr>
    <w:rPr>
      <w:sz w:val="36"/>
      <w:szCs w:val="3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fivethirtyeight/data/tree/master/redlining" TargetMode="External"/><Relationship Id="rId3" Type="http://schemas.openxmlformats.org/officeDocument/2006/relationships/hyperlink" Target="https://www.census.gov/programs-surveys/geography/guidance/geo-identifiers.html"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207</TotalTime>
  <Application>LibreOffice/7.3.6.2$Windows_X86_64 LibreOffice_project/c28ca90fd6e1a19e189fc16c05f8f8924961e12e</Application>
  <AppVersion>15.0000</AppVersion>
  <Pages>22</Pages>
  <Words>4503</Words>
  <Characters>36662</Characters>
  <CharactersWithSpaces>53653</CharactersWithSpaces>
  <Paragraphs>749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2026-05-01T21:17:05Z</dcterms:created>
  <dc:creator/>
  <dc:description/>
  <dc:language>en-US</dc:language>
  <cp:lastModifiedBy/>
  <dcterms:modified xsi:type="dcterms:W3CDTF">2026-05-02T23:59:59Z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