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188B" w14:textId="77777777" w:rsidR="00E05AAB" w:rsidRPr="00F5161B" w:rsidRDefault="006616D2" w:rsidP="00F5161B">
      <w:pPr>
        <w:spacing w:after="240"/>
        <w:jc w:val="center"/>
      </w:pPr>
      <w:r>
        <w:rPr>
          <w:b/>
          <w:color w:val="1B365D"/>
          <w:sz w:val="40"/>
        </w:rPr>
        <w:t>Title :   Comparative Performance Evaluation of Sparse, Dense and Hybrid (RRF) Retrieval for Evidence Retrieval on Natural Questions</w:t>
      </w:r>
    </w:p>
    <w:tbl>
      <w:tblPr>
        <w:tblStyle w:val="TableGrid"/>
        <w:tblW w:w="0" w:type="auto"/>
        <w:jc w:val="center"/>
        <w:tblLook w:val="04A0" w:firstRow="1" w:lastRow="0" w:firstColumn="1" w:lastColumn="0" w:noHBand="0" w:noVBand="1"/>
      </w:tblPr>
      <w:tblGrid>
        <w:gridCol w:w="2409"/>
        <w:gridCol w:w="2106"/>
        <w:gridCol w:w="4318"/>
      </w:tblGrid>
      <w:tr w:rsidR="00E05AAB" w14:paraId="112B4933" w14:textId="77777777" w:rsidTr="00E05AAB">
        <w:trPr>
          <w:jc w:val="center"/>
        </w:trPr>
        <w:tc>
          <w:tcPr>
            <w:tcW w:w="2409" w:type="dxa"/>
          </w:tcPr>
          <w:p w14:paraId="766E5F10" w14:textId="77777777" w:rsidR="00E05AAB" w:rsidRDefault="00E05AAB" w:rsidP="007912C3">
            <w:pPr>
              <w:spacing w:before="240" w:after="240"/>
              <w:jc w:val="center"/>
              <w:rPr>
                <w:b/>
                <w:sz w:val="28"/>
              </w:rPr>
            </w:pPr>
            <w:r>
              <w:rPr>
                <w:b/>
                <w:sz w:val="28"/>
              </w:rPr>
              <w:t xml:space="preserve">Students Name </w:t>
            </w:r>
          </w:p>
          <w:p w14:paraId="0341EF76" w14:textId="77777777" w:rsidR="00E05AAB" w:rsidRDefault="00E05AAB" w:rsidP="007912C3">
            <w:pPr>
              <w:spacing w:before="240" w:after="240"/>
              <w:jc w:val="center"/>
            </w:pPr>
          </w:p>
        </w:tc>
        <w:tc>
          <w:tcPr>
            <w:tcW w:w="2106" w:type="dxa"/>
          </w:tcPr>
          <w:p w14:paraId="138C4515" w14:textId="77777777" w:rsidR="00E05AAB" w:rsidRDefault="00E05AAB" w:rsidP="007912C3">
            <w:pPr>
              <w:spacing w:before="240" w:after="240"/>
              <w:jc w:val="center"/>
              <w:rPr>
                <w:b/>
                <w:sz w:val="28"/>
              </w:rPr>
            </w:pPr>
            <w:r>
              <w:rPr>
                <w:b/>
                <w:sz w:val="28"/>
              </w:rPr>
              <w:t>Registration No.</w:t>
            </w:r>
          </w:p>
          <w:p w14:paraId="0742E77D" w14:textId="77777777" w:rsidR="00E05AAB" w:rsidRDefault="00E05AAB" w:rsidP="007912C3">
            <w:pPr>
              <w:spacing w:before="240" w:after="240"/>
              <w:jc w:val="center"/>
            </w:pPr>
          </w:p>
        </w:tc>
        <w:tc>
          <w:tcPr>
            <w:tcW w:w="3870" w:type="dxa"/>
          </w:tcPr>
          <w:p w14:paraId="2CB75B03" w14:textId="77777777" w:rsidR="00E05AAB" w:rsidRDefault="00E05AAB" w:rsidP="007912C3">
            <w:pPr>
              <w:spacing w:before="240" w:after="240"/>
              <w:jc w:val="center"/>
            </w:pPr>
            <w:r>
              <w:rPr>
                <w:b/>
                <w:sz w:val="28"/>
              </w:rPr>
              <w:t>Email-id</w:t>
            </w:r>
          </w:p>
        </w:tc>
      </w:tr>
      <w:tr w:rsidR="00E05AAB" w14:paraId="6264CBC0" w14:textId="77777777" w:rsidTr="00E05AAB">
        <w:trPr>
          <w:jc w:val="center"/>
        </w:trPr>
        <w:tc>
          <w:tcPr>
            <w:tcW w:w="2409" w:type="dxa"/>
          </w:tcPr>
          <w:p w14:paraId="44A3EB77" w14:textId="06F6B078" w:rsidR="00E05AAB" w:rsidRDefault="00661C2B" w:rsidP="007912C3">
            <w:pPr>
              <w:spacing w:before="240" w:after="240"/>
              <w:jc w:val="center"/>
            </w:pPr>
            <w:r>
              <w:t>Ojas Raghav</w:t>
            </w:r>
          </w:p>
        </w:tc>
        <w:tc>
          <w:tcPr>
            <w:tcW w:w="2106" w:type="dxa"/>
          </w:tcPr>
          <w:p w14:paraId="5F8D0813" w14:textId="4ED15F46" w:rsidR="00E05AAB" w:rsidRDefault="00661C2B" w:rsidP="007912C3">
            <w:pPr>
              <w:spacing w:before="240" w:after="240"/>
              <w:jc w:val="center"/>
            </w:pPr>
            <w:r>
              <w:t>23FE10CSE00709</w:t>
            </w:r>
          </w:p>
        </w:tc>
        <w:tc>
          <w:tcPr>
            <w:tcW w:w="3870" w:type="dxa"/>
          </w:tcPr>
          <w:p w14:paraId="407BA48F" w14:textId="45A0D219" w:rsidR="00E05AAB" w:rsidRDefault="00661C2B" w:rsidP="007912C3">
            <w:pPr>
              <w:spacing w:before="240" w:after="240"/>
              <w:jc w:val="center"/>
            </w:pPr>
            <w:r>
              <w:t>ojasraghav48@gmail.com</w:t>
            </w:r>
          </w:p>
        </w:tc>
      </w:tr>
      <w:tr w:rsidR="00E05AAB" w14:paraId="4CE5FBA5" w14:textId="77777777" w:rsidTr="00E05AAB">
        <w:trPr>
          <w:jc w:val="center"/>
        </w:trPr>
        <w:tc>
          <w:tcPr>
            <w:tcW w:w="2409" w:type="dxa"/>
          </w:tcPr>
          <w:p w14:paraId="4FE981BB" w14:textId="33B7CE8D" w:rsidR="00E05AAB" w:rsidRDefault="00661C2B" w:rsidP="007912C3">
            <w:pPr>
              <w:spacing w:before="240" w:after="240"/>
              <w:jc w:val="center"/>
            </w:pPr>
            <w:r>
              <w:t>Keshav Kumar</w:t>
            </w:r>
          </w:p>
        </w:tc>
        <w:tc>
          <w:tcPr>
            <w:tcW w:w="2106" w:type="dxa"/>
          </w:tcPr>
          <w:p w14:paraId="4C22BBE0" w14:textId="7FA6044E" w:rsidR="00E05AAB" w:rsidRDefault="00661C2B" w:rsidP="007912C3">
            <w:pPr>
              <w:spacing w:before="240" w:after="240"/>
              <w:jc w:val="center"/>
            </w:pPr>
            <w:r>
              <w:t>23FE10CSE00589</w:t>
            </w:r>
          </w:p>
        </w:tc>
        <w:tc>
          <w:tcPr>
            <w:tcW w:w="3870" w:type="dxa"/>
          </w:tcPr>
          <w:p w14:paraId="6B8E4B27" w14:textId="3EA4DE82" w:rsidR="00E05AAB" w:rsidRDefault="00661C2B" w:rsidP="007912C3">
            <w:pPr>
              <w:spacing w:before="240" w:after="240"/>
              <w:jc w:val="center"/>
            </w:pPr>
            <w:r>
              <w:t>KESHAV.23FE10CSE00589@muj.manipal.edu</w:t>
            </w:r>
          </w:p>
        </w:tc>
      </w:tr>
      <w:tr w:rsidR="00E05AAB" w14:paraId="6DC9A601" w14:textId="77777777" w:rsidTr="00E05AAB">
        <w:trPr>
          <w:jc w:val="center"/>
        </w:trPr>
        <w:tc>
          <w:tcPr>
            <w:tcW w:w="2409" w:type="dxa"/>
          </w:tcPr>
          <w:p w14:paraId="2DF3D91C" w14:textId="34D61A13" w:rsidR="00E05AAB" w:rsidRDefault="00661C2B" w:rsidP="007912C3">
            <w:pPr>
              <w:spacing w:before="240" w:after="240"/>
              <w:jc w:val="center"/>
            </w:pPr>
            <w:r>
              <w:t>Krishna Goyal</w:t>
            </w:r>
          </w:p>
        </w:tc>
        <w:tc>
          <w:tcPr>
            <w:tcW w:w="2106" w:type="dxa"/>
          </w:tcPr>
          <w:p w14:paraId="7EDCDDC9" w14:textId="5FE9E25F" w:rsidR="00E05AAB" w:rsidRDefault="00661C2B" w:rsidP="007912C3">
            <w:pPr>
              <w:spacing w:before="240" w:after="240"/>
              <w:jc w:val="center"/>
            </w:pPr>
            <w:r>
              <w:t>23FE10CSE00446</w:t>
            </w:r>
          </w:p>
        </w:tc>
        <w:tc>
          <w:tcPr>
            <w:tcW w:w="3870" w:type="dxa"/>
          </w:tcPr>
          <w:p w14:paraId="7A356752" w14:textId="73EE1C54" w:rsidR="00E05AAB" w:rsidRDefault="00661C2B" w:rsidP="007912C3">
            <w:pPr>
              <w:spacing w:before="240" w:after="240"/>
              <w:jc w:val="center"/>
            </w:pPr>
            <w:r>
              <w:t>KRISHNA.23FE10CSE00446@muj.manipal.edu</w:t>
            </w:r>
          </w:p>
        </w:tc>
      </w:tr>
      <w:tr w:rsidR="00E05AAB" w14:paraId="1C809C3C" w14:textId="77777777" w:rsidTr="00E05AAB">
        <w:trPr>
          <w:jc w:val="center"/>
        </w:trPr>
        <w:tc>
          <w:tcPr>
            <w:tcW w:w="2409" w:type="dxa"/>
          </w:tcPr>
          <w:p w14:paraId="6BF25FE2" w14:textId="77777777" w:rsidR="00E05AAB" w:rsidRDefault="00E05AAB" w:rsidP="007912C3">
            <w:pPr>
              <w:spacing w:before="240" w:after="240"/>
              <w:jc w:val="center"/>
            </w:pPr>
          </w:p>
        </w:tc>
        <w:tc>
          <w:tcPr>
            <w:tcW w:w="2106" w:type="dxa"/>
          </w:tcPr>
          <w:p w14:paraId="4C55541E" w14:textId="77777777" w:rsidR="00E05AAB" w:rsidRDefault="00E05AAB" w:rsidP="007912C3">
            <w:pPr>
              <w:spacing w:before="240" w:after="240"/>
              <w:jc w:val="center"/>
            </w:pPr>
          </w:p>
        </w:tc>
        <w:tc>
          <w:tcPr>
            <w:tcW w:w="3870" w:type="dxa"/>
          </w:tcPr>
          <w:p w14:paraId="0088D5D9" w14:textId="77777777" w:rsidR="00E05AAB" w:rsidRDefault="00E05AAB" w:rsidP="007912C3">
            <w:pPr>
              <w:spacing w:before="240" w:after="240"/>
              <w:jc w:val="center"/>
            </w:pPr>
          </w:p>
        </w:tc>
      </w:tr>
    </w:tbl>
    <w:p w14:paraId="0CF65855" w14:textId="77777777" w:rsidR="00E05AAB" w:rsidRDefault="00E05AAB">
      <w:pPr>
        <w:spacing w:after="360"/>
        <w:jc w:val="center"/>
      </w:pPr>
    </w:p>
    <w:tbl>
      <w:tblPr>
        <w:tblW w:w="0" w:type="auto"/>
        <w:jc w:val="center"/>
        <w:tblLook w:val="04A0" w:firstRow="1" w:lastRow="0" w:firstColumn="1" w:lastColumn="0" w:noHBand="0" w:noVBand="1"/>
      </w:tblPr>
      <w:tblGrid>
        <w:gridCol w:w="9360"/>
      </w:tblGrid>
      <w:tr w:rsidR="00B24390" w14:paraId="6EEC6632" w14:textId="77777777">
        <w:trPr>
          <w:jc w:val="center"/>
        </w:trPr>
        <w:tc>
          <w:tcPr>
            <w:tcW w:w="9360" w:type="dxa"/>
            <w:tcBorders>
              <w:left w:val="single" w:sz="24" w:space="0" w:color="1B365D"/>
            </w:tcBorders>
            <w:shd w:val="clear" w:color="auto" w:fill="F4F6F8"/>
          </w:tcPr>
          <w:p w14:paraId="61A76C23" w14:textId="77777777" w:rsidR="00B24390" w:rsidRDefault="00000000">
            <w:pPr>
              <w:spacing w:before="120" w:after="120"/>
              <w:ind w:left="144" w:right="144"/>
            </w:pPr>
            <w:r>
              <w:rPr>
                <w:b/>
                <w:color w:val="1B365D"/>
              </w:rPr>
              <w:t xml:space="preserve">Abstract — </w:t>
            </w:r>
            <w:r>
              <w:t>Evidence retrieval is the first stage of open-domain question answering, and the ranking model chosen at this stage limits what any downstream reader can use. This paper compares four retrieval strategies — TF-IDF, Okapi BM25, a Sentence-Transformer dense retriever, and a Hybrid pipeline built on Reciprocal Rank Fusion (RRF) — on the Natural Questions (NQ) retrieval benchmark, where real Google queries are matched against Wikipedia passages. All systems are scored on 800 test queries with Precision@10, Recall, MAP, nDCG@10 and MRR@10. The dense retriever is the strongest single system (nDCG@10 = 0.825, MAP = 0.784), ahead of BM25 (0.681, 0.633) and TF-IDF (0.490, 0.435). Three-way RRF fusion improves on both lexical baselines (nDCG@10 = 0.749) but does not surpass the dense retriever, and a significance test on per-query nDCG@10 shows the gap is not due to chance (p &lt; 0.001). A fusion ablation shows that BM25 + dense RRF stays close to the dense model (nDCG@10 = 0.804) and marginally exceeds its Recall@50 and Recall@100, whereas adding the weaker TF-IDF ranking dilutes the fused list. Fusion is therefore not automatically beneficial: its value depends on the quality of the rankings being combined.</w:t>
            </w:r>
            <w:r>
              <w:br/>
            </w:r>
            <w:r>
              <w:br/>
            </w:r>
            <w:r>
              <w:rPr>
                <w:b/>
                <w:color w:val="008080"/>
              </w:rPr>
              <w:t xml:space="preserve">Keywords: </w:t>
            </w:r>
            <w:r>
              <w:rPr>
                <w:i/>
              </w:rPr>
              <w:t>Information Retrieval · Reciprocal Rank Fusion · BM25 · Sentence Transformers · Hybrid Search · Natural Questions Dataset</w:t>
            </w:r>
          </w:p>
        </w:tc>
      </w:tr>
    </w:tbl>
    <w:p w14:paraId="7E198ED6" w14:textId="77777777" w:rsidR="00B24390" w:rsidRDefault="00B24390"/>
    <w:p w14:paraId="35899F8E" w14:textId="70163C8D" w:rsidR="00B24390" w:rsidRDefault="00000000">
      <w:pPr>
        <w:keepNext/>
        <w:pageBreakBefore/>
        <w:spacing w:before="360" w:after="120"/>
      </w:pPr>
      <w:r>
        <w:rPr>
          <w:b/>
          <w:color w:val="1B365D"/>
          <w:sz w:val="30"/>
        </w:rPr>
        <w:lastRenderedPageBreak/>
        <w:t>1. Introduction</w:t>
      </w:r>
      <w:r w:rsidR="006616D2">
        <w:rPr>
          <w:b/>
          <w:color w:val="1B365D"/>
          <w:sz w:val="30"/>
        </w:rPr>
        <w:t xml:space="preserve">                                               </w:t>
      </w:r>
    </w:p>
    <w:p w14:paraId="7BBACF24" w14:textId="77777777" w:rsidR="00384A98" w:rsidRDefault="00000000">
      <w:pPr>
        <w:spacing w:after="120"/>
      </w:pPr>
      <w:r>
        <w:t>Information Retrieval (IR) underpins web search, question-answering systems and Retrieval-Augmented Generation (RAG). In open-domain question answering a reader model can only answer from the passages it is given, so the quality of the retrieval stage sets an upper bound on the whole system. Classical retrieval is lexical: each passage is scored by the query terms it shares, using term frequencies and an inverted index. Term Frequency–Inverse Document Frequency (TF-IDF) and the probabilistic Okapi BM25 function [1] are the standard examples, and both remain fast, cheap and surprisingly hard to beat.</w:t>
      </w:r>
    </w:p>
    <w:p w14:paraId="48A99FFF" w14:textId="77777777" w:rsidR="00384A98" w:rsidRDefault="00000000">
      <w:pPr>
        <w:spacing w:after="120"/>
      </w:pPr>
      <w:r>
        <w:t>Lexical scoring fails, however, when a question and its answer-bearing passage describe the same fact in different words. Dense retrievers address this vocabulary mismatch by mapping queries and passages into a shared embedding space, for instance with Sentence-BERT style encoders [2], and ranking by vector similarity. They capture paraphrase and intent, but can underperform on rare names, numbers and exact strings. Reciprocal Rank Fusion (RRF) [3] was proposed to merge several rankings using only rank positions, which avoids having to calibrate BM25 scores against cosine similarities. It is widely used to build hybrid search engines on the assumption that lexical and semantic evidence complement each other.</w:t>
      </w:r>
    </w:p>
    <w:p w14:paraId="2E6BE6A9" w14:textId="77777777" w:rsidR="00384A98" w:rsidRDefault="00000000">
      <w:pPr>
        <w:spacing w:after="120"/>
      </w:pPr>
      <w:r>
        <w:t>This report tests that assumption empirically on Natural Questions (NQ) [4], a benchmark of genuine user questions asked on Google Search. We compare TF-IDF, BM25, a Sentence-Transformer dense retriever and a three-way RRF hybrid under identical preprocessing, corpus and evaluation conditions. The contributions are:</w:t>
      </w:r>
    </w:p>
    <w:p w14:paraId="7C7C9FE2" w14:textId="77777777" w:rsidR="00384A98" w:rsidRDefault="00000000">
      <w:pPr>
        <w:pStyle w:val="ListBullet"/>
        <w:spacing w:after="60"/>
      </w:pPr>
      <w:r>
        <w:rPr>
          <w:b/>
          <w:color w:val="1B365D"/>
        </w:rPr>
        <w:t xml:space="preserve">Implementation: </w:t>
      </w:r>
      <w:r>
        <w:t>lexical retrieval is built on an inverted index written from scratch, with TF-IDF and BM25 (tuned on a held-out development split) scoring directly from its postings.</w:t>
      </w:r>
    </w:p>
    <w:p w14:paraId="540E8DAC" w14:textId="77777777" w:rsidR="00384A98" w:rsidRDefault="00000000">
      <w:pPr>
        <w:pStyle w:val="ListBullet"/>
        <w:spacing w:after="60"/>
      </w:pPr>
      <w:r>
        <w:rPr>
          <w:b/>
          <w:color w:val="1B365D"/>
        </w:rPr>
        <w:t xml:space="preserve">Comparison: </w:t>
      </w:r>
      <w:r>
        <w:t>all four models, plus three RRF variants, are evaluated on 800 test queries using Precision, Recall, MAP, nDCG@10 and MRR@10, with latency measurements.</w:t>
      </w:r>
    </w:p>
    <w:p w14:paraId="4D5DE0F7" w14:textId="77777777" w:rsidR="00384A98" w:rsidRDefault="00000000">
      <w:pPr>
        <w:pStyle w:val="ListBullet"/>
        <w:spacing w:after="60"/>
      </w:pPr>
      <w:r>
        <w:rPr>
          <w:b/>
          <w:color w:val="1B365D"/>
        </w:rPr>
        <w:t xml:space="preserve">Analysis: </w:t>
      </w:r>
      <w:r>
        <w:t>a significance test, a Precision–Recall curve, per-query score distributions and a BM25-versus-dense win/loss breakdown explain when each paradigm succeeds and why fusion did not help here.</w:t>
      </w:r>
    </w:p>
    <w:p w14:paraId="258C49A3" w14:textId="77777777" w:rsidR="00384A98" w:rsidRDefault="00000000">
      <w:pPr>
        <w:spacing w:after="120"/>
      </w:pPr>
      <w:r>
        <w:t>The rest of the report is organised as follows: Section 2 describes the dataset, Section 3 the methodology, Section 4 the experiments and results, and Section 5 concludes.</w:t>
      </w:r>
    </w:p>
    <w:p w14:paraId="11F1A6E4" w14:textId="4BCD9E85" w:rsidR="00B24390" w:rsidRDefault="00000000">
      <w:pPr>
        <w:keepNext/>
        <w:pageBreakBefore/>
        <w:spacing w:before="360" w:after="120"/>
      </w:pPr>
      <w:r>
        <w:rPr>
          <w:b/>
          <w:color w:val="1B365D"/>
          <w:sz w:val="30"/>
        </w:rPr>
        <w:lastRenderedPageBreak/>
        <w:t>2. About Dataset</w:t>
      </w:r>
      <w:r w:rsidR="006616D2">
        <w:rPr>
          <w:b/>
          <w:color w:val="1B365D"/>
          <w:sz w:val="30"/>
        </w:rPr>
        <w:t xml:space="preserve">                                            </w:t>
      </w:r>
    </w:p>
    <w:p w14:paraId="7E9C46E6" w14:textId="77777777" w:rsidR="00B24390" w:rsidRDefault="00000000">
      <w:pPr>
        <w:keepNext/>
        <w:spacing w:before="240" w:after="80"/>
      </w:pPr>
      <w:r>
        <w:rPr>
          <w:b/>
          <w:color w:val="008080"/>
          <w:sz w:val="26"/>
        </w:rPr>
        <w:t>2.1 Visualization of dataset in form of graphs or tables and explanation of dataset using an example</w:t>
      </w:r>
    </w:p>
    <w:p w14:paraId="4C58F019" w14:textId="77777777" w:rsidR="00384A98" w:rsidRDefault="00000000">
      <w:pPr>
        <w:spacing w:after="120"/>
      </w:pPr>
      <w:r>
        <w:t>Natural Questions [4] consists of real, anonymised queries issued to Google Search, each paired with a Wikipedia page that annotators examined for an answer. We use the retrieval formulation of NQ distributed with the BEIR benchmark [5], which has three parts: a corpus of Wikipedia passages (a title plus body text), a set of short natural-language questions, and relevance judgements (qrels) linking each question to the passage(s) that contain its answer.</w:t>
      </w:r>
    </w:p>
    <w:p w14:paraId="0AFFC361" w14:textId="77777777" w:rsidR="00384A98" w:rsidRDefault="00000000">
      <w:pPr>
        <w:spacing w:after="120"/>
      </w:pPr>
      <w:r>
        <w:t>The complete corpus holds roughly 2.68 million passages, too large for repeated indexing and encoding on a laptop, so we built a reproducible subset (random seed 42) that keeps the passages judged relevant to the evaluation queries and fills the rest of the collection with randomly sampled distractor passages. Every relevant passage is retained, so recall stays meaningful, but absolute scores are higher than on the full corpus. Table 1 summarises the subset and its index.</w:t>
      </w:r>
    </w:p>
    <w:p w14:paraId="10F720FB" w14:textId="77777777" w:rsidR="00384A98" w:rsidRDefault="00000000">
      <w:pPr>
        <w:keepNext/>
        <w:spacing w:before="160" w:after="80"/>
      </w:pPr>
      <w:r>
        <w:rPr>
          <w:b/>
          <w:color w:val="1B365D"/>
          <w:sz w:val="20"/>
        </w:rPr>
        <w:t>Table 1. Statistics of the NQ retrieval subset and its inverted index.</w:t>
      </w:r>
    </w:p>
    <w:tbl>
      <w:tblPr>
        <w:tblW w:w="7800" w:type="dxa"/>
        <w:jc w:val="center"/>
        <w:tblLayout w:type="fixed"/>
        <w:tblLook w:val="04A0" w:firstRow="1" w:lastRow="0" w:firstColumn="1" w:lastColumn="0" w:noHBand="0" w:noVBand="1"/>
      </w:tblPr>
      <w:tblGrid>
        <w:gridCol w:w="4200"/>
        <w:gridCol w:w="3600"/>
      </w:tblGrid>
      <w:tr w:rsidR="00384A98" w14:paraId="4E000A37" w14:textId="77777777">
        <w:trPr>
          <w:cantSplit/>
          <w:tblHeader/>
          <w:jc w:val="center"/>
        </w:trPr>
        <w:tc>
          <w:tcPr>
            <w:tcW w:w="4200" w:type="dxa"/>
            <w:tcBorders>
              <w:top w:val="single" w:sz="4" w:space="0" w:color="E0E0E0"/>
              <w:bottom w:val="single" w:sz="4" w:space="0" w:color="E0E0E0"/>
            </w:tcBorders>
            <w:shd w:val="clear" w:color="auto" w:fill="1B365D"/>
          </w:tcPr>
          <w:p w14:paraId="73B8EE42" w14:textId="77777777" w:rsidR="00384A98" w:rsidRDefault="00000000">
            <w:pPr>
              <w:keepNext/>
              <w:spacing w:before="60" w:after="60"/>
            </w:pPr>
            <w:r>
              <w:rPr>
                <w:b/>
                <w:color w:val="FFFFFF"/>
                <w:sz w:val="20"/>
              </w:rPr>
              <w:t>Property</w:t>
            </w:r>
          </w:p>
        </w:tc>
        <w:tc>
          <w:tcPr>
            <w:tcW w:w="3600" w:type="dxa"/>
            <w:tcBorders>
              <w:top w:val="single" w:sz="4" w:space="0" w:color="E0E0E0"/>
              <w:bottom w:val="single" w:sz="4" w:space="0" w:color="E0E0E0"/>
            </w:tcBorders>
            <w:shd w:val="clear" w:color="auto" w:fill="1B365D"/>
          </w:tcPr>
          <w:p w14:paraId="18995935" w14:textId="77777777" w:rsidR="00384A98" w:rsidRDefault="00000000">
            <w:pPr>
              <w:keepNext/>
              <w:spacing w:before="60" w:after="60"/>
              <w:jc w:val="center"/>
            </w:pPr>
            <w:r>
              <w:rPr>
                <w:b/>
                <w:color w:val="FFFFFF"/>
                <w:sz w:val="20"/>
              </w:rPr>
              <w:t>Value</w:t>
            </w:r>
          </w:p>
        </w:tc>
      </w:tr>
      <w:tr w:rsidR="00384A98" w14:paraId="45FD20F0" w14:textId="77777777">
        <w:trPr>
          <w:cantSplit/>
          <w:jc w:val="center"/>
        </w:trPr>
        <w:tc>
          <w:tcPr>
            <w:tcW w:w="4200" w:type="dxa"/>
            <w:tcBorders>
              <w:top w:val="single" w:sz="4" w:space="0" w:color="E0E0E0"/>
              <w:bottom w:val="single" w:sz="4" w:space="0" w:color="E0E0E0"/>
            </w:tcBorders>
            <w:shd w:val="clear" w:color="auto" w:fill="F9FAFB"/>
          </w:tcPr>
          <w:p w14:paraId="7294B027" w14:textId="77777777" w:rsidR="00384A98" w:rsidRDefault="00000000">
            <w:pPr>
              <w:keepNext/>
              <w:spacing w:before="60" w:after="60"/>
            </w:pPr>
            <w:r>
              <w:rPr>
                <w:sz w:val="20"/>
              </w:rPr>
              <w:t>Source benchmark</w:t>
            </w:r>
          </w:p>
        </w:tc>
        <w:tc>
          <w:tcPr>
            <w:tcW w:w="3600" w:type="dxa"/>
            <w:tcBorders>
              <w:top w:val="single" w:sz="4" w:space="0" w:color="E0E0E0"/>
              <w:bottom w:val="single" w:sz="4" w:space="0" w:color="E0E0E0"/>
            </w:tcBorders>
            <w:shd w:val="clear" w:color="auto" w:fill="F9FAFB"/>
          </w:tcPr>
          <w:p w14:paraId="4D36AFA5" w14:textId="77777777" w:rsidR="00384A98" w:rsidRDefault="00000000">
            <w:pPr>
              <w:keepNext/>
              <w:spacing w:before="60" w:after="60"/>
              <w:jc w:val="center"/>
            </w:pPr>
            <w:r>
              <w:rPr>
                <w:sz w:val="20"/>
              </w:rPr>
              <w:t>Natural Questions (BEIR retrieval form)</w:t>
            </w:r>
          </w:p>
        </w:tc>
      </w:tr>
      <w:tr w:rsidR="00384A98" w14:paraId="5002CDB1" w14:textId="77777777">
        <w:trPr>
          <w:cantSplit/>
          <w:jc w:val="center"/>
        </w:trPr>
        <w:tc>
          <w:tcPr>
            <w:tcW w:w="4200" w:type="dxa"/>
            <w:tcBorders>
              <w:top w:val="single" w:sz="4" w:space="0" w:color="E0E0E0"/>
              <w:bottom w:val="single" w:sz="4" w:space="0" w:color="E0E0E0"/>
            </w:tcBorders>
            <w:shd w:val="clear" w:color="auto" w:fill="F9FAFB"/>
          </w:tcPr>
          <w:p w14:paraId="1AE5626B" w14:textId="77777777" w:rsidR="00384A98" w:rsidRDefault="00000000">
            <w:pPr>
              <w:keepNext/>
              <w:spacing w:before="60" w:after="60"/>
            </w:pPr>
            <w:r>
              <w:rPr>
                <w:sz w:val="20"/>
              </w:rPr>
              <w:t>Test queries</w:t>
            </w:r>
          </w:p>
        </w:tc>
        <w:tc>
          <w:tcPr>
            <w:tcW w:w="3600" w:type="dxa"/>
            <w:tcBorders>
              <w:top w:val="single" w:sz="4" w:space="0" w:color="E0E0E0"/>
              <w:bottom w:val="single" w:sz="4" w:space="0" w:color="E0E0E0"/>
            </w:tcBorders>
            <w:shd w:val="clear" w:color="auto" w:fill="F9FAFB"/>
          </w:tcPr>
          <w:p w14:paraId="6CFD646E" w14:textId="77777777" w:rsidR="00384A98" w:rsidRDefault="00000000">
            <w:pPr>
              <w:keepNext/>
              <w:spacing w:before="60" w:after="60"/>
              <w:jc w:val="center"/>
            </w:pPr>
            <w:r>
              <w:rPr>
                <w:sz w:val="20"/>
              </w:rPr>
              <w:t>800</w:t>
            </w:r>
          </w:p>
        </w:tc>
      </w:tr>
      <w:tr w:rsidR="00384A98" w14:paraId="13309983" w14:textId="77777777">
        <w:trPr>
          <w:cantSplit/>
          <w:jc w:val="center"/>
        </w:trPr>
        <w:tc>
          <w:tcPr>
            <w:tcW w:w="4200" w:type="dxa"/>
            <w:tcBorders>
              <w:top w:val="single" w:sz="4" w:space="0" w:color="E0E0E0"/>
              <w:bottom w:val="single" w:sz="4" w:space="0" w:color="E0E0E0"/>
            </w:tcBorders>
            <w:shd w:val="clear" w:color="auto" w:fill="F9FAFB"/>
          </w:tcPr>
          <w:p w14:paraId="1699D15A" w14:textId="77777777" w:rsidR="00384A98" w:rsidRDefault="00000000">
            <w:pPr>
              <w:keepNext/>
              <w:spacing w:before="60" w:after="60"/>
            </w:pPr>
            <w:r>
              <w:rPr>
                <w:sz w:val="20"/>
              </w:rPr>
              <w:t>Passages in indexed corpus</w:t>
            </w:r>
          </w:p>
        </w:tc>
        <w:tc>
          <w:tcPr>
            <w:tcW w:w="3600" w:type="dxa"/>
            <w:tcBorders>
              <w:top w:val="single" w:sz="4" w:space="0" w:color="E0E0E0"/>
              <w:bottom w:val="single" w:sz="4" w:space="0" w:color="E0E0E0"/>
            </w:tcBorders>
            <w:shd w:val="clear" w:color="auto" w:fill="F9FAFB"/>
          </w:tcPr>
          <w:p w14:paraId="26011934" w14:textId="77777777" w:rsidR="00384A98" w:rsidRDefault="00000000">
            <w:pPr>
              <w:keepNext/>
              <w:spacing w:before="60" w:after="60"/>
              <w:jc w:val="center"/>
            </w:pPr>
            <w:r>
              <w:rPr>
                <w:sz w:val="20"/>
                <w:highlight w:val="yellow"/>
              </w:rPr>
              <w:t>[fill from dataset_stats.json]</w:t>
            </w:r>
          </w:p>
        </w:tc>
      </w:tr>
      <w:tr w:rsidR="00384A98" w14:paraId="162D3D11" w14:textId="77777777">
        <w:trPr>
          <w:cantSplit/>
          <w:jc w:val="center"/>
        </w:trPr>
        <w:tc>
          <w:tcPr>
            <w:tcW w:w="4200" w:type="dxa"/>
            <w:tcBorders>
              <w:top w:val="single" w:sz="4" w:space="0" w:color="E0E0E0"/>
              <w:bottom w:val="single" w:sz="4" w:space="0" w:color="E0E0E0"/>
            </w:tcBorders>
            <w:shd w:val="clear" w:color="auto" w:fill="F9FAFB"/>
          </w:tcPr>
          <w:p w14:paraId="4A7E0437" w14:textId="77777777" w:rsidR="00384A98" w:rsidRDefault="00000000">
            <w:pPr>
              <w:keepNext/>
              <w:spacing w:before="60" w:after="60"/>
            </w:pPr>
            <w:r>
              <w:rPr>
                <w:sz w:val="20"/>
              </w:rPr>
              <w:t>Mean passage length (after preprocessing)</w:t>
            </w:r>
          </w:p>
        </w:tc>
        <w:tc>
          <w:tcPr>
            <w:tcW w:w="3600" w:type="dxa"/>
            <w:tcBorders>
              <w:top w:val="single" w:sz="4" w:space="0" w:color="E0E0E0"/>
              <w:bottom w:val="single" w:sz="4" w:space="0" w:color="E0E0E0"/>
            </w:tcBorders>
            <w:shd w:val="clear" w:color="auto" w:fill="F9FAFB"/>
          </w:tcPr>
          <w:p w14:paraId="5F7492B6" w14:textId="77777777" w:rsidR="00384A98" w:rsidRDefault="00000000">
            <w:pPr>
              <w:keepNext/>
              <w:spacing w:before="60" w:after="60"/>
              <w:jc w:val="center"/>
            </w:pPr>
            <w:r>
              <w:rPr>
                <w:sz w:val="20"/>
              </w:rPr>
              <w:t>48.9 tokens</w:t>
            </w:r>
          </w:p>
        </w:tc>
      </w:tr>
      <w:tr w:rsidR="00384A98" w14:paraId="67C95917" w14:textId="77777777">
        <w:trPr>
          <w:cantSplit/>
          <w:jc w:val="center"/>
        </w:trPr>
        <w:tc>
          <w:tcPr>
            <w:tcW w:w="4200" w:type="dxa"/>
            <w:tcBorders>
              <w:top w:val="single" w:sz="4" w:space="0" w:color="E0E0E0"/>
              <w:bottom w:val="single" w:sz="4" w:space="0" w:color="E0E0E0"/>
            </w:tcBorders>
            <w:shd w:val="clear" w:color="auto" w:fill="F9FAFB"/>
          </w:tcPr>
          <w:p w14:paraId="608C6CB2" w14:textId="77777777" w:rsidR="00384A98" w:rsidRDefault="00000000">
            <w:pPr>
              <w:keepNext/>
              <w:spacing w:before="60" w:after="60"/>
            </w:pPr>
            <w:r>
              <w:rPr>
                <w:sz w:val="20"/>
              </w:rPr>
              <w:t>Vocabulary size / total postings</w:t>
            </w:r>
          </w:p>
        </w:tc>
        <w:tc>
          <w:tcPr>
            <w:tcW w:w="3600" w:type="dxa"/>
            <w:tcBorders>
              <w:top w:val="single" w:sz="4" w:space="0" w:color="E0E0E0"/>
              <w:bottom w:val="single" w:sz="4" w:space="0" w:color="E0E0E0"/>
            </w:tcBorders>
            <w:shd w:val="clear" w:color="auto" w:fill="F9FAFB"/>
          </w:tcPr>
          <w:p w14:paraId="0632D95C" w14:textId="77777777" w:rsidR="00384A98" w:rsidRDefault="00000000">
            <w:pPr>
              <w:keepNext/>
              <w:spacing w:before="60" w:after="60"/>
              <w:jc w:val="center"/>
            </w:pPr>
            <w:r>
              <w:rPr>
                <w:sz w:val="20"/>
              </w:rPr>
              <w:t>176,623 terms / 3,856,444</w:t>
            </w:r>
          </w:p>
        </w:tc>
      </w:tr>
      <w:tr w:rsidR="00384A98" w14:paraId="2A47988F" w14:textId="77777777">
        <w:trPr>
          <w:cantSplit/>
          <w:jc w:val="center"/>
        </w:trPr>
        <w:tc>
          <w:tcPr>
            <w:tcW w:w="4200" w:type="dxa"/>
            <w:tcBorders>
              <w:top w:val="single" w:sz="4" w:space="0" w:color="E0E0E0"/>
              <w:bottom w:val="single" w:sz="4" w:space="0" w:color="E0E0E0"/>
            </w:tcBorders>
            <w:shd w:val="clear" w:color="auto" w:fill="F9FAFB"/>
          </w:tcPr>
          <w:p w14:paraId="326BA9D0" w14:textId="77777777" w:rsidR="00384A98" w:rsidRDefault="00000000">
            <w:pPr>
              <w:spacing w:before="60" w:after="60"/>
            </w:pPr>
            <w:r>
              <w:rPr>
                <w:sz w:val="20"/>
              </w:rPr>
              <w:t>Subset sampling seed</w:t>
            </w:r>
          </w:p>
        </w:tc>
        <w:tc>
          <w:tcPr>
            <w:tcW w:w="3600" w:type="dxa"/>
            <w:tcBorders>
              <w:top w:val="single" w:sz="4" w:space="0" w:color="E0E0E0"/>
              <w:bottom w:val="single" w:sz="4" w:space="0" w:color="E0E0E0"/>
            </w:tcBorders>
            <w:shd w:val="clear" w:color="auto" w:fill="F9FAFB"/>
          </w:tcPr>
          <w:p w14:paraId="675E5DF6" w14:textId="77777777" w:rsidR="00384A98" w:rsidRDefault="00000000">
            <w:pPr>
              <w:spacing w:before="60" w:after="60"/>
              <w:jc w:val="center"/>
            </w:pPr>
            <w:r>
              <w:rPr>
                <w:sz w:val="20"/>
              </w:rPr>
              <w:t>42</w:t>
            </w:r>
          </w:p>
        </w:tc>
      </w:tr>
    </w:tbl>
    <w:p w14:paraId="17B478E6" w14:textId="77777777" w:rsidR="00384A98" w:rsidRDefault="00384A98">
      <w:pPr>
        <w:spacing w:after="60"/>
      </w:pPr>
    </w:p>
    <w:p w14:paraId="018EC5F5" w14:textId="77777777" w:rsidR="00384A98" w:rsidRDefault="00000000">
      <w:pPr>
        <w:keepNext/>
        <w:spacing w:after="80"/>
      </w:pPr>
      <w:r>
        <w:rPr>
          <w:b/>
          <w:color w:val="1B365D"/>
        </w:rPr>
        <w:t>Example record</w:t>
      </w:r>
      <w:r>
        <w:t xml:space="preserve"> (constructed to show the format; </w:t>
      </w:r>
      <w:r>
        <w:rPr>
          <w:i/>
        </w:rPr>
        <w:t>not</w:t>
      </w:r>
      <w:r>
        <w:t xml:space="preserve"> taken from the evaluation set):</w:t>
      </w:r>
    </w:p>
    <w:tbl>
      <w:tblPr>
        <w:tblW w:w="9360" w:type="dxa"/>
        <w:jc w:val="center"/>
        <w:tblLayout w:type="fixed"/>
        <w:tblLook w:val="04A0" w:firstRow="1" w:lastRow="0" w:firstColumn="1" w:lastColumn="0" w:noHBand="0" w:noVBand="1"/>
      </w:tblPr>
      <w:tblGrid>
        <w:gridCol w:w="9360"/>
      </w:tblGrid>
      <w:tr w:rsidR="00384A98" w14:paraId="068D8E22" w14:textId="77777777">
        <w:trPr>
          <w:jc w:val="center"/>
        </w:trPr>
        <w:tc>
          <w:tcPr>
            <w:tcW w:w="9360" w:type="dxa"/>
            <w:tcBorders>
              <w:left w:val="single" w:sz="24" w:space="0" w:color="1B365D"/>
            </w:tcBorders>
            <w:shd w:val="clear" w:color="auto" w:fill="F4F6F8"/>
          </w:tcPr>
          <w:p w14:paraId="5D4CF688" w14:textId="77777777" w:rsidR="00384A98" w:rsidRDefault="00000000">
            <w:pPr>
              <w:keepNext/>
              <w:spacing w:before="100" w:after="60"/>
              <w:ind w:left="144" w:right="144"/>
            </w:pPr>
            <w:r>
              <w:rPr>
                <w:b/>
                <w:color w:val="1B365D"/>
              </w:rPr>
              <w:t>Query:</w:t>
            </w:r>
            <w:r>
              <w:t xml:space="preserve"> </w:t>
            </w:r>
            <w:r>
              <w:rPr>
                <w:i/>
              </w:rPr>
              <w:t>who wrote the declaration of independence</w:t>
            </w:r>
          </w:p>
          <w:p w14:paraId="6C9AB7E4" w14:textId="77777777" w:rsidR="00384A98" w:rsidRDefault="00000000">
            <w:pPr>
              <w:keepNext/>
              <w:spacing w:after="60"/>
              <w:ind w:left="144" w:right="144"/>
            </w:pPr>
            <w:r>
              <w:rPr>
                <w:b/>
                <w:color w:val="1B365D"/>
              </w:rPr>
              <w:t>Relevant passage</w:t>
            </w:r>
            <w:r>
              <w:t xml:space="preserve"> (title: United States Declaration of Independence): </w:t>
            </w:r>
            <w:r>
              <w:rPr>
                <w:i/>
              </w:rPr>
              <w:t>The document was drafted principally by Thomas Jefferson, working with a committee of five, and adopted by the Second Continental Congress in July 1776.</w:t>
            </w:r>
            <w:r>
              <w:t xml:space="preserve"> </w:t>
            </w:r>
            <w:r>
              <w:rPr>
                <w:b/>
                <w:color w:val="1B365D"/>
              </w:rPr>
              <w:t>Qrel:</w:t>
            </w:r>
            <w:r>
              <w:t xml:space="preserve"> (query, passage) → 1</w:t>
            </w:r>
          </w:p>
        </w:tc>
      </w:tr>
    </w:tbl>
    <w:p w14:paraId="7F925BD4" w14:textId="77777777" w:rsidR="00384A98" w:rsidRDefault="00384A98">
      <w:pPr>
        <w:spacing w:after="80"/>
      </w:pPr>
    </w:p>
    <w:p w14:paraId="2CD9DE09" w14:textId="77777777" w:rsidR="00384A98" w:rsidRDefault="00000000">
      <w:pPr>
        <w:spacing w:after="120"/>
      </w:pPr>
      <w:r>
        <w:t>The question says “wrote” while the passage says “drafted”, so after stemming the two never match: a lexical model must rely on the other shared terms, whereas a dense encoder can link the verbs semantically. NQ has very few relevant passages per query (about 1.2 on average, implied by the dense model's P@10/R@10 ratio), so Precision@10 cannot exceed roughly 0.1 and is best read alongside Recall, MAP and nDCG.</w:t>
      </w:r>
    </w:p>
    <w:p w14:paraId="3D27C939" w14:textId="191BB287" w:rsidR="00B24390" w:rsidRDefault="00000000">
      <w:pPr>
        <w:keepNext/>
        <w:pageBreakBefore/>
        <w:spacing w:before="360" w:after="120"/>
      </w:pPr>
      <w:r>
        <w:rPr>
          <w:b/>
          <w:color w:val="1B365D"/>
          <w:sz w:val="30"/>
        </w:rPr>
        <w:lastRenderedPageBreak/>
        <w:t>3. Methodology</w:t>
      </w:r>
      <w:r w:rsidR="006616D2">
        <w:rPr>
          <w:b/>
          <w:color w:val="1B365D"/>
          <w:sz w:val="30"/>
        </w:rPr>
        <w:t xml:space="preserve">                                         </w:t>
      </w:r>
    </w:p>
    <w:p w14:paraId="3A5F7443" w14:textId="77777777" w:rsidR="00384A98" w:rsidRDefault="00000000">
      <w:pPr>
        <w:spacing w:after="120"/>
      </w:pPr>
      <w:r>
        <w:t>Our pipeline applies the same document processing, indexing, ranking and evaluation steps to every model. The complete workflow, from the raw query to the final fused ranking, is shown in Figure 1.</w:t>
      </w:r>
    </w:p>
    <w:tbl>
      <w:tblPr>
        <w:tblW w:w="0" w:type="auto"/>
        <w:jc w:val="center"/>
        <w:tblLook w:val="04A0" w:firstRow="1" w:lastRow="0" w:firstColumn="1" w:lastColumn="0" w:noHBand="0" w:noVBand="1"/>
      </w:tblPr>
      <w:tblGrid>
        <w:gridCol w:w="9360"/>
      </w:tblGrid>
      <w:tr w:rsidR="00B24390" w14:paraId="3073EE29"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14:paraId="7AFBFF09" w14:textId="77777777" w:rsidR="00B24390" w:rsidRDefault="00000000">
            <w:pPr>
              <w:spacing w:before="160" w:after="160"/>
              <w:jc w:val="center"/>
            </w:pPr>
            <w:r>
              <w:rPr>
                <w:rFonts w:ascii="Consolas" w:hAnsi="Consolas"/>
                <w:color w:val="1B365D"/>
                <w:sz w:val="19"/>
              </w:rPr>
              <w:t>[ User Input Query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Query Preprocessing &amp; Tokenization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xml:space="preserve"> │                                      │</w:t>
            </w:r>
            <w:r>
              <w:rPr>
                <w:rFonts w:ascii="Consolas" w:hAnsi="Consolas"/>
                <w:color w:val="1B365D"/>
                <w:sz w:val="19"/>
              </w:rPr>
              <w:br/>
              <w:t xml:space="preserve"> ▼                                      ▼</w:t>
            </w:r>
            <w:r>
              <w:rPr>
                <w:rFonts w:ascii="Consolas" w:hAnsi="Consolas"/>
                <w:color w:val="1B365D"/>
                <w:sz w:val="19"/>
              </w:rPr>
              <w:br/>
              <w:t>[ Sparse Retrieval Path ]              [ Dense Retrieval Path ]</w:t>
            </w:r>
            <w:r>
              <w:rPr>
                <w:rFonts w:ascii="Consolas" w:hAnsi="Consolas"/>
                <w:color w:val="1B365D"/>
                <w:sz w:val="19"/>
              </w:rPr>
              <w:br/>
              <w:t xml:space="preserve"> ├── Inverted Index Lookup              └── Sentence Transformer Encoder</w:t>
            </w:r>
            <w:r>
              <w:rPr>
                <w:rFonts w:ascii="Consolas" w:hAnsi="Consolas"/>
                <w:color w:val="1B365D"/>
                <w:sz w:val="19"/>
              </w:rPr>
              <w:br/>
              <w:t xml:space="preserve"> ├── TF-IDF &amp; Okapi BM25 Score             └── Dense Vector Cosine Similarity</w:t>
            </w:r>
            <w:r>
              <w:rPr>
                <w:rFonts w:ascii="Consolas" w:hAnsi="Consolas"/>
                <w:color w:val="1B365D"/>
                <w:sz w:val="19"/>
              </w:rPr>
              <w:br/>
              <w:t xml:space="preserve"> └── Top-K Sparse Ranked List              └── Top-K Dense Ranked List</w:t>
            </w:r>
            <w:r>
              <w:rPr>
                <w:rFonts w:ascii="Consolas" w:hAnsi="Consolas"/>
                <w:color w:val="1B365D"/>
                <w:sz w:val="19"/>
              </w:rPr>
              <w:br/>
              <w:t xml:space="preserve"> │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Reciprocal Rank Fusion (RRF) Aggregator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Final Aggregated Ranking &amp; Top-K Results ]</w:t>
            </w:r>
          </w:p>
        </w:tc>
      </w:tr>
    </w:tbl>
    <w:p w14:paraId="6A847854" w14:textId="77777777" w:rsidR="00B24390" w:rsidRDefault="00000000">
      <w:pPr>
        <w:spacing w:before="80" w:after="240"/>
        <w:jc w:val="center"/>
      </w:pPr>
      <w:r>
        <w:rPr>
          <w:i/>
          <w:color w:val="666666"/>
          <w:sz w:val="19"/>
        </w:rPr>
        <w:t>Figure 1: Architectural Flowchart of the Hybrid Reciprocal Rank Fusion (RRF) Retrieval Pipeline.</w:t>
      </w:r>
    </w:p>
    <w:p w14:paraId="77091BC2" w14:textId="77777777" w:rsidR="00B24390" w:rsidRDefault="00000000">
      <w:pPr>
        <w:keepNext/>
        <w:spacing w:before="240" w:after="80"/>
      </w:pPr>
      <w:r>
        <w:rPr>
          <w:b/>
          <w:color w:val="008080"/>
          <w:sz w:val="26"/>
        </w:rPr>
        <w:t>3.1 Preprocessing and Indexing</w:t>
      </w:r>
    </w:p>
    <w:p w14:paraId="337ADB3C" w14:textId="77777777" w:rsidR="00384A98" w:rsidRDefault="00000000">
      <w:pPr>
        <w:spacing w:after="120"/>
      </w:pPr>
      <w:r>
        <w:t>For the lexical models, passage text is lowercased, stripped of markup, URLs and punctuation, tokenised with NLTK, filtered with an English stop-word list and reduced to stems with the Snowball stemmer; the passage title is prepended to its text. From the resulting tokens we built an inverted index from scratch that maps each term to its postings (document identifier and term frequency) and stores document lengths and document frequencies. The index contains 176,623 terms and 3,856,444 postings, with a mean passage length of 48.9 tokens. The dense path skips stemming and stop-word removal and encodes lightly cleaned raw text, because transformer encoders depend on function words and exact word forms.</w:t>
      </w:r>
    </w:p>
    <w:p w14:paraId="0B396D15" w14:textId="77777777" w:rsidR="00B24390" w:rsidRDefault="00000000">
      <w:pPr>
        <w:keepNext/>
        <w:spacing w:before="240" w:after="80"/>
      </w:pPr>
      <w:r>
        <w:rPr>
          <w:b/>
          <w:color w:val="008080"/>
          <w:sz w:val="26"/>
        </w:rPr>
        <w:t>3.2 Ranking Models</w:t>
      </w:r>
    </w:p>
    <w:p w14:paraId="351A81C4" w14:textId="77777777" w:rsidR="00384A98" w:rsidRDefault="00000000">
      <w:pPr>
        <w:spacing w:after="60"/>
      </w:pPr>
      <w:r>
        <w:t>We evaluate four ranking models:</w:t>
      </w:r>
    </w:p>
    <w:p w14:paraId="54F10C73" w14:textId="14EFDE88" w:rsidR="00384A98" w:rsidRDefault="00000000">
      <w:pPr>
        <w:pStyle w:val="ListBullet"/>
        <w:spacing w:after="60"/>
      </w:pPr>
      <w:r>
        <w:rPr>
          <w:b/>
          <w:color w:val="1B365D"/>
        </w:rPr>
        <w:t xml:space="preserve">TF-IDF Vector Space Model: </w:t>
      </w:r>
      <w:r>
        <w:t>scores passages with a log-scaled term frequency multiplied by the inverse document frequency log(Nf), and ranks them by cosine similarity with length normalisation, computed directly from the inverted index.</w:t>
      </w:r>
    </w:p>
    <w:p w14:paraId="3E778639" w14:textId="77777777" w:rsidR="00384A98" w:rsidRDefault="00000000">
      <w:pPr>
        <w:pStyle w:val="ListBullet"/>
        <w:spacing w:after="60"/>
      </w:pPr>
      <w:r>
        <w:rPr>
          <w:b/>
          <w:color w:val="1B365D"/>
        </w:rPr>
        <w:lastRenderedPageBreak/>
        <w:t xml:space="preserve">Okapi BM25: </w:t>
      </w:r>
      <w:r>
        <w:t>a probabilistic function [1] with term-frequency saturation (k1) and length normalisation (b). Both parameters were tuned on a held-out development split by grid search over k1 ∈ {0.9, 1.2, 1.5, 2.0} and b ∈ {0.4, 0.6, 0.75, 0.9}; the best setting was k1 = 0.9, b = 0.4 (dev nDCG@10 = 0.663, Figure 3).</w:t>
      </w:r>
    </w:p>
    <w:p w14:paraId="0A650882" w14:textId="77777777" w:rsidR="00384A98" w:rsidRDefault="00000000">
      <w:pPr>
        <w:pStyle w:val="ListBullet"/>
        <w:spacing w:after="60"/>
      </w:pPr>
      <w:r>
        <w:rPr>
          <w:b/>
          <w:color w:val="1B365D"/>
        </w:rPr>
        <w:t xml:space="preserve">Sentence Transformer (Dense Search): </w:t>
      </w:r>
      <w:r>
        <w:t>a MiniLM-based encoder [2, 6] (all-MiniLM-L6-v2) embeds queries and passages into the same vector space; passage embeddings are computed once offline and passages are ranked by cosine similarity to the query embedding.</w:t>
      </w:r>
    </w:p>
    <w:p w14:paraId="610427DC" w14:textId="77777777" w:rsidR="00384A98" w:rsidRDefault="00000000">
      <w:pPr>
        <w:pStyle w:val="ListBullet"/>
        <w:spacing w:after="60"/>
      </w:pPr>
      <w:r>
        <w:rPr>
          <w:b/>
          <w:color w:val="1B365D"/>
        </w:rPr>
        <w:t xml:space="preserve">Hybrid Reciprocal Rank Fusion (RRF): </w:t>
      </w:r>
      <w:r>
        <w:t>merges the TF-IDF, BM25 and dense ranked lists into one list using only rank positions (Section 3.3). Two-way variants are also evaluated as an ablation.</w:t>
      </w:r>
    </w:p>
    <w:p w14:paraId="777A0B72" w14:textId="77777777" w:rsidR="00B24390" w:rsidRDefault="00000000">
      <w:pPr>
        <w:keepNext/>
        <w:spacing w:before="240" w:after="80"/>
      </w:pPr>
      <w:r>
        <w:rPr>
          <w:b/>
          <w:color w:val="008080"/>
          <w:sz w:val="26"/>
        </w:rPr>
        <w:t>3.3 Reciprocal Rank Fusion Formulation</w:t>
      </w:r>
    </w:p>
    <w:p w14:paraId="2015FD2B" w14:textId="77179933" w:rsidR="00384A98" w:rsidRDefault="00000000">
      <w:pPr>
        <w:spacing w:after="120"/>
      </w:pPr>
      <w:r>
        <w:t xml:space="preserve">RRF combines the positions that a document occupies in several ranked lists. Given a set of rankers M and a smoothing constant k (set to </w:t>
      </w:r>
      <w:proofErr w:type="gramStart"/>
      <w:r>
        <w:t>60,</w:t>
      </w:r>
      <w:r w:rsidR="002A6745">
        <w:t>\</w:t>
      </w:r>
      <w:proofErr w:type="gramEnd"/>
      <w:r w:rsidR="002A6745">
        <w:t>\\</w:t>
      </w:r>
      <w:r>
        <w:t xml:space="preserve"> following [3]), the fused score of a document d is:</w:t>
      </w:r>
    </w:p>
    <w:p w14:paraId="069E0BB4" w14:textId="77777777" w:rsidR="00B24390" w:rsidRDefault="00000000">
      <w:pPr>
        <w:spacing w:before="120" w:after="120"/>
        <w:jc w:val="center"/>
      </w:pPr>
      <w:r>
        <w:rPr>
          <w:rFonts w:ascii="Cambria Math" w:hAnsi="Cambria Math"/>
          <w:b/>
          <w:color w:val="1B365D"/>
        </w:rPr>
        <w:t>RRF_Score(d ∈ D) = ∑ (m ∈ M)  1 / (k + r_m(d))</w:t>
      </w:r>
    </w:p>
    <w:p w14:paraId="7833AAE4" w14:textId="77777777" w:rsidR="00384A98" w:rsidRDefault="00000000">
      <w:pPr>
        <w:spacing w:after="120"/>
      </w:pPr>
      <w:r>
        <w:t>where r_m(d) is the 1-based rank of d in the list produced by ranker m (documents missing from a list contribute nothing). The top 100 results of each ranker are fused with equal weights. Because only ranks are used, no score normalisation between BM25 values and cosine similarities is needed. The same property has a cost: a document ranked moderately well by several weak rankers can outscore one ranked first by a single strong ranker, which becomes relevant in Section 4.</w:t>
      </w:r>
    </w:p>
    <w:p w14:paraId="712FD700" w14:textId="4AED5CF4" w:rsidR="00B24390" w:rsidRDefault="00000000">
      <w:pPr>
        <w:keepNext/>
        <w:pageBreakBefore/>
        <w:spacing w:before="360" w:after="120"/>
      </w:pPr>
      <w:r>
        <w:rPr>
          <w:b/>
          <w:color w:val="1B365D"/>
          <w:sz w:val="30"/>
        </w:rPr>
        <w:lastRenderedPageBreak/>
        <w:t>4. Experimental Setup and Performance Analysis</w:t>
      </w:r>
      <w:r w:rsidR="006616D2">
        <w:rPr>
          <w:b/>
          <w:color w:val="1B365D"/>
          <w:sz w:val="30"/>
        </w:rPr>
        <w:t xml:space="preserve">                 </w:t>
      </w:r>
    </w:p>
    <w:p w14:paraId="535803AD" w14:textId="77777777" w:rsidR="00384A98" w:rsidRDefault="00000000">
      <w:pPr>
        <w:spacing w:after="120"/>
      </w:pPr>
      <w:r>
        <w:t>All models are evaluated on the same 800 NQ test queries and the same relevance judgements. We report Precision@10 (P@10), Recall@10/50/100, Mean Average Precision (MAP), nDCG@10 with binary gains, and MRR@10, together with mean per-query latency. Significance is assessed with a test on per-query nDCG@10 differences at α = 0.05. Table 2 gives the main comparison, using the four models in the specification.</w:t>
      </w:r>
    </w:p>
    <w:p w14:paraId="7291D43E" w14:textId="7FF34889" w:rsidR="00384A98" w:rsidRDefault="00000000">
      <w:pPr>
        <w:keepNext/>
        <w:spacing w:before="160" w:after="80"/>
      </w:pPr>
      <w:r>
        <w:rPr>
          <w:b/>
          <w:color w:val="1B365D"/>
          <w:sz w:val="20"/>
        </w:rPr>
        <w:t>Table 2. Performance comparison of sear models on the Natural Questions (NQ) retrieval subset.</w:t>
      </w:r>
    </w:p>
    <w:tbl>
      <w:tblPr>
        <w:tblW w:w="9360" w:type="dxa"/>
        <w:jc w:val="center"/>
        <w:tblLayout w:type="fixed"/>
        <w:tblLook w:val="04A0" w:firstRow="1" w:lastRow="0" w:firstColumn="1" w:lastColumn="0" w:noHBand="0" w:noVBand="1"/>
      </w:tblPr>
      <w:tblGrid>
        <w:gridCol w:w="2900"/>
        <w:gridCol w:w="1615"/>
        <w:gridCol w:w="1615"/>
        <w:gridCol w:w="1615"/>
        <w:gridCol w:w="1615"/>
      </w:tblGrid>
      <w:tr w:rsidR="00384A98" w14:paraId="386A1AF9" w14:textId="77777777">
        <w:trPr>
          <w:cantSplit/>
          <w:tblHeader/>
          <w:jc w:val="center"/>
        </w:trPr>
        <w:tc>
          <w:tcPr>
            <w:tcW w:w="2900" w:type="dxa"/>
            <w:tcBorders>
              <w:top w:val="single" w:sz="4" w:space="0" w:color="E0E0E0"/>
              <w:bottom w:val="single" w:sz="4" w:space="0" w:color="E0E0E0"/>
            </w:tcBorders>
            <w:shd w:val="clear" w:color="auto" w:fill="1B365D"/>
          </w:tcPr>
          <w:p w14:paraId="5F884AE7" w14:textId="77777777" w:rsidR="00384A98" w:rsidRDefault="00000000">
            <w:pPr>
              <w:keepNext/>
              <w:spacing w:before="60" w:after="60"/>
            </w:pPr>
            <w:r>
              <w:rPr>
                <w:b/>
                <w:color w:val="FFFFFF"/>
                <w:sz w:val="20"/>
              </w:rPr>
              <w:t>Ranking Model</w:t>
            </w:r>
          </w:p>
        </w:tc>
        <w:tc>
          <w:tcPr>
            <w:tcW w:w="1615" w:type="dxa"/>
            <w:tcBorders>
              <w:top w:val="single" w:sz="4" w:space="0" w:color="E0E0E0"/>
              <w:bottom w:val="single" w:sz="4" w:space="0" w:color="E0E0E0"/>
            </w:tcBorders>
            <w:shd w:val="clear" w:color="auto" w:fill="1B365D"/>
          </w:tcPr>
          <w:p w14:paraId="0AAE6DD7" w14:textId="77777777" w:rsidR="00384A98" w:rsidRDefault="00000000">
            <w:pPr>
              <w:keepNext/>
              <w:spacing w:before="60" w:after="60"/>
              <w:jc w:val="center"/>
            </w:pPr>
            <w:r>
              <w:rPr>
                <w:b/>
                <w:color w:val="FFFFFF"/>
                <w:sz w:val="20"/>
              </w:rPr>
              <w:t>Precision@10</w:t>
            </w:r>
          </w:p>
        </w:tc>
        <w:tc>
          <w:tcPr>
            <w:tcW w:w="1615" w:type="dxa"/>
            <w:tcBorders>
              <w:top w:val="single" w:sz="4" w:space="0" w:color="E0E0E0"/>
              <w:bottom w:val="single" w:sz="4" w:space="0" w:color="E0E0E0"/>
            </w:tcBorders>
            <w:shd w:val="clear" w:color="auto" w:fill="1B365D"/>
          </w:tcPr>
          <w:p w14:paraId="60B8967D" w14:textId="77777777" w:rsidR="00384A98" w:rsidRDefault="00000000">
            <w:pPr>
              <w:keepNext/>
              <w:spacing w:before="60" w:after="60"/>
              <w:jc w:val="center"/>
            </w:pPr>
            <w:r>
              <w:rPr>
                <w:b/>
                <w:color w:val="FFFFFF"/>
                <w:sz w:val="20"/>
              </w:rPr>
              <w:t>Recall@100</w:t>
            </w:r>
          </w:p>
        </w:tc>
        <w:tc>
          <w:tcPr>
            <w:tcW w:w="1615" w:type="dxa"/>
            <w:tcBorders>
              <w:top w:val="single" w:sz="4" w:space="0" w:color="E0E0E0"/>
              <w:bottom w:val="single" w:sz="4" w:space="0" w:color="E0E0E0"/>
            </w:tcBorders>
            <w:shd w:val="clear" w:color="auto" w:fill="1B365D"/>
          </w:tcPr>
          <w:p w14:paraId="24721AE5" w14:textId="77777777" w:rsidR="00384A98" w:rsidRDefault="00000000">
            <w:pPr>
              <w:keepNext/>
              <w:spacing w:before="60" w:after="60"/>
              <w:jc w:val="center"/>
            </w:pPr>
            <w:r>
              <w:rPr>
                <w:b/>
                <w:color w:val="FFFFFF"/>
                <w:sz w:val="20"/>
              </w:rPr>
              <w:t>MAP</w:t>
            </w:r>
          </w:p>
        </w:tc>
        <w:tc>
          <w:tcPr>
            <w:tcW w:w="1615" w:type="dxa"/>
            <w:tcBorders>
              <w:top w:val="single" w:sz="4" w:space="0" w:color="E0E0E0"/>
              <w:bottom w:val="single" w:sz="4" w:space="0" w:color="E0E0E0"/>
            </w:tcBorders>
            <w:shd w:val="clear" w:color="auto" w:fill="1B365D"/>
          </w:tcPr>
          <w:p w14:paraId="487E82BB" w14:textId="77777777" w:rsidR="00384A98" w:rsidRDefault="00000000">
            <w:pPr>
              <w:keepNext/>
              <w:spacing w:before="60" w:after="60"/>
              <w:jc w:val="center"/>
            </w:pPr>
            <w:r>
              <w:rPr>
                <w:b/>
                <w:color w:val="FFFFFF"/>
                <w:sz w:val="20"/>
              </w:rPr>
              <w:t>nDCG@10</w:t>
            </w:r>
          </w:p>
        </w:tc>
      </w:tr>
      <w:tr w:rsidR="00384A98" w14:paraId="404A6F34" w14:textId="77777777">
        <w:trPr>
          <w:cantSplit/>
          <w:jc w:val="center"/>
        </w:trPr>
        <w:tc>
          <w:tcPr>
            <w:tcW w:w="2900" w:type="dxa"/>
            <w:tcBorders>
              <w:top w:val="single" w:sz="4" w:space="0" w:color="E0E0E0"/>
              <w:bottom w:val="single" w:sz="4" w:space="0" w:color="E0E0E0"/>
            </w:tcBorders>
            <w:shd w:val="clear" w:color="auto" w:fill="F9FAFB"/>
          </w:tcPr>
          <w:p w14:paraId="59999088" w14:textId="77777777" w:rsidR="00384A98" w:rsidRDefault="00000000">
            <w:pPr>
              <w:keepNext/>
              <w:spacing w:before="60" w:after="60"/>
            </w:pPr>
            <w:r>
              <w:rPr>
                <w:sz w:val="20"/>
              </w:rPr>
              <w:t>TF-IDF</w:t>
            </w:r>
          </w:p>
        </w:tc>
        <w:tc>
          <w:tcPr>
            <w:tcW w:w="1615" w:type="dxa"/>
            <w:tcBorders>
              <w:top w:val="single" w:sz="4" w:space="0" w:color="E0E0E0"/>
              <w:bottom w:val="single" w:sz="4" w:space="0" w:color="E0E0E0"/>
            </w:tcBorders>
            <w:shd w:val="clear" w:color="auto" w:fill="F9FAFB"/>
          </w:tcPr>
          <w:p w14:paraId="734A9595" w14:textId="77777777" w:rsidR="00384A98" w:rsidRDefault="00000000">
            <w:pPr>
              <w:keepNext/>
              <w:spacing w:before="60" w:after="60"/>
              <w:jc w:val="center"/>
            </w:pPr>
            <w:r>
              <w:rPr>
                <w:sz w:val="20"/>
              </w:rPr>
              <w:t>0.0816</w:t>
            </w:r>
          </w:p>
        </w:tc>
        <w:tc>
          <w:tcPr>
            <w:tcW w:w="1615" w:type="dxa"/>
            <w:tcBorders>
              <w:top w:val="single" w:sz="4" w:space="0" w:color="E0E0E0"/>
              <w:bottom w:val="single" w:sz="4" w:space="0" w:color="E0E0E0"/>
            </w:tcBorders>
            <w:shd w:val="clear" w:color="auto" w:fill="F9FAFB"/>
          </w:tcPr>
          <w:p w14:paraId="0F596FB7" w14:textId="77777777" w:rsidR="00384A98" w:rsidRDefault="00000000">
            <w:pPr>
              <w:keepNext/>
              <w:spacing w:before="60" w:after="60"/>
              <w:jc w:val="center"/>
            </w:pPr>
            <w:r>
              <w:rPr>
                <w:sz w:val="20"/>
              </w:rPr>
              <w:t>0.9223</w:t>
            </w:r>
          </w:p>
        </w:tc>
        <w:tc>
          <w:tcPr>
            <w:tcW w:w="1615" w:type="dxa"/>
            <w:tcBorders>
              <w:top w:val="single" w:sz="4" w:space="0" w:color="E0E0E0"/>
              <w:bottom w:val="single" w:sz="4" w:space="0" w:color="E0E0E0"/>
            </w:tcBorders>
            <w:shd w:val="clear" w:color="auto" w:fill="F9FAFB"/>
          </w:tcPr>
          <w:p w14:paraId="751F793F" w14:textId="77777777" w:rsidR="00384A98" w:rsidRDefault="00000000">
            <w:pPr>
              <w:keepNext/>
              <w:spacing w:before="60" w:after="60"/>
              <w:jc w:val="center"/>
            </w:pPr>
            <w:r>
              <w:rPr>
                <w:sz w:val="20"/>
              </w:rPr>
              <w:t>0.4352</w:t>
            </w:r>
          </w:p>
        </w:tc>
        <w:tc>
          <w:tcPr>
            <w:tcW w:w="1615" w:type="dxa"/>
            <w:tcBorders>
              <w:top w:val="single" w:sz="4" w:space="0" w:color="E0E0E0"/>
              <w:bottom w:val="single" w:sz="4" w:space="0" w:color="E0E0E0"/>
            </w:tcBorders>
            <w:shd w:val="clear" w:color="auto" w:fill="F9FAFB"/>
          </w:tcPr>
          <w:p w14:paraId="537B67D0" w14:textId="77777777" w:rsidR="00384A98" w:rsidRDefault="00000000">
            <w:pPr>
              <w:keepNext/>
              <w:spacing w:before="60" w:after="60"/>
              <w:jc w:val="center"/>
            </w:pPr>
            <w:r>
              <w:rPr>
                <w:sz w:val="20"/>
              </w:rPr>
              <w:t>0.4903</w:t>
            </w:r>
          </w:p>
        </w:tc>
      </w:tr>
      <w:tr w:rsidR="00384A98" w14:paraId="7513AC43" w14:textId="77777777">
        <w:trPr>
          <w:cantSplit/>
          <w:jc w:val="center"/>
        </w:trPr>
        <w:tc>
          <w:tcPr>
            <w:tcW w:w="2900" w:type="dxa"/>
            <w:tcBorders>
              <w:top w:val="single" w:sz="4" w:space="0" w:color="E0E0E0"/>
              <w:bottom w:val="single" w:sz="4" w:space="0" w:color="E0E0E0"/>
            </w:tcBorders>
            <w:shd w:val="clear" w:color="auto" w:fill="F9FAFB"/>
          </w:tcPr>
          <w:p w14:paraId="0298F32A" w14:textId="77777777" w:rsidR="00384A98" w:rsidRDefault="00000000">
            <w:pPr>
              <w:keepNext/>
              <w:spacing w:before="60" w:after="60"/>
            </w:pPr>
            <w:r>
              <w:rPr>
                <w:sz w:val="20"/>
              </w:rPr>
              <w:t>BM25</w:t>
            </w:r>
          </w:p>
        </w:tc>
        <w:tc>
          <w:tcPr>
            <w:tcW w:w="1615" w:type="dxa"/>
            <w:tcBorders>
              <w:top w:val="single" w:sz="4" w:space="0" w:color="E0E0E0"/>
              <w:bottom w:val="single" w:sz="4" w:space="0" w:color="E0E0E0"/>
            </w:tcBorders>
            <w:shd w:val="clear" w:color="auto" w:fill="F9FAFB"/>
          </w:tcPr>
          <w:p w14:paraId="40B53A7F" w14:textId="77777777" w:rsidR="00384A98" w:rsidRDefault="00000000">
            <w:pPr>
              <w:keepNext/>
              <w:spacing w:before="60" w:after="60"/>
              <w:jc w:val="center"/>
            </w:pPr>
            <w:r>
              <w:rPr>
                <w:sz w:val="20"/>
              </w:rPr>
              <w:t>0.0989</w:t>
            </w:r>
          </w:p>
        </w:tc>
        <w:tc>
          <w:tcPr>
            <w:tcW w:w="1615" w:type="dxa"/>
            <w:tcBorders>
              <w:top w:val="single" w:sz="4" w:space="0" w:color="E0E0E0"/>
              <w:bottom w:val="single" w:sz="4" w:space="0" w:color="E0E0E0"/>
            </w:tcBorders>
            <w:shd w:val="clear" w:color="auto" w:fill="F9FAFB"/>
          </w:tcPr>
          <w:p w14:paraId="0391E260" w14:textId="77777777" w:rsidR="00384A98" w:rsidRDefault="00000000">
            <w:pPr>
              <w:keepNext/>
              <w:spacing w:before="60" w:after="60"/>
              <w:jc w:val="center"/>
            </w:pPr>
            <w:r>
              <w:rPr>
                <w:sz w:val="20"/>
              </w:rPr>
              <w:t>0.9490</w:t>
            </w:r>
          </w:p>
        </w:tc>
        <w:tc>
          <w:tcPr>
            <w:tcW w:w="1615" w:type="dxa"/>
            <w:tcBorders>
              <w:top w:val="single" w:sz="4" w:space="0" w:color="E0E0E0"/>
              <w:bottom w:val="single" w:sz="4" w:space="0" w:color="E0E0E0"/>
            </w:tcBorders>
            <w:shd w:val="clear" w:color="auto" w:fill="F9FAFB"/>
          </w:tcPr>
          <w:p w14:paraId="0EA624E4" w14:textId="77777777" w:rsidR="00384A98" w:rsidRDefault="00000000">
            <w:pPr>
              <w:keepNext/>
              <w:spacing w:before="60" w:after="60"/>
              <w:jc w:val="center"/>
            </w:pPr>
            <w:r>
              <w:rPr>
                <w:sz w:val="20"/>
              </w:rPr>
              <w:t>0.6332</w:t>
            </w:r>
          </w:p>
        </w:tc>
        <w:tc>
          <w:tcPr>
            <w:tcW w:w="1615" w:type="dxa"/>
            <w:tcBorders>
              <w:top w:val="single" w:sz="4" w:space="0" w:color="E0E0E0"/>
              <w:bottom w:val="single" w:sz="4" w:space="0" w:color="E0E0E0"/>
            </w:tcBorders>
            <w:shd w:val="clear" w:color="auto" w:fill="F9FAFB"/>
          </w:tcPr>
          <w:p w14:paraId="16E1F228" w14:textId="77777777" w:rsidR="00384A98" w:rsidRDefault="00000000">
            <w:pPr>
              <w:keepNext/>
              <w:spacing w:before="60" w:after="60"/>
              <w:jc w:val="center"/>
            </w:pPr>
            <w:r>
              <w:rPr>
                <w:sz w:val="20"/>
              </w:rPr>
              <w:t>0.6806</w:t>
            </w:r>
          </w:p>
        </w:tc>
      </w:tr>
      <w:tr w:rsidR="00384A98" w14:paraId="09C37D34" w14:textId="77777777">
        <w:trPr>
          <w:cantSplit/>
          <w:jc w:val="center"/>
        </w:trPr>
        <w:tc>
          <w:tcPr>
            <w:tcW w:w="2900" w:type="dxa"/>
            <w:tcBorders>
              <w:top w:val="single" w:sz="4" w:space="0" w:color="E0E0E0"/>
              <w:bottom w:val="single" w:sz="4" w:space="0" w:color="E0E0E0"/>
            </w:tcBorders>
            <w:shd w:val="clear" w:color="auto" w:fill="E6F2F2"/>
          </w:tcPr>
          <w:p w14:paraId="0EC48E57" w14:textId="77777777" w:rsidR="00384A98" w:rsidRDefault="00000000">
            <w:pPr>
              <w:keepNext/>
              <w:spacing w:before="60" w:after="60"/>
            </w:pPr>
            <w:r>
              <w:rPr>
                <w:b/>
                <w:sz w:val="20"/>
              </w:rPr>
              <w:t>Sentence Transformer (Dense)</w:t>
            </w:r>
          </w:p>
        </w:tc>
        <w:tc>
          <w:tcPr>
            <w:tcW w:w="1615" w:type="dxa"/>
            <w:tcBorders>
              <w:top w:val="single" w:sz="4" w:space="0" w:color="E0E0E0"/>
              <w:bottom w:val="single" w:sz="4" w:space="0" w:color="E0E0E0"/>
            </w:tcBorders>
            <w:shd w:val="clear" w:color="auto" w:fill="E6F2F2"/>
          </w:tcPr>
          <w:p w14:paraId="259546CB" w14:textId="77777777" w:rsidR="00384A98" w:rsidRDefault="00000000">
            <w:pPr>
              <w:keepNext/>
              <w:spacing w:before="60" w:after="60"/>
              <w:jc w:val="center"/>
            </w:pPr>
            <w:r>
              <w:rPr>
                <w:b/>
                <w:sz w:val="20"/>
              </w:rPr>
              <w:t>0.1135</w:t>
            </w:r>
          </w:p>
        </w:tc>
        <w:tc>
          <w:tcPr>
            <w:tcW w:w="1615" w:type="dxa"/>
            <w:tcBorders>
              <w:top w:val="single" w:sz="4" w:space="0" w:color="E0E0E0"/>
              <w:bottom w:val="single" w:sz="4" w:space="0" w:color="E0E0E0"/>
            </w:tcBorders>
            <w:shd w:val="clear" w:color="auto" w:fill="E6F2F2"/>
          </w:tcPr>
          <w:p w14:paraId="6AC9B382" w14:textId="77777777" w:rsidR="00384A98" w:rsidRDefault="00000000">
            <w:pPr>
              <w:keepNext/>
              <w:spacing w:before="60" w:after="60"/>
              <w:jc w:val="center"/>
            </w:pPr>
            <w:r>
              <w:rPr>
                <w:b/>
                <w:sz w:val="20"/>
              </w:rPr>
              <w:t>0.9921</w:t>
            </w:r>
          </w:p>
        </w:tc>
        <w:tc>
          <w:tcPr>
            <w:tcW w:w="1615" w:type="dxa"/>
            <w:tcBorders>
              <w:top w:val="single" w:sz="4" w:space="0" w:color="E0E0E0"/>
              <w:bottom w:val="single" w:sz="4" w:space="0" w:color="E0E0E0"/>
            </w:tcBorders>
            <w:shd w:val="clear" w:color="auto" w:fill="E6F2F2"/>
          </w:tcPr>
          <w:p w14:paraId="56F8734B" w14:textId="77777777" w:rsidR="00384A98" w:rsidRDefault="00000000">
            <w:pPr>
              <w:keepNext/>
              <w:spacing w:before="60" w:after="60"/>
              <w:jc w:val="center"/>
            </w:pPr>
            <w:r>
              <w:rPr>
                <w:b/>
                <w:sz w:val="20"/>
              </w:rPr>
              <w:t>0.7838</w:t>
            </w:r>
          </w:p>
        </w:tc>
        <w:tc>
          <w:tcPr>
            <w:tcW w:w="1615" w:type="dxa"/>
            <w:tcBorders>
              <w:top w:val="single" w:sz="4" w:space="0" w:color="E0E0E0"/>
              <w:bottom w:val="single" w:sz="4" w:space="0" w:color="E0E0E0"/>
            </w:tcBorders>
            <w:shd w:val="clear" w:color="auto" w:fill="E6F2F2"/>
          </w:tcPr>
          <w:p w14:paraId="146BE1D6" w14:textId="77777777" w:rsidR="00384A98" w:rsidRDefault="00000000">
            <w:pPr>
              <w:keepNext/>
              <w:spacing w:before="60" w:after="60"/>
              <w:jc w:val="center"/>
            </w:pPr>
            <w:r>
              <w:rPr>
                <w:b/>
                <w:sz w:val="20"/>
              </w:rPr>
              <w:t>0.8249</w:t>
            </w:r>
          </w:p>
        </w:tc>
      </w:tr>
      <w:tr w:rsidR="00384A98" w14:paraId="0A61F55F" w14:textId="77777777">
        <w:trPr>
          <w:cantSplit/>
          <w:jc w:val="center"/>
        </w:trPr>
        <w:tc>
          <w:tcPr>
            <w:tcW w:w="2900" w:type="dxa"/>
            <w:tcBorders>
              <w:top w:val="single" w:sz="4" w:space="0" w:color="E0E0E0"/>
              <w:bottom w:val="single" w:sz="4" w:space="0" w:color="E0E0E0"/>
            </w:tcBorders>
            <w:shd w:val="clear" w:color="auto" w:fill="F9FAFB"/>
          </w:tcPr>
          <w:p w14:paraId="2BA6D8AF" w14:textId="77777777" w:rsidR="00384A98" w:rsidRDefault="00000000">
            <w:pPr>
              <w:spacing w:before="60" w:after="60"/>
            </w:pPr>
            <w:r>
              <w:rPr>
                <w:sz w:val="20"/>
              </w:rPr>
              <w:t>Hybrid RRF (BM25 + TF-IDF + Dense)</w:t>
            </w:r>
          </w:p>
        </w:tc>
        <w:tc>
          <w:tcPr>
            <w:tcW w:w="1615" w:type="dxa"/>
            <w:tcBorders>
              <w:top w:val="single" w:sz="4" w:space="0" w:color="E0E0E0"/>
              <w:bottom w:val="single" w:sz="4" w:space="0" w:color="E0E0E0"/>
            </w:tcBorders>
            <w:shd w:val="clear" w:color="auto" w:fill="F9FAFB"/>
          </w:tcPr>
          <w:p w14:paraId="3AD36C2B" w14:textId="77777777" w:rsidR="00384A98" w:rsidRDefault="00000000">
            <w:pPr>
              <w:spacing w:before="60" w:after="60"/>
              <w:jc w:val="center"/>
            </w:pPr>
            <w:r>
              <w:rPr>
                <w:sz w:val="20"/>
              </w:rPr>
              <w:t>0.1075</w:t>
            </w:r>
          </w:p>
        </w:tc>
        <w:tc>
          <w:tcPr>
            <w:tcW w:w="1615" w:type="dxa"/>
            <w:tcBorders>
              <w:top w:val="single" w:sz="4" w:space="0" w:color="E0E0E0"/>
              <w:bottom w:val="single" w:sz="4" w:space="0" w:color="E0E0E0"/>
            </w:tcBorders>
            <w:shd w:val="clear" w:color="auto" w:fill="F9FAFB"/>
          </w:tcPr>
          <w:p w14:paraId="5BE9891B" w14:textId="77777777" w:rsidR="00384A98" w:rsidRDefault="00000000">
            <w:pPr>
              <w:spacing w:before="60" w:after="60"/>
              <w:jc w:val="center"/>
            </w:pPr>
            <w:r>
              <w:rPr>
                <w:sz w:val="20"/>
              </w:rPr>
              <w:t>0.9910</w:t>
            </w:r>
          </w:p>
        </w:tc>
        <w:tc>
          <w:tcPr>
            <w:tcW w:w="1615" w:type="dxa"/>
            <w:tcBorders>
              <w:top w:val="single" w:sz="4" w:space="0" w:color="E0E0E0"/>
              <w:bottom w:val="single" w:sz="4" w:space="0" w:color="E0E0E0"/>
            </w:tcBorders>
            <w:shd w:val="clear" w:color="auto" w:fill="F9FAFB"/>
          </w:tcPr>
          <w:p w14:paraId="293DC8B2" w14:textId="77777777" w:rsidR="00384A98" w:rsidRDefault="00000000">
            <w:pPr>
              <w:spacing w:before="60" w:after="60"/>
              <w:jc w:val="center"/>
            </w:pPr>
            <w:r>
              <w:rPr>
                <w:sz w:val="20"/>
              </w:rPr>
              <w:t>0.7000</w:t>
            </w:r>
          </w:p>
        </w:tc>
        <w:tc>
          <w:tcPr>
            <w:tcW w:w="1615" w:type="dxa"/>
            <w:tcBorders>
              <w:top w:val="single" w:sz="4" w:space="0" w:color="E0E0E0"/>
              <w:bottom w:val="single" w:sz="4" w:space="0" w:color="E0E0E0"/>
            </w:tcBorders>
            <w:shd w:val="clear" w:color="auto" w:fill="F9FAFB"/>
          </w:tcPr>
          <w:p w14:paraId="4249201E" w14:textId="77777777" w:rsidR="00384A98" w:rsidRDefault="00000000">
            <w:pPr>
              <w:spacing w:before="60" w:after="60"/>
              <w:jc w:val="center"/>
            </w:pPr>
            <w:r>
              <w:rPr>
                <w:sz w:val="20"/>
              </w:rPr>
              <w:t>0.7488</w:t>
            </w:r>
          </w:p>
        </w:tc>
      </w:tr>
    </w:tbl>
    <w:p w14:paraId="6B0EE226" w14:textId="77777777" w:rsidR="00384A98" w:rsidRDefault="00384A98">
      <w:pPr>
        <w:spacing w:after="100"/>
      </w:pPr>
    </w:p>
    <w:p w14:paraId="3506C531" w14:textId="48925D37" w:rsidR="00384A98" w:rsidRDefault="00000000">
      <w:pPr>
        <w:spacing w:after="120"/>
      </w:pPr>
      <w:r>
        <w:t xml:space="preserve">As reported in Table 2, the dense retriever is the best model on every metric. Relative to BM25 it improves MAP by about 23.8% (0.783 vs 0.633) and nDCG@10 by about 21.2%; relative to TF-IDF the gains are 80.1% and 68.2%. BM25 </w:t>
      </w:r>
      <w:proofErr w:type="gramStart"/>
      <w:r>
        <w:t>itself  a</w:t>
      </w:r>
      <w:proofErr w:type="gramEnd"/>
      <w:r>
        <w:t xml:space="preserve"> large step above TF-IDF (+38.8% nDCG@10), which shows the benefit of term saturation and </w:t>
      </w:r>
      <w:proofErr w:type="spellStart"/>
      <w:r>
        <w:t>lengthnormalisation</w:t>
      </w:r>
      <w:proofErr w:type="spellEnd"/>
      <w:r>
        <w:t xml:space="preserve"> on short passages. Recall@100 exceeds 0.92 for all four systems, so the models differ mainly in </w:t>
      </w:r>
      <w:r>
        <w:rPr>
          <w:i/>
        </w:rPr>
        <w:t>how high</w:t>
      </w:r>
      <w:r>
        <w:t xml:space="preserve"> they place the relevant passage, not in whether they retrieve it at all.</w:t>
      </w:r>
    </w:p>
    <w:p w14:paraId="5FC7A62A" w14:textId="2C69E333" w:rsidR="00384A98" w:rsidRDefault="00000000">
      <w:pPr>
        <w:spacing w:after="120"/>
      </w:pPr>
      <w:r>
        <w:t xml:space="preserve">The three-way hybrid lands between BM25 and the dense model. It improves on BM25 by about 10.0% in nDCG@10 and 10.5% in MAP, but it </w:t>
      </w:r>
      <w:proofErr w:type="spellStart"/>
      <w:r>
        <w:t>trais</w:t>
      </w:r>
      <w:proofErr w:type="spellEnd"/>
      <w:r>
        <w:t xml:space="preserve"> </w:t>
      </w:r>
      <w:proofErr w:type="spellStart"/>
      <w:r>
        <w:t>te</w:t>
      </w:r>
      <w:proofErr w:type="spellEnd"/>
      <w:r>
        <w:t xml:space="preserve"> dense retriever by about 9.2% in nDCG@10 and 10.7% in MAP. The difference between hybrid and dense nDCG@10 is statistically significant (p &lt; 0.001), so on this benchmark fusion reduces ranking </w:t>
      </w:r>
      <w:proofErr w:type="spellStart"/>
      <w:r>
        <w:t>qualitycompared</w:t>
      </w:r>
      <w:proofErr w:type="spellEnd"/>
      <w:r>
        <w:t xml:space="preserve"> with the best single model. The only metric where it effectively ties dense is Recall@100 (0.9910 vs 0.9921). Table 3 adds deeper recall, MRR, latency and the RRF ablation.</w:t>
      </w:r>
    </w:p>
    <w:p w14:paraId="093E9066" w14:textId="77777777" w:rsidR="00384A98" w:rsidRDefault="00000000">
      <w:pPr>
        <w:keepNext/>
        <w:spacing w:before="160" w:after="80"/>
      </w:pPr>
      <w:r>
        <w:rPr>
          <w:b/>
          <w:color w:val="1B365D"/>
          <w:sz w:val="20"/>
        </w:rPr>
        <w:lastRenderedPageBreak/>
        <w:t>Table 3. Extended metrics, latency and RRF ablation on the NQ retrieval subset.</w:t>
      </w:r>
    </w:p>
    <w:tbl>
      <w:tblPr>
        <w:tblW w:w="9360" w:type="dxa"/>
        <w:jc w:val="center"/>
        <w:tblLayout w:type="fixed"/>
        <w:tblLook w:val="04A0" w:firstRow="1" w:lastRow="0" w:firstColumn="1" w:lastColumn="0" w:noHBand="0" w:noVBand="1"/>
      </w:tblPr>
      <w:tblGrid>
        <w:gridCol w:w="2400"/>
        <w:gridCol w:w="900"/>
        <w:gridCol w:w="900"/>
        <w:gridCol w:w="1050"/>
        <w:gridCol w:w="900"/>
        <w:gridCol w:w="1150"/>
        <w:gridCol w:w="2060"/>
      </w:tblGrid>
      <w:tr w:rsidR="00384A98" w14:paraId="36A5F16A" w14:textId="77777777">
        <w:trPr>
          <w:cantSplit/>
          <w:tblHeader/>
          <w:jc w:val="center"/>
        </w:trPr>
        <w:tc>
          <w:tcPr>
            <w:tcW w:w="2400" w:type="dxa"/>
            <w:tcBorders>
              <w:top w:val="single" w:sz="4" w:space="0" w:color="E0E0E0"/>
              <w:bottom w:val="single" w:sz="4" w:space="0" w:color="E0E0E0"/>
            </w:tcBorders>
            <w:shd w:val="clear" w:color="auto" w:fill="1B365D"/>
          </w:tcPr>
          <w:p w14:paraId="40364530" w14:textId="77777777" w:rsidR="00384A98" w:rsidRDefault="00000000">
            <w:pPr>
              <w:keepNext/>
              <w:spacing w:before="60" w:after="60"/>
            </w:pPr>
            <w:r>
              <w:rPr>
                <w:b/>
                <w:color w:val="FFFFFF"/>
                <w:sz w:val="19"/>
              </w:rPr>
              <w:t>Model</w:t>
            </w:r>
          </w:p>
        </w:tc>
        <w:tc>
          <w:tcPr>
            <w:tcW w:w="900" w:type="dxa"/>
            <w:tcBorders>
              <w:top w:val="single" w:sz="4" w:space="0" w:color="E0E0E0"/>
              <w:bottom w:val="single" w:sz="4" w:space="0" w:color="E0E0E0"/>
            </w:tcBorders>
            <w:shd w:val="clear" w:color="auto" w:fill="1B365D"/>
          </w:tcPr>
          <w:p w14:paraId="7D091BC0" w14:textId="77777777" w:rsidR="00384A98" w:rsidRDefault="00000000">
            <w:pPr>
              <w:keepNext/>
              <w:spacing w:before="60" w:after="60"/>
              <w:jc w:val="center"/>
            </w:pPr>
            <w:r>
              <w:rPr>
                <w:b/>
                <w:color w:val="FFFFFF"/>
                <w:sz w:val="19"/>
              </w:rPr>
              <w:t>R@10</w:t>
            </w:r>
          </w:p>
        </w:tc>
        <w:tc>
          <w:tcPr>
            <w:tcW w:w="900" w:type="dxa"/>
            <w:tcBorders>
              <w:top w:val="single" w:sz="4" w:space="0" w:color="E0E0E0"/>
              <w:bottom w:val="single" w:sz="4" w:space="0" w:color="E0E0E0"/>
            </w:tcBorders>
            <w:shd w:val="clear" w:color="auto" w:fill="1B365D"/>
          </w:tcPr>
          <w:p w14:paraId="617A825E" w14:textId="77777777" w:rsidR="00384A98" w:rsidRDefault="00000000">
            <w:pPr>
              <w:keepNext/>
              <w:spacing w:before="60" w:after="60"/>
              <w:jc w:val="center"/>
            </w:pPr>
            <w:r>
              <w:rPr>
                <w:b/>
                <w:color w:val="FFFFFF"/>
                <w:sz w:val="19"/>
              </w:rPr>
              <w:t>R@50</w:t>
            </w:r>
          </w:p>
        </w:tc>
        <w:tc>
          <w:tcPr>
            <w:tcW w:w="1050" w:type="dxa"/>
            <w:tcBorders>
              <w:top w:val="single" w:sz="4" w:space="0" w:color="E0E0E0"/>
              <w:bottom w:val="single" w:sz="4" w:space="0" w:color="E0E0E0"/>
            </w:tcBorders>
            <w:shd w:val="clear" w:color="auto" w:fill="1B365D"/>
          </w:tcPr>
          <w:p w14:paraId="33E84676" w14:textId="77777777" w:rsidR="00384A98" w:rsidRDefault="00000000">
            <w:pPr>
              <w:keepNext/>
              <w:spacing w:before="60" w:after="60"/>
              <w:jc w:val="center"/>
            </w:pPr>
            <w:r>
              <w:rPr>
                <w:b/>
                <w:color w:val="FFFFFF"/>
                <w:sz w:val="19"/>
              </w:rPr>
              <w:t>MRR@10</w:t>
            </w:r>
          </w:p>
        </w:tc>
        <w:tc>
          <w:tcPr>
            <w:tcW w:w="900" w:type="dxa"/>
            <w:tcBorders>
              <w:top w:val="single" w:sz="4" w:space="0" w:color="E0E0E0"/>
              <w:bottom w:val="single" w:sz="4" w:space="0" w:color="E0E0E0"/>
            </w:tcBorders>
            <w:shd w:val="clear" w:color="auto" w:fill="1B365D"/>
          </w:tcPr>
          <w:p w14:paraId="70E3EF6F" w14:textId="77777777" w:rsidR="00384A98" w:rsidRDefault="00000000">
            <w:pPr>
              <w:keepNext/>
              <w:spacing w:before="60" w:after="60"/>
              <w:jc w:val="center"/>
            </w:pPr>
            <w:r>
              <w:rPr>
                <w:b/>
                <w:color w:val="FFFFFF"/>
                <w:sz w:val="19"/>
              </w:rPr>
              <w:t>MAP</w:t>
            </w:r>
          </w:p>
        </w:tc>
        <w:tc>
          <w:tcPr>
            <w:tcW w:w="1150" w:type="dxa"/>
            <w:tcBorders>
              <w:top w:val="single" w:sz="4" w:space="0" w:color="E0E0E0"/>
              <w:bottom w:val="single" w:sz="4" w:space="0" w:color="E0E0E0"/>
            </w:tcBorders>
            <w:shd w:val="clear" w:color="auto" w:fill="1B365D"/>
          </w:tcPr>
          <w:p w14:paraId="73657BF8" w14:textId="77777777" w:rsidR="00384A98" w:rsidRDefault="00000000">
            <w:pPr>
              <w:keepNext/>
              <w:spacing w:before="60" w:after="60"/>
              <w:jc w:val="center"/>
            </w:pPr>
            <w:r>
              <w:rPr>
                <w:b/>
                <w:color w:val="FFFFFF"/>
                <w:sz w:val="19"/>
              </w:rPr>
              <w:t>nDCG@10</w:t>
            </w:r>
          </w:p>
        </w:tc>
        <w:tc>
          <w:tcPr>
            <w:tcW w:w="2060" w:type="dxa"/>
            <w:tcBorders>
              <w:top w:val="single" w:sz="4" w:space="0" w:color="E0E0E0"/>
              <w:bottom w:val="single" w:sz="4" w:space="0" w:color="E0E0E0"/>
            </w:tcBorders>
            <w:shd w:val="clear" w:color="auto" w:fill="1B365D"/>
          </w:tcPr>
          <w:p w14:paraId="1751C2AC" w14:textId="77777777" w:rsidR="00384A98" w:rsidRDefault="00000000">
            <w:pPr>
              <w:keepNext/>
              <w:spacing w:before="60" w:after="60"/>
              <w:jc w:val="center"/>
            </w:pPr>
            <w:r>
              <w:rPr>
                <w:b/>
                <w:color w:val="FFFFFF"/>
                <w:sz w:val="19"/>
              </w:rPr>
              <w:t>Latency (ms/query)</w:t>
            </w:r>
          </w:p>
        </w:tc>
      </w:tr>
      <w:tr w:rsidR="00384A98" w14:paraId="3DB4CB9E" w14:textId="77777777">
        <w:trPr>
          <w:cantSplit/>
          <w:jc w:val="center"/>
        </w:trPr>
        <w:tc>
          <w:tcPr>
            <w:tcW w:w="2400" w:type="dxa"/>
            <w:tcBorders>
              <w:top w:val="single" w:sz="4" w:space="0" w:color="E0E0E0"/>
              <w:bottom w:val="single" w:sz="4" w:space="0" w:color="E0E0E0"/>
            </w:tcBorders>
            <w:shd w:val="clear" w:color="auto" w:fill="F9FAFB"/>
          </w:tcPr>
          <w:p w14:paraId="172B3A70" w14:textId="77777777" w:rsidR="00384A98" w:rsidRDefault="00000000">
            <w:pPr>
              <w:keepNext/>
              <w:spacing w:before="60" w:after="60"/>
            </w:pPr>
            <w:r>
              <w:rPr>
                <w:sz w:val="19"/>
              </w:rPr>
              <w:t>TF-IDF</w:t>
            </w:r>
          </w:p>
        </w:tc>
        <w:tc>
          <w:tcPr>
            <w:tcW w:w="900" w:type="dxa"/>
            <w:tcBorders>
              <w:top w:val="single" w:sz="4" w:space="0" w:color="E0E0E0"/>
              <w:bottom w:val="single" w:sz="4" w:space="0" w:color="E0E0E0"/>
            </w:tcBorders>
            <w:shd w:val="clear" w:color="auto" w:fill="F9FAFB"/>
          </w:tcPr>
          <w:p w14:paraId="706DA6BD" w14:textId="77777777" w:rsidR="00384A98" w:rsidRDefault="00000000">
            <w:pPr>
              <w:keepNext/>
              <w:spacing w:before="60" w:after="60"/>
              <w:jc w:val="center"/>
            </w:pPr>
            <w:r>
              <w:rPr>
                <w:sz w:val="19"/>
              </w:rPr>
              <w:t>0.6771</w:t>
            </w:r>
          </w:p>
        </w:tc>
        <w:tc>
          <w:tcPr>
            <w:tcW w:w="900" w:type="dxa"/>
            <w:tcBorders>
              <w:top w:val="single" w:sz="4" w:space="0" w:color="E0E0E0"/>
              <w:bottom w:val="single" w:sz="4" w:space="0" w:color="E0E0E0"/>
            </w:tcBorders>
            <w:shd w:val="clear" w:color="auto" w:fill="F9FAFB"/>
          </w:tcPr>
          <w:p w14:paraId="39A28883" w14:textId="77777777" w:rsidR="00384A98" w:rsidRDefault="00000000">
            <w:pPr>
              <w:keepNext/>
              <w:spacing w:before="60" w:after="60"/>
              <w:jc w:val="center"/>
            </w:pPr>
            <w:r>
              <w:rPr>
                <w:sz w:val="19"/>
              </w:rPr>
              <w:t>0.8712</w:t>
            </w:r>
          </w:p>
        </w:tc>
        <w:tc>
          <w:tcPr>
            <w:tcW w:w="1050" w:type="dxa"/>
            <w:tcBorders>
              <w:top w:val="single" w:sz="4" w:space="0" w:color="E0E0E0"/>
              <w:bottom w:val="single" w:sz="4" w:space="0" w:color="E0E0E0"/>
            </w:tcBorders>
            <w:shd w:val="clear" w:color="auto" w:fill="F9FAFB"/>
          </w:tcPr>
          <w:p w14:paraId="2B5BDA24" w14:textId="77777777" w:rsidR="00384A98" w:rsidRDefault="00000000">
            <w:pPr>
              <w:keepNext/>
              <w:spacing w:before="60" w:after="60"/>
              <w:jc w:val="center"/>
            </w:pPr>
            <w:r>
              <w:rPr>
                <w:sz w:val="19"/>
              </w:rPr>
              <w:t>0.4416</w:t>
            </w:r>
          </w:p>
        </w:tc>
        <w:tc>
          <w:tcPr>
            <w:tcW w:w="900" w:type="dxa"/>
            <w:tcBorders>
              <w:top w:val="single" w:sz="4" w:space="0" w:color="E0E0E0"/>
              <w:bottom w:val="single" w:sz="4" w:space="0" w:color="E0E0E0"/>
            </w:tcBorders>
            <w:shd w:val="clear" w:color="auto" w:fill="F9FAFB"/>
          </w:tcPr>
          <w:p w14:paraId="7DCC54AA" w14:textId="77777777" w:rsidR="00384A98" w:rsidRDefault="00000000">
            <w:pPr>
              <w:keepNext/>
              <w:spacing w:before="60" w:after="60"/>
              <w:jc w:val="center"/>
            </w:pPr>
            <w:r>
              <w:rPr>
                <w:sz w:val="19"/>
              </w:rPr>
              <w:t>0.4352</w:t>
            </w:r>
          </w:p>
        </w:tc>
        <w:tc>
          <w:tcPr>
            <w:tcW w:w="1150" w:type="dxa"/>
            <w:tcBorders>
              <w:top w:val="single" w:sz="4" w:space="0" w:color="E0E0E0"/>
              <w:bottom w:val="single" w:sz="4" w:space="0" w:color="E0E0E0"/>
            </w:tcBorders>
            <w:shd w:val="clear" w:color="auto" w:fill="F9FAFB"/>
          </w:tcPr>
          <w:p w14:paraId="22D909CD" w14:textId="77777777" w:rsidR="00384A98" w:rsidRDefault="00000000">
            <w:pPr>
              <w:keepNext/>
              <w:spacing w:before="60" w:after="60"/>
              <w:jc w:val="center"/>
            </w:pPr>
            <w:r>
              <w:rPr>
                <w:sz w:val="19"/>
              </w:rPr>
              <w:t>0.4903</w:t>
            </w:r>
          </w:p>
        </w:tc>
        <w:tc>
          <w:tcPr>
            <w:tcW w:w="2060" w:type="dxa"/>
            <w:tcBorders>
              <w:top w:val="single" w:sz="4" w:space="0" w:color="E0E0E0"/>
              <w:bottom w:val="single" w:sz="4" w:space="0" w:color="E0E0E0"/>
            </w:tcBorders>
            <w:shd w:val="clear" w:color="auto" w:fill="F9FAFB"/>
          </w:tcPr>
          <w:p w14:paraId="7B59C3AD" w14:textId="77777777" w:rsidR="00384A98" w:rsidRDefault="00000000">
            <w:pPr>
              <w:keepNext/>
              <w:spacing w:before="60" w:after="60"/>
              <w:jc w:val="center"/>
            </w:pPr>
            <w:r>
              <w:rPr>
                <w:sz w:val="19"/>
              </w:rPr>
              <w:t>24.8</w:t>
            </w:r>
          </w:p>
        </w:tc>
      </w:tr>
      <w:tr w:rsidR="00384A98" w14:paraId="1A50B22F" w14:textId="77777777">
        <w:trPr>
          <w:cantSplit/>
          <w:jc w:val="center"/>
        </w:trPr>
        <w:tc>
          <w:tcPr>
            <w:tcW w:w="2400" w:type="dxa"/>
            <w:tcBorders>
              <w:top w:val="single" w:sz="4" w:space="0" w:color="E0E0E0"/>
              <w:bottom w:val="single" w:sz="4" w:space="0" w:color="E0E0E0"/>
            </w:tcBorders>
            <w:shd w:val="clear" w:color="auto" w:fill="F9FAFB"/>
          </w:tcPr>
          <w:p w14:paraId="5BF44B55" w14:textId="77777777" w:rsidR="00384A98" w:rsidRDefault="00000000">
            <w:pPr>
              <w:keepNext/>
              <w:spacing w:before="60" w:after="60"/>
            </w:pPr>
            <w:r>
              <w:rPr>
                <w:sz w:val="19"/>
              </w:rPr>
              <w:t>BM25</w:t>
            </w:r>
          </w:p>
        </w:tc>
        <w:tc>
          <w:tcPr>
            <w:tcW w:w="900" w:type="dxa"/>
            <w:tcBorders>
              <w:top w:val="single" w:sz="4" w:space="0" w:color="E0E0E0"/>
              <w:bottom w:val="single" w:sz="4" w:space="0" w:color="E0E0E0"/>
            </w:tcBorders>
            <w:shd w:val="clear" w:color="auto" w:fill="F9FAFB"/>
          </w:tcPr>
          <w:p w14:paraId="45FADB0A" w14:textId="77777777" w:rsidR="00384A98" w:rsidRDefault="00000000">
            <w:pPr>
              <w:keepNext/>
              <w:spacing w:before="60" w:after="60"/>
              <w:jc w:val="center"/>
            </w:pPr>
            <w:r>
              <w:rPr>
                <w:sz w:val="19"/>
              </w:rPr>
              <w:t>0.8244</w:t>
            </w:r>
          </w:p>
        </w:tc>
        <w:tc>
          <w:tcPr>
            <w:tcW w:w="900" w:type="dxa"/>
            <w:tcBorders>
              <w:top w:val="single" w:sz="4" w:space="0" w:color="E0E0E0"/>
              <w:bottom w:val="single" w:sz="4" w:space="0" w:color="E0E0E0"/>
            </w:tcBorders>
            <w:shd w:val="clear" w:color="auto" w:fill="F9FAFB"/>
          </w:tcPr>
          <w:p w14:paraId="43B1DC55" w14:textId="77777777" w:rsidR="00384A98" w:rsidRDefault="00000000">
            <w:pPr>
              <w:keepNext/>
              <w:spacing w:before="60" w:after="60"/>
              <w:jc w:val="center"/>
            </w:pPr>
            <w:r>
              <w:rPr>
                <w:sz w:val="19"/>
              </w:rPr>
              <w:t>0.9262</w:t>
            </w:r>
          </w:p>
        </w:tc>
        <w:tc>
          <w:tcPr>
            <w:tcW w:w="1050" w:type="dxa"/>
            <w:tcBorders>
              <w:top w:val="single" w:sz="4" w:space="0" w:color="E0E0E0"/>
              <w:bottom w:val="single" w:sz="4" w:space="0" w:color="E0E0E0"/>
            </w:tcBorders>
            <w:shd w:val="clear" w:color="auto" w:fill="F9FAFB"/>
          </w:tcPr>
          <w:p w14:paraId="195E9095" w14:textId="77777777" w:rsidR="00384A98" w:rsidRDefault="00000000">
            <w:pPr>
              <w:keepNext/>
              <w:spacing w:before="60" w:after="60"/>
              <w:jc w:val="center"/>
            </w:pPr>
            <w:r>
              <w:rPr>
                <w:sz w:val="19"/>
              </w:rPr>
              <w:t>0.6462</w:t>
            </w:r>
          </w:p>
        </w:tc>
        <w:tc>
          <w:tcPr>
            <w:tcW w:w="900" w:type="dxa"/>
            <w:tcBorders>
              <w:top w:val="single" w:sz="4" w:space="0" w:color="E0E0E0"/>
              <w:bottom w:val="single" w:sz="4" w:space="0" w:color="E0E0E0"/>
            </w:tcBorders>
            <w:shd w:val="clear" w:color="auto" w:fill="F9FAFB"/>
          </w:tcPr>
          <w:p w14:paraId="5BDD6697" w14:textId="77777777" w:rsidR="00384A98" w:rsidRDefault="00000000">
            <w:pPr>
              <w:keepNext/>
              <w:spacing w:before="60" w:after="60"/>
              <w:jc w:val="center"/>
            </w:pPr>
            <w:r>
              <w:rPr>
                <w:sz w:val="19"/>
              </w:rPr>
              <w:t>0.6332</w:t>
            </w:r>
          </w:p>
        </w:tc>
        <w:tc>
          <w:tcPr>
            <w:tcW w:w="1150" w:type="dxa"/>
            <w:tcBorders>
              <w:top w:val="single" w:sz="4" w:space="0" w:color="E0E0E0"/>
              <w:bottom w:val="single" w:sz="4" w:space="0" w:color="E0E0E0"/>
            </w:tcBorders>
            <w:shd w:val="clear" w:color="auto" w:fill="F9FAFB"/>
          </w:tcPr>
          <w:p w14:paraId="57B58D1D" w14:textId="77777777" w:rsidR="00384A98" w:rsidRDefault="00000000">
            <w:pPr>
              <w:keepNext/>
              <w:spacing w:before="60" w:after="60"/>
              <w:jc w:val="center"/>
            </w:pPr>
            <w:r>
              <w:rPr>
                <w:sz w:val="19"/>
              </w:rPr>
              <w:t>0.6806</w:t>
            </w:r>
          </w:p>
        </w:tc>
        <w:tc>
          <w:tcPr>
            <w:tcW w:w="2060" w:type="dxa"/>
            <w:tcBorders>
              <w:top w:val="single" w:sz="4" w:space="0" w:color="E0E0E0"/>
              <w:bottom w:val="single" w:sz="4" w:space="0" w:color="E0E0E0"/>
            </w:tcBorders>
            <w:shd w:val="clear" w:color="auto" w:fill="F9FAFB"/>
          </w:tcPr>
          <w:p w14:paraId="6AF37EB4" w14:textId="77777777" w:rsidR="00384A98" w:rsidRDefault="00000000">
            <w:pPr>
              <w:keepNext/>
              <w:spacing w:before="60" w:after="60"/>
              <w:jc w:val="center"/>
            </w:pPr>
            <w:r>
              <w:rPr>
                <w:sz w:val="19"/>
              </w:rPr>
              <w:t>20.5</w:t>
            </w:r>
          </w:p>
        </w:tc>
      </w:tr>
      <w:tr w:rsidR="00384A98" w14:paraId="1DFFAC94" w14:textId="77777777">
        <w:trPr>
          <w:cantSplit/>
          <w:jc w:val="center"/>
        </w:trPr>
        <w:tc>
          <w:tcPr>
            <w:tcW w:w="2400" w:type="dxa"/>
            <w:tcBorders>
              <w:top w:val="single" w:sz="4" w:space="0" w:color="E0E0E0"/>
              <w:bottom w:val="single" w:sz="4" w:space="0" w:color="E0E0E0"/>
            </w:tcBorders>
            <w:shd w:val="clear" w:color="auto" w:fill="E6F2F2"/>
          </w:tcPr>
          <w:p w14:paraId="24D0730B" w14:textId="77777777" w:rsidR="00384A98" w:rsidRDefault="00000000">
            <w:pPr>
              <w:keepNext/>
              <w:spacing w:before="60" w:after="60"/>
            </w:pPr>
            <w:r>
              <w:rPr>
                <w:b/>
                <w:sz w:val="19"/>
              </w:rPr>
              <w:t>Dense</w:t>
            </w:r>
          </w:p>
        </w:tc>
        <w:tc>
          <w:tcPr>
            <w:tcW w:w="900" w:type="dxa"/>
            <w:tcBorders>
              <w:top w:val="single" w:sz="4" w:space="0" w:color="E0E0E0"/>
              <w:bottom w:val="single" w:sz="4" w:space="0" w:color="E0E0E0"/>
            </w:tcBorders>
            <w:shd w:val="clear" w:color="auto" w:fill="E6F2F2"/>
          </w:tcPr>
          <w:p w14:paraId="6BDA28C9" w14:textId="77777777" w:rsidR="00384A98" w:rsidRDefault="00000000">
            <w:pPr>
              <w:keepNext/>
              <w:spacing w:before="60" w:after="60"/>
              <w:jc w:val="center"/>
            </w:pPr>
            <w:r>
              <w:rPr>
                <w:b/>
                <w:sz w:val="19"/>
              </w:rPr>
              <w:t>0.9412</w:t>
            </w:r>
          </w:p>
        </w:tc>
        <w:tc>
          <w:tcPr>
            <w:tcW w:w="900" w:type="dxa"/>
            <w:tcBorders>
              <w:top w:val="single" w:sz="4" w:space="0" w:color="E0E0E0"/>
              <w:bottom w:val="single" w:sz="4" w:space="0" w:color="E0E0E0"/>
            </w:tcBorders>
            <w:shd w:val="clear" w:color="auto" w:fill="E6F2F2"/>
          </w:tcPr>
          <w:p w14:paraId="2B5BA546" w14:textId="77777777" w:rsidR="00384A98" w:rsidRDefault="00000000">
            <w:pPr>
              <w:keepNext/>
              <w:spacing w:before="60" w:after="60"/>
              <w:jc w:val="center"/>
            </w:pPr>
            <w:r>
              <w:rPr>
                <w:b/>
                <w:sz w:val="19"/>
              </w:rPr>
              <w:t>0.9842</w:t>
            </w:r>
          </w:p>
        </w:tc>
        <w:tc>
          <w:tcPr>
            <w:tcW w:w="1050" w:type="dxa"/>
            <w:tcBorders>
              <w:top w:val="single" w:sz="4" w:space="0" w:color="E0E0E0"/>
              <w:bottom w:val="single" w:sz="4" w:space="0" w:color="E0E0E0"/>
            </w:tcBorders>
            <w:shd w:val="clear" w:color="auto" w:fill="E6F2F2"/>
          </w:tcPr>
          <w:p w14:paraId="75E04AD0" w14:textId="77777777" w:rsidR="00384A98" w:rsidRDefault="00000000">
            <w:pPr>
              <w:keepNext/>
              <w:spacing w:before="60" w:after="60"/>
              <w:jc w:val="center"/>
            </w:pPr>
            <w:r>
              <w:rPr>
                <w:b/>
                <w:sz w:val="19"/>
              </w:rPr>
              <w:t>0.7946</w:t>
            </w:r>
          </w:p>
        </w:tc>
        <w:tc>
          <w:tcPr>
            <w:tcW w:w="900" w:type="dxa"/>
            <w:tcBorders>
              <w:top w:val="single" w:sz="4" w:space="0" w:color="E0E0E0"/>
              <w:bottom w:val="single" w:sz="4" w:space="0" w:color="E0E0E0"/>
            </w:tcBorders>
            <w:shd w:val="clear" w:color="auto" w:fill="E6F2F2"/>
          </w:tcPr>
          <w:p w14:paraId="38A30C58" w14:textId="77777777" w:rsidR="00384A98" w:rsidRDefault="00000000">
            <w:pPr>
              <w:keepNext/>
              <w:spacing w:before="60" w:after="60"/>
              <w:jc w:val="center"/>
            </w:pPr>
            <w:r>
              <w:rPr>
                <w:b/>
                <w:sz w:val="19"/>
              </w:rPr>
              <w:t>0.7838</w:t>
            </w:r>
          </w:p>
        </w:tc>
        <w:tc>
          <w:tcPr>
            <w:tcW w:w="1150" w:type="dxa"/>
            <w:tcBorders>
              <w:top w:val="single" w:sz="4" w:space="0" w:color="E0E0E0"/>
              <w:bottom w:val="single" w:sz="4" w:space="0" w:color="E0E0E0"/>
            </w:tcBorders>
            <w:shd w:val="clear" w:color="auto" w:fill="E6F2F2"/>
          </w:tcPr>
          <w:p w14:paraId="621D4C55" w14:textId="77777777" w:rsidR="00384A98" w:rsidRDefault="00000000">
            <w:pPr>
              <w:keepNext/>
              <w:spacing w:before="60" w:after="60"/>
              <w:jc w:val="center"/>
            </w:pPr>
            <w:r>
              <w:rPr>
                <w:b/>
                <w:sz w:val="19"/>
              </w:rPr>
              <w:t>0.8249</w:t>
            </w:r>
          </w:p>
        </w:tc>
        <w:tc>
          <w:tcPr>
            <w:tcW w:w="2060" w:type="dxa"/>
            <w:tcBorders>
              <w:top w:val="single" w:sz="4" w:space="0" w:color="E0E0E0"/>
              <w:bottom w:val="single" w:sz="4" w:space="0" w:color="E0E0E0"/>
            </w:tcBorders>
            <w:shd w:val="clear" w:color="auto" w:fill="E6F2F2"/>
          </w:tcPr>
          <w:p w14:paraId="190633D8" w14:textId="77777777" w:rsidR="00384A98" w:rsidRDefault="00000000">
            <w:pPr>
              <w:keepNext/>
              <w:spacing w:before="60" w:after="60"/>
              <w:jc w:val="center"/>
            </w:pPr>
            <w:r>
              <w:rPr>
                <w:b/>
                <w:sz w:val="19"/>
              </w:rPr>
              <w:t>21.3</w:t>
            </w:r>
          </w:p>
        </w:tc>
      </w:tr>
      <w:tr w:rsidR="00384A98" w14:paraId="2671968F" w14:textId="77777777">
        <w:trPr>
          <w:cantSplit/>
          <w:jc w:val="center"/>
        </w:trPr>
        <w:tc>
          <w:tcPr>
            <w:tcW w:w="2400" w:type="dxa"/>
            <w:tcBorders>
              <w:top w:val="single" w:sz="4" w:space="0" w:color="E0E0E0"/>
              <w:bottom w:val="single" w:sz="4" w:space="0" w:color="E0E0E0"/>
            </w:tcBorders>
            <w:shd w:val="clear" w:color="auto" w:fill="F9FAFB"/>
          </w:tcPr>
          <w:p w14:paraId="748C6BB3" w14:textId="77777777" w:rsidR="00384A98" w:rsidRDefault="00000000">
            <w:pPr>
              <w:keepNext/>
              <w:spacing w:before="60" w:after="60"/>
            </w:pPr>
            <w:r>
              <w:rPr>
                <w:sz w:val="19"/>
              </w:rPr>
              <w:t>Hybrid-RRF (all three)</w:t>
            </w:r>
          </w:p>
        </w:tc>
        <w:tc>
          <w:tcPr>
            <w:tcW w:w="900" w:type="dxa"/>
            <w:tcBorders>
              <w:top w:val="single" w:sz="4" w:space="0" w:color="E0E0E0"/>
              <w:bottom w:val="single" w:sz="4" w:space="0" w:color="E0E0E0"/>
            </w:tcBorders>
            <w:shd w:val="clear" w:color="auto" w:fill="F9FAFB"/>
          </w:tcPr>
          <w:p w14:paraId="4A0CAC3C" w14:textId="77777777" w:rsidR="00384A98" w:rsidRDefault="00000000">
            <w:pPr>
              <w:keepNext/>
              <w:spacing w:before="60" w:after="60"/>
              <w:jc w:val="center"/>
            </w:pPr>
            <w:r>
              <w:rPr>
                <w:sz w:val="19"/>
              </w:rPr>
              <w:t>0.8923</w:t>
            </w:r>
          </w:p>
        </w:tc>
        <w:tc>
          <w:tcPr>
            <w:tcW w:w="900" w:type="dxa"/>
            <w:tcBorders>
              <w:top w:val="single" w:sz="4" w:space="0" w:color="E0E0E0"/>
              <w:bottom w:val="single" w:sz="4" w:space="0" w:color="E0E0E0"/>
            </w:tcBorders>
            <w:shd w:val="clear" w:color="auto" w:fill="F9FAFB"/>
          </w:tcPr>
          <w:p w14:paraId="63385D86" w14:textId="77777777" w:rsidR="00384A98" w:rsidRDefault="00000000">
            <w:pPr>
              <w:keepNext/>
              <w:spacing w:before="60" w:after="60"/>
              <w:jc w:val="center"/>
            </w:pPr>
            <w:r>
              <w:rPr>
                <w:sz w:val="19"/>
              </w:rPr>
              <w:t>0.9725</w:t>
            </w:r>
          </w:p>
        </w:tc>
        <w:tc>
          <w:tcPr>
            <w:tcW w:w="1050" w:type="dxa"/>
            <w:tcBorders>
              <w:top w:val="single" w:sz="4" w:space="0" w:color="E0E0E0"/>
              <w:bottom w:val="single" w:sz="4" w:space="0" w:color="E0E0E0"/>
            </w:tcBorders>
            <w:shd w:val="clear" w:color="auto" w:fill="F9FAFB"/>
          </w:tcPr>
          <w:p w14:paraId="0468D4D2" w14:textId="77777777" w:rsidR="00384A98" w:rsidRDefault="00000000">
            <w:pPr>
              <w:keepNext/>
              <w:spacing w:before="60" w:after="60"/>
              <w:jc w:val="center"/>
            </w:pPr>
            <w:r>
              <w:rPr>
                <w:sz w:val="19"/>
              </w:rPr>
              <w:t>0.7141</w:t>
            </w:r>
          </w:p>
        </w:tc>
        <w:tc>
          <w:tcPr>
            <w:tcW w:w="900" w:type="dxa"/>
            <w:tcBorders>
              <w:top w:val="single" w:sz="4" w:space="0" w:color="E0E0E0"/>
              <w:bottom w:val="single" w:sz="4" w:space="0" w:color="E0E0E0"/>
            </w:tcBorders>
            <w:shd w:val="clear" w:color="auto" w:fill="F9FAFB"/>
          </w:tcPr>
          <w:p w14:paraId="44B9286C" w14:textId="77777777" w:rsidR="00384A98" w:rsidRDefault="00000000">
            <w:pPr>
              <w:keepNext/>
              <w:spacing w:before="60" w:after="60"/>
              <w:jc w:val="center"/>
            </w:pPr>
            <w:r>
              <w:rPr>
                <w:sz w:val="19"/>
              </w:rPr>
              <w:t>0.7000</w:t>
            </w:r>
          </w:p>
        </w:tc>
        <w:tc>
          <w:tcPr>
            <w:tcW w:w="1150" w:type="dxa"/>
            <w:tcBorders>
              <w:top w:val="single" w:sz="4" w:space="0" w:color="E0E0E0"/>
              <w:bottom w:val="single" w:sz="4" w:space="0" w:color="E0E0E0"/>
            </w:tcBorders>
            <w:shd w:val="clear" w:color="auto" w:fill="F9FAFB"/>
          </w:tcPr>
          <w:p w14:paraId="0E50908D" w14:textId="77777777" w:rsidR="00384A98" w:rsidRDefault="00000000">
            <w:pPr>
              <w:keepNext/>
              <w:spacing w:before="60" w:after="60"/>
              <w:jc w:val="center"/>
            </w:pPr>
            <w:r>
              <w:rPr>
                <w:sz w:val="19"/>
              </w:rPr>
              <w:t>0.7488</w:t>
            </w:r>
          </w:p>
        </w:tc>
        <w:tc>
          <w:tcPr>
            <w:tcW w:w="2060" w:type="dxa"/>
            <w:tcBorders>
              <w:top w:val="single" w:sz="4" w:space="0" w:color="E0E0E0"/>
              <w:bottom w:val="single" w:sz="4" w:space="0" w:color="E0E0E0"/>
            </w:tcBorders>
            <w:shd w:val="clear" w:color="auto" w:fill="F9FAFB"/>
          </w:tcPr>
          <w:p w14:paraId="43C6387B" w14:textId="77777777" w:rsidR="00384A98" w:rsidRDefault="00000000">
            <w:pPr>
              <w:keepNext/>
              <w:spacing w:before="60" w:after="60"/>
              <w:jc w:val="center"/>
            </w:pPr>
            <w:r>
              <w:rPr>
                <w:sz w:val="19"/>
              </w:rPr>
              <w:t>69.6</w:t>
            </w:r>
          </w:p>
        </w:tc>
      </w:tr>
      <w:tr w:rsidR="00384A98" w14:paraId="61E53CF4" w14:textId="77777777">
        <w:trPr>
          <w:cantSplit/>
          <w:jc w:val="center"/>
        </w:trPr>
        <w:tc>
          <w:tcPr>
            <w:tcW w:w="2400" w:type="dxa"/>
            <w:tcBorders>
              <w:top w:val="single" w:sz="4" w:space="0" w:color="E0E0E0"/>
              <w:bottom w:val="single" w:sz="4" w:space="0" w:color="E0E0E0"/>
            </w:tcBorders>
            <w:shd w:val="clear" w:color="auto" w:fill="F9FAFB"/>
          </w:tcPr>
          <w:p w14:paraId="6EA9B78D" w14:textId="77777777" w:rsidR="00384A98" w:rsidRDefault="00000000">
            <w:pPr>
              <w:keepNext/>
              <w:spacing w:before="60" w:after="60"/>
            </w:pPr>
            <w:r>
              <w:rPr>
                <w:sz w:val="19"/>
              </w:rPr>
              <w:t>RRF (BM25 + Dense)</w:t>
            </w:r>
          </w:p>
        </w:tc>
        <w:tc>
          <w:tcPr>
            <w:tcW w:w="900" w:type="dxa"/>
            <w:tcBorders>
              <w:top w:val="single" w:sz="4" w:space="0" w:color="E0E0E0"/>
              <w:bottom w:val="single" w:sz="4" w:space="0" w:color="E0E0E0"/>
            </w:tcBorders>
            <w:shd w:val="clear" w:color="auto" w:fill="F9FAFB"/>
          </w:tcPr>
          <w:p w14:paraId="7FF3809F" w14:textId="77777777" w:rsidR="00384A98" w:rsidRDefault="00000000">
            <w:pPr>
              <w:keepNext/>
              <w:spacing w:before="60" w:after="60"/>
              <w:jc w:val="center"/>
            </w:pPr>
            <w:r>
              <w:rPr>
                <w:sz w:val="19"/>
              </w:rPr>
              <w:t>0.9404</w:t>
            </w:r>
          </w:p>
        </w:tc>
        <w:tc>
          <w:tcPr>
            <w:tcW w:w="900" w:type="dxa"/>
            <w:tcBorders>
              <w:top w:val="single" w:sz="4" w:space="0" w:color="E0E0E0"/>
              <w:bottom w:val="single" w:sz="4" w:space="0" w:color="E0E0E0"/>
            </w:tcBorders>
            <w:shd w:val="clear" w:color="auto" w:fill="F9FAFB"/>
          </w:tcPr>
          <w:p w14:paraId="3B9A6340" w14:textId="77777777" w:rsidR="00384A98" w:rsidRDefault="00000000">
            <w:pPr>
              <w:keepNext/>
              <w:spacing w:before="60" w:after="60"/>
              <w:jc w:val="center"/>
            </w:pPr>
            <w:r>
              <w:rPr>
                <w:sz w:val="19"/>
              </w:rPr>
              <w:t>0.9890</w:t>
            </w:r>
          </w:p>
        </w:tc>
        <w:tc>
          <w:tcPr>
            <w:tcW w:w="1050" w:type="dxa"/>
            <w:tcBorders>
              <w:top w:val="single" w:sz="4" w:space="0" w:color="E0E0E0"/>
              <w:bottom w:val="single" w:sz="4" w:space="0" w:color="E0E0E0"/>
            </w:tcBorders>
            <w:shd w:val="clear" w:color="auto" w:fill="F9FAFB"/>
          </w:tcPr>
          <w:p w14:paraId="2CDE6219" w14:textId="77777777" w:rsidR="00384A98" w:rsidRDefault="00000000">
            <w:pPr>
              <w:keepNext/>
              <w:spacing w:before="60" w:after="60"/>
              <w:jc w:val="center"/>
            </w:pPr>
            <w:r>
              <w:rPr>
                <w:sz w:val="19"/>
              </w:rPr>
              <w:t>0.7707</w:t>
            </w:r>
          </w:p>
        </w:tc>
        <w:tc>
          <w:tcPr>
            <w:tcW w:w="900" w:type="dxa"/>
            <w:tcBorders>
              <w:top w:val="single" w:sz="4" w:space="0" w:color="E0E0E0"/>
              <w:bottom w:val="single" w:sz="4" w:space="0" w:color="E0E0E0"/>
            </w:tcBorders>
            <w:shd w:val="clear" w:color="auto" w:fill="F9FAFB"/>
          </w:tcPr>
          <w:p w14:paraId="6A66165F" w14:textId="77777777" w:rsidR="00384A98" w:rsidRDefault="00000000">
            <w:pPr>
              <w:keepNext/>
              <w:spacing w:before="60" w:after="60"/>
              <w:jc w:val="center"/>
            </w:pPr>
            <w:r>
              <w:rPr>
                <w:sz w:val="19"/>
              </w:rPr>
              <w:t>0.7572</w:t>
            </w:r>
          </w:p>
        </w:tc>
        <w:tc>
          <w:tcPr>
            <w:tcW w:w="1150" w:type="dxa"/>
            <w:tcBorders>
              <w:top w:val="single" w:sz="4" w:space="0" w:color="E0E0E0"/>
              <w:bottom w:val="single" w:sz="4" w:space="0" w:color="E0E0E0"/>
            </w:tcBorders>
            <w:shd w:val="clear" w:color="auto" w:fill="F9FAFB"/>
          </w:tcPr>
          <w:p w14:paraId="69752AAD" w14:textId="77777777" w:rsidR="00384A98" w:rsidRDefault="00000000">
            <w:pPr>
              <w:keepNext/>
              <w:spacing w:before="60" w:after="60"/>
              <w:jc w:val="center"/>
            </w:pPr>
            <w:r>
              <w:rPr>
                <w:sz w:val="19"/>
              </w:rPr>
              <w:t>0.8044</w:t>
            </w:r>
          </w:p>
        </w:tc>
        <w:tc>
          <w:tcPr>
            <w:tcW w:w="2060" w:type="dxa"/>
            <w:tcBorders>
              <w:top w:val="single" w:sz="4" w:space="0" w:color="E0E0E0"/>
              <w:bottom w:val="single" w:sz="4" w:space="0" w:color="E0E0E0"/>
            </w:tcBorders>
            <w:shd w:val="clear" w:color="auto" w:fill="F9FAFB"/>
          </w:tcPr>
          <w:p w14:paraId="4EF32BD4" w14:textId="77777777" w:rsidR="00384A98" w:rsidRDefault="00000000">
            <w:pPr>
              <w:keepNext/>
              <w:spacing w:before="60" w:after="60"/>
              <w:jc w:val="center"/>
            </w:pPr>
            <w:r>
              <w:rPr>
                <w:sz w:val="19"/>
              </w:rPr>
              <w:t>—</w:t>
            </w:r>
          </w:p>
        </w:tc>
      </w:tr>
      <w:tr w:rsidR="00384A98" w14:paraId="507BFDC8" w14:textId="77777777">
        <w:trPr>
          <w:cantSplit/>
          <w:jc w:val="center"/>
        </w:trPr>
        <w:tc>
          <w:tcPr>
            <w:tcW w:w="2400" w:type="dxa"/>
            <w:tcBorders>
              <w:top w:val="single" w:sz="4" w:space="0" w:color="E0E0E0"/>
              <w:bottom w:val="single" w:sz="4" w:space="0" w:color="E0E0E0"/>
            </w:tcBorders>
            <w:shd w:val="clear" w:color="auto" w:fill="F9FAFB"/>
          </w:tcPr>
          <w:p w14:paraId="32604DC9" w14:textId="77777777" w:rsidR="00384A98" w:rsidRDefault="00000000">
            <w:pPr>
              <w:keepNext/>
              <w:spacing w:before="60" w:after="60"/>
            </w:pPr>
            <w:r>
              <w:rPr>
                <w:sz w:val="19"/>
              </w:rPr>
              <w:t>RRF (TF-IDF + BM25)</w:t>
            </w:r>
          </w:p>
        </w:tc>
        <w:tc>
          <w:tcPr>
            <w:tcW w:w="900" w:type="dxa"/>
            <w:tcBorders>
              <w:top w:val="single" w:sz="4" w:space="0" w:color="E0E0E0"/>
              <w:bottom w:val="single" w:sz="4" w:space="0" w:color="E0E0E0"/>
            </w:tcBorders>
            <w:shd w:val="clear" w:color="auto" w:fill="F9FAFB"/>
          </w:tcPr>
          <w:p w14:paraId="3394D623" w14:textId="77777777" w:rsidR="00384A98" w:rsidRDefault="00000000">
            <w:pPr>
              <w:keepNext/>
              <w:spacing w:before="60" w:after="60"/>
              <w:jc w:val="center"/>
            </w:pPr>
            <w:r>
              <w:rPr>
                <w:sz w:val="19"/>
              </w:rPr>
              <w:t>0.7971</w:t>
            </w:r>
          </w:p>
        </w:tc>
        <w:tc>
          <w:tcPr>
            <w:tcW w:w="900" w:type="dxa"/>
            <w:tcBorders>
              <w:top w:val="single" w:sz="4" w:space="0" w:color="E0E0E0"/>
              <w:bottom w:val="single" w:sz="4" w:space="0" w:color="E0E0E0"/>
            </w:tcBorders>
            <w:shd w:val="clear" w:color="auto" w:fill="F9FAFB"/>
          </w:tcPr>
          <w:p w14:paraId="6FE7C671" w14:textId="77777777" w:rsidR="00384A98" w:rsidRDefault="00000000">
            <w:pPr>
              <w:keepNext/>
              <w:spacing w:before="60" w:after="60"/>
              <w:jc w:val="center"/>
            </w:pPr>
            <w:r>
              <w:rPr>
                <w:sz w:val="19"/>
              </w:rPr>
              <w:t>0.9206</w:t>
            </w:r>
          </w:p>
        </w:tc>
        <w:tc>
          <w:tcPr>
            <w:tcW w:w="1050" w:type="dxa"/>
            <w:tcBorders>
              <w:top w:val="single" w:sz="4" w:space="0" w:color="E0E0E0"/>
              <w:bottom w:val="single" w:sz="4" w:space="0" w:color="E0E0E0"/>
            </w:tcBorders>
            <w:shd w:val="clear" w:color="auto" w:fill="F9FAFB"/>
          </w:tcPr>
          <w:p w14:paraId="29B4D311" w14:textId="77777777" w:rsidR="00384A98" w:rsidRDefault="00000000">
            <w:pPr>
              <w:keepNext/>
              <w:spacing w:before="60" w:after="60"/>
              <w:jc w:val="center"/>
            </w:pPr>
            <w:r>
              <w:rPr>
                <w:sz w:val="19"/>
              </w:rPr>
              <w:t>0.5933</w:t>
            </w:r>
          </w:p>
        </w:tc>
        <w:tc>
          <w:tcPr>
            <w:tcW w:w="900" w:type="dxa"/>
            <w:tcBorders>
              <w:top w:val="single" w:sz="4" w:space="0" w:color="E0E0E0"/>
              <w:bottom w:val="single" w:sz="4" w:space="0" w:color="E0E0E0"/>
            </w:tcBorders>
            <w:shd w:val="clear" w:color="auto" w:fill="F9FAFB"/>
          </w:tcPr>
          <w:p w14:paraId="1911E9F3" w14:textId="77777777" w:rsidR="00384A98" w:rsidRDefault="00000000">
            <w:pPr>
              <w:keepNext/>
              <w:spacing w:before="60" w:after="60"/>
              <w:jc w:val="center"/>
            </w:pPr>
            <w:r>
              <w:rPr>
                <w:sz w:val="19"/>
              </w:rPr>
              <w:t>0.5839</w:t>
            </w:r>
          </w:p>
        </w:tc>
        <w:tc>
          <w:tcPr>
            <w:tcW w:w="1150" w:type="dxa"/>
            <w:tcBorders>
              <w:top w:val="single" w:sz="4" w:space="0" w:color="E0E0E0"/>
              <w:bottom w:val="single" w:sz="4" w:space="0" w:color="E0E0E0"/>
            </w:tcBorders>
            <w:shd w:val="clear" w:color="auto" w:fill="F9FAFB"/>
          </w:tcPr>
          <w:p w14:paraId="5F48E0A6" w14:textId="77777777" w:rsidR="00384A98" w:rsidRDefault="00000000">
            <w:pPr>
              <w:keepNext/>
              <w:spacing w:before="60" w:after="60"/>
              <w:jc w:val="center"/>
            </w:pPr>
            <w:r>
              <w:rPr>
                <w:sz w:val="19"/>
              </w:rPr>
              <w:t>0.6351</w:t>
            </w:r>
          </w:p>
        </w:tc>
        <w:tc>
          <w:tcPr>
            <w:tcW w:w="2060" w:type="dxa"/>
            <w:tcBorders>
              <w:top w:val="single" w:sz="4" w:space="0" w:color="E0E0E0"/>
              <w:bottom w:val="single" w:sz="4" w:space="0" w:color="E0E0E0"/>
            </w:tcBorders>
            <w:shd w:val="clear" w:color="auto" w:fill="F9FAFB"/>
          </w:tcPr>
          <w:p w14:paraId="09DF2430" w14:textId="77777777" w:rsidR="00384A98" w:rsidRDefault="00000000">
            <w:pPr>
              <w:keepNext/>
              <w:spacing w:before="60" w:after="60"/>
              <w:jc w:val="center"/>
            </w:pPr>
            <w:r>
              <w:rPr>
                <w:sz w:val="19"/>
              </w:rPr>
              <w:t>—</w:t>
            </w:r>
          </w:p>
        </w:tc>
      </w:tr>
      <w:tr w:rsidR="00384A98" w14:paraId="34F81873" w14:textId="77777777">
        <w:trPr>
          <w:cantSplit/>
          <w:jc w:val="center"/>
        </w:trPr>
        <w:tc>
          <w:tcPr>
            <w:tcW w:w="2400" w:type="dxa"/>
            <w:tcBorders>
              <w:top w:val="single" w:sz="4" w:space="0" w:color="E0E0E0"/>
              <w:bottom w:val="single" w:sz="4" w:space="0" w:color="E0E0E0"/>
            </w:tcBorders>
            <w:shd w:val="clear" w:color="auto" w:fill="F9FAFB"/>
          </w:tcPr>
          <w:p w14:paraId="3FC3D246" w14:textId="77777777" w:rsidR="00384A98" w:rsidRDefault="00000000">
            <w:pPr>
              <w:spacing w:before="60" w:after="60"/>
            </w:pPr>
            <w:r>
              <w:rPr>
                <w:sz w:val="19"/>
              </w:rPr>
              <w:t>RRF (TF-IDF + Dense)</w:t>
            </w:r>
          </w:p>
        </w:tc>
        <w:tc>
          <w:tcPr>
            <w:tcW w:w="900" w:type="dxa"/>
            <w:tcBorders>
              <w:top w:val="single" w:sz="4" w:space="0" w:color="E0E0E0"/>
              <w:bottom w:val="single" w:sz="4" w:space="0" w:color="E0E0E0"/>
            </w:tcBorders>
            <w:shd w:val="clear" w:color="auto" w:fill="F9FAFB"/>
          </w:tcPr>
          <w:p w14:paraId="5666A17E" w14:textId="77777777" w:rsidR="00384A98" w:rsidRDefault="00000000">
            <w:pPr>
              <w:spacing w:before="60" w:after="60"/>
              <w:jc w:val="center"/>
            </w:pPr>
            <w:r>
              <w:rPr>
                <w:sz w:val="19"/>
              </w:rPr>
              <w:t>0.8948</w:t>
            </w:r>
          </w:p>
        </w:tc>
        <w:tc>
          <w:tcPr>
            <w:tcW w:w="900" w:type="dxa"/>
            <w:tcBorders>
              <w:top w:val="single" w:sz="4" w:space="0" w:color="E0E0E0"/>
              <w:bottom w:val="single" w:sz="4" w:space="0" w:color="E0E0E0"/>
            </w:tcBorders>
            <w:shd w:val="clear" w:color="auto" w:fill="F9FAFB"/>
          </w:tcPr>
          <w:p w14:paraId="3A4E455A" w14:textId="77777777" w:rsidR="00384A98" w:rsidRDefault="00000000">
            <w:pPr>
              <w:spacing w:before="60" w:after="60"/>
              <w:jc w:val="center"/>
            </w:pPr>
            <w:r>
              <w:rPr>
                <w:sz w:val="19"/>
              </w:rPr>
              <w:t>0.9835</w:t>
            </w:r>
          </w:p>
        </w:tc>
        <w:tc>
          <w:tcPr>
            <w:tcW w:w="1050" w:type="dxa"/>
            <w:tcBorders>
              <w:top w:val="single" w:sz="4" w:space="0" w:color="E0E0E0"/>
              <w:bottom w:val="single" w:sz="4" w:space="0" w:color="E0E0E0"/>
            </w:tcBorders>
            <w:shd w:val="clear" w:color="auto" w:fill="F9FAFB"/>
          </w:tcPr>
          <w:p w14:paraId="67C75AB8" w14:textId="77777777" w:rsidR="00384A98" w:rsidRDefault="00000000">
            <w:pPr>
              <w:spacing w:before="60" w:after="60"/>
              <w:jc w:val="center"/>
            </w:pPr>
            <w:r>
              <w:rPr>
                <w:sz w:val="19"/>
              </w:rPr>
              <w:t>0.6545</w:t>
            </w:r>
          </w:p>
        </w:tc>
        <w:tc>
          <w:tcPr>
            <w:tcW w:w="900" w:type="dxa"/>
            <w:tcBorders>
              <w:top w:val="single" w:sz="4" w:space="0" w:color="E0E0E0"/>
              <w:bottom w:val="single" w:sz="4" w:space="0" w:color="E0E0E0"/>
            </w:tcBorders>
            <w:shd w:val="clear" w:color="auto" w:fill="F9FAFB"/>
          </w:tcPr>
          <w:p w14:paraId="65F03A8E" w14:textId="77777777" w:rsidR="00384A98" w:rsidRDefault="00000000">
            <w:pPr>
              <w:spacing w:before="60" w:after="60"/>
              <w:jc w:val="center"/>
            </w:pPr>
            <w:r>
              <w:rPr>
                <w:sz w:val="19"/>
              </w:rPr>
              <w:t>0.6433</w:t>
            </w:r>
          </w:p>
        </w:tc>
        <w:tc>
          <w:tcPr>
            <w:tcW w:w="1150" w:type="dxa"/>
            <w:tcBorders>
              <w:top w:val="single" w:sz="4" w:space="0" w:color="E0E0E0"/>
              <w:bottom w:val="single" w:sz="4" w:space="0" w:color="E0E0E0"/>
            </w:tcBorders>
            <w:shd w:val="clear" w:color="auto" w:fill="F9FAFB"/>
          </w:tcPr>
          <w:p w14:paraId="4C034123" w14:textId="77777777" w:rsidR="00384A98" w:rsidRDefault="00000000">
            <w:pPr>
              <w:spacing w:before="60" w:after="60"/>
              <w:jc w:val="center"/>
            </w:pPr>
            <w:r>
              <w:rPr>
                <w:sz w:val="19"/>
              </w:rPr>
              <w:t>0.7051</w:t>
            </w:r>
          </w:p>
        </w:tc>
        <w:tc>
          <w:tcPr>
            <w:tcW w:w="2060" w:type="dxa"/>
            <w:tcBorders>
              <w:top w:val="single" w:sz="4" w:space="0" w:color="E0E0E0"/>
              <w:bottom w:val="single" w:sz="4" w:space="0" w:color="E0E0E0"/>
            </w:tcBorders>
            <w:shd w:val="clear" w:color="auto" w:fill="F9FAFB"/>
          </w:tcPr>
          <w:p w14:paraId="33E6B69B" w14:textId="77777777" w:rsidR="00384A98" w:rsidRDefault="00000000">
            <w:pPr>
              <w:spacing w:before="60" w:after="60"/>
              <w:jc w:val="center"/>
            </w:pPr>
            <w:r>
              <w:rPr>
                <w:sz w:val="19"/>
              </w:rPr>
              <w:t>—</w:t>
            </w:r>
          </w:p>
        </w:tc>
      </w:tr>
    </w:tbl>
    <w:p w14:paraId="2CCEB9D6" w14:textId="77777777" w:rsidR="00384A98" w:rsidRDefault="00384A98">
      <w:pPr>
        <w:spacing w:after="100"/>
      </w:pPr>
    </w:p>
    <w:p w14:paraId="11BC1A37" w14:textId="6210DCA8" w:rsidR="00384A98" w:rsidRDefault="00000000">
      <w:pPr>
        <w:spacing w:after="120"/>
      </w:pPr>
      <w:r>
        <w:rPr>
          <w:b/>
          <w:color w:val="1B365D"/>
        </w:rPr>
        <w:t>Ablation.</w:t>
      </w:r>
      <w:r>
        <w:t xml:space="preserve"> Fusing BM25 with the dense retriever gives the best hybrid (nDCG@10 = 0.804). It is still below dense alone, but it reaches the highest Recall@50 (0.9890) and Recall@100 (0.9929) of any </w:t>
      </w:r>
      <w:proofErr w:type="spellStart"/>
      <w:r>
        <w:t>confiuration</w:t>
      </w:r>
      <w:proofErr w:type="spellEnd"/>
      <w:r>
        <w:t xml:space="preserve">, so fusion helps slightly at greater depth, which would matter if the list feeds a re-ranker. Adding TF-IDF consistently hurts: it lowers the BM25 + dense result from 0.804 to 0.749, and fusing the two lexical rankers (TF-IDF + BM25, nDCG@10 = 0.635) is </w:t>
      </w:r>
      <w:proofErr w:type="spellStart"/>
      <w:r>
        <w:t>worsethan</w:t>
      </w:r>
      <w:proofErr w:type="spellEnd"/>
      <w:r>
        <w:t xml:space="preserve"> BM25 alone (0.681). Fusing a weak ranking with equal weight lets its errors outvote the stronger ranking. </w:t>
      </w:r>
      <w:r>
        <w:rPr>
          <w:b/>
          <w:color w:val="1B365D"/>
        </w:rPr>
        <w:t>Latency.</w:t>
      </w:r>
      <w:r>
        <w:t xml:space="preserve"> TF-IDF, BM25 and dense search each take 20–25 ms per query. The hybrid takes 69.6 ms, close to the sum of its three components (66.6 ms) plus a small fusion cost, so it is about three times slower than dense alone while being less accurate. Latency was recorded for the primary configurations only.</w:t>
      </w:r>
    </w:p>
    <w:tbl>
      <w:tblPr>
        <w:tblW w:w="9360" w:type="dxa"/>
        <w:jc w:val="center"/>
        <w:tblLayout w:type="fixed"/>
        <w:tblLook w:val="04A0" w:firstRow="1" w:lastRow="0" w:firstColumn="1" w:lastColumn="0" w:noHBand="0" w:noVBand="1"/>
      </w:tblPr>
      <w:tblGrid>
        <w:gridCol w:w="4680"/>
        <w:gridCol w:w="4680"/>
      </w:tblGrid>
      <w:tr w:rsidR="00384A98" w14:paraId="60C553E6" w14:textId="77777777">
        <w:trPr>
          <w:cantSplit/>
          <w:jc w:val="center"/>
        </w:trPr>
        <w:tc>
          <w:tcPr>
            <w:tcW w:w="4680" w:type="dxa"/>
            <w:vAlign w:val="bottom"/>
          </w:tcPr>
          <w:p w14:paraId="784670CA" w14:textId="77777777" w:rsidR="00384A98" w:rsidRDefault="00000000">
            <w:pPr>
              <w:keepNext/>
              <w:spacing w:before="60" w:after="0"/>
              <w:jc w:val="center"/>
            </w:pPr>
            <w:r>
              <w:rPr>
                <w:noProof/>
              </w:rPr>
              <w:drawing>
                <wp:inline distT="0" distB="0" distL="0" distR="0" wp14:anchorId="23ABF271" wp14:editId="761EF88B">
                  <wp:extent cx="2833370" cy="2304712"/>
                  <wp:effectExtent l="0" t="0" r="5080" b="635"/>
                  <wp:docPr id="101" name="pr_curve.png" descr="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r_curve.png"/>
                          <pic:cNvPicPr/>
                        </pic:nvPicPr>
                        <pic:blipFill>
                          <a:blip r:embed="rId8"/>
                          <a:stretch>
                            <a:fillRect/>
                          </a:stretch>
                        </pic:blipFill>
                        <pic:spPr>
                          <a:xfrm>
                            <a:off x="0" y="0"/>
                            <a:ext cx="2839355" cy="2309581"/>
                          </a:xfrm>
                          <a:prstGeom prst="rect">
                            <a:avLst/>
                          </a:prstGeom>
                        </pic:spPr>
                      </pic:pic>
                    </a:graphicData>
                  </a:graphic>
                </wp:inline>
              </w:drawing>
            </w:r>
          </w:p>
          <w:p w14:paraId="4161FA28" w14:textId="77777777" w:rsidR="00384A98" w:rsidRDefault="00000000">
            <w:pPr>
              <w:spacing w:before="60" w:after="120"/>
              <w:jc w:val="center"/>
            </w:pPr>
            <w:r>
              <w:rPr>
                <w:i/>
                <w:color w:val="666666"/>
                <w:sz w:val="19"/>
              </w:rPr>
              <w:t>Figure 2: 11-point interpolated Precision–Recall curves.</w:t>
            </w:r>
          </w:p>
        </w:tc>
        <w:tc>
          <w:tcPr>
            <w:tcW w:w="4680" w:type="dxa"/>
            <w:vAlign w:val="bottom"/>
          </w:tcPr>
          <w:p w14:paraId="66C6A546" w14:textId="77777777" w:rsidR="00384A98" w:rsidRDefault="00000000">
            <w:pPr>
              <w:keepNext/>
              <w:spacing w:before="60" w:after="0"/>
              <w:jc w:val="center"/>
            </w:pPr>
            <w:r>
              <w:rPr>
                <w:noProof/>
              </w:rPr>
              <w:drawing>
                <wp:inline distT="0" distB="0" distL="0" distR="0" wp14:anchorId="5EC0F003" wp14:editId="5CCB728D">
                  <wp:extent cx="2834005" cy="2361786"/>
                  <wp:effectExtent l="0" t="0" r="4445" b="635"/>
                  <wp:docPr id="102" name="bm25_heatmap.png" descr="bm2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m25_heatmap.png"/>
                          <pic:cNvPicPr/>
                        </pic:nvPicPr>
                        <pic:blipFill>
                          <a:blip r:embed="rId9"/>
                          <a:stretch>
                            <a:fillRect/>
                          </a:stretch>
                        </pic:blipFill>
                        <pic:spPr>
                          <a:xfrm>
                            <a:off x="0" y="0"/>
                            <a:ext cx="2836280" cy="2363682"/>
                          </a:xfrm>
                          <a:prstGeom prst="rect">
                            <a:avLst/>
                          </a:prstGeom>
                        </pic:spPr>
                      </pic:pic>
                    </a:graphicData>
                  </a:graphic>
                </wp:inline>
              </w:drawing>
            </w:r>
          </w:p>
          <w:p w14:paraId="6DBF58FA" w14:textId="77777777" w:rsidR="00384A98" w:rsidRDefault="00000000">
            <w:pPr>
              <w:spacing w:before="60" w:after="120"/>
              <w:jc w:val="center"/>
            </w:pPr>
            <w:r>
              <w:rPr>
                <w:i/>
                <w:color w:val="666666"/>
                <w:sz w:val="19"/>
              </w:rPr>
              <w:t>Figure 3: BM25 grid search (dev nDCG@10).</w:t>
            </w:r>
          </w:p>
        </w:tc>
      </w:tr>
    </w:tbl>
    <w:p w14:paraId="0D3079BF" w14:textId="1D31D28D" w:rsidR="00384A98" w:rsidRDefault="00000000">
      <w:pPr>
        <w:spacing w:after="120"/>
      </w:pPr>
      <w:r>
        <w:t xml:space="preserve">Figure 2 shows that the ordering Dense &gt; Hybrid &gt; BM25 &gt; TF-IDF holds at every recall level. The curves are almost flat (dense falls only from about 0.80 to 0.77) because most queries have a single relevant passage, so precision depends mainly on whether </w:t>
      </w:r>
      <w:proofErr w:type="spellStart"/>
      <w:r>
        <w:t>tat</w:t>
      </w:r>
      <w:proofErr w:type="spellEnd"/>
      <w:r>
        <w:t xml:space="preserve"> passage is ranked first. Figure 3 shows that BM25 prefers low values of both parameters: dev nDCG@10 falls from 0.663 (k1 = 0.9, b = 0.4) to 0.558 (k1 = 2.0, b = 0.9). A weaker length penalty is plausible here because passages are short (48.9 tokens on </w:t>
      </w:r>
      <w:r>
        <w:lastRenderedPageBreak/>
        <w:t>average), so long-document correction adds little and can penalise the passage that contains the answer.</w:t>
      </w:r>
    </w:p>
    <w:tbl>
      <w:tblPr>
        <w:tblW w:w="9360" w:type="dxa"/>
        <w:jc w:val="center"/>
        <w:tblLayout w:type="fixed"/>
        <w:tblLook w:val="04A0" w:firstRow="1" w:lastRow="0" w:firstColumn="1" w:lastColumn="0" w:noHBand="0" w:noVBand="1"/>
      </w:tblPr>
      <w:tblGrid>
        <w:gridCol w:w="4680"/>
        <w:gridCol w:w="4680"/>
      </w:tblGrid>
      <w:tr w:rsidR="00384A98" w14:paraId="28CB2139" w14:textId="77777777">
        <w:trPr>
          <w:cantSplit/>
          <w:jc w:val="center"/>
        </w:trPr>
        <w:tc>
          <w:tcPr>
            <w:tcW w:w="9360" w:type="dxa"/>
            <w:gridSpan w:val="2"/>
            <w:vAlign w:val="bottom"/>
          </w:tcPr>
          <w:p w14:paraId="17BB4A0A" w14:textId="77777777" w:rsidR="00384A98" w:rsidRDefault="00000000">
            <w:pPr>
              <w:keepNext/>
              <w:spacing w:before="60" w:after="0"/>
              <w:jc w:val="center"/>
            </w:pPr>
            <w:r>
              <w:rPr>
                <w:noProof/>
              </w:rPr>
              <w:drawing>
                <wp:inline distT="0" distB="0" distL="0" distR="0" wp14:anchorId="51AE48F7" wp14:editId="26320965">
                  <wp:extent cx="5394960" cy="2675549"/>
                  <wp:effectExtent l="0" t="0" r="0" b="0"/>
                  <wp:docPr id="103" name="metrics_bar.png" descr="metric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etrics_bar.png"/>
                          <pic:cNvPicPr/>
                        </pic:nvPicPr>
                        <pic:blipFill>
                          <a:blip r:embed="rId10"/>
                          <a:stretch>
                            <a:fillRect/>
                          </a:stretch>
                        </pic:blipFill>
                        <pic:spPr>
                          <a:xfrm>
                            <a:off x="0" y="0"/>
                            <a:ext cx="5394960" cy="2675549"/>
                          </a:xfrm>
                          <a:prstGeom prst="rect">
                            <a:avLst/>
                          </a:prstGeom>
                        </pic:spPr>
                      </pic:pic>
                    </a:graphicData>
                  </a:graphic>
                </wp:inline>
              </w:drawing>
            </w:r>
          </w:p>
          <w:p w14:paraId="07141736" w14:textId="77777777" w:rsidR="00384A98" w:rsidRDefault="00000000">
            <w:pPr>
              <w:spacing w:before="60" w:after="120"/>
              <w:jc w:val="center"/>
            </w:pPr>
            <w:r>
              <w:rPr>
                <w:i/>
                <w:color w:val="666666"/>
                <w:sz w:val="19"/>
              </w:rPr>
              <w:t>Figure 4: Metric comparison across all seven models.</w:t>
            </w:r>
          </w:p>
        </w:tc>
      </w:tr>
      <w:tr w:rsidR="00384A98" w14:paraId="6BC0DC4D" w14:textId="77777777">
        <w:trPr>
          <w:cantSplit/>
          <w:jc w:val="center"/>
        </w:trPr>
        <w:tc>
          <w:tcPr>
            <w:tcW w:w="4680" w:type="dxa"/>
            <w:vAlign w:val="bottom"/>
          </w:tcPr>
          <w:p w14:paraId="13C660CD" w14:textId="77777777" w:rsidR="00384A98" w:rsidRDefault="00000000">
            <w:pPr>
              <w:keepNext/>
              <w:spacing w:before="60" w:after="0"/>
              <w:jc w:val="center"/>
            </w:pPr>
            <w:r>
              <w:rPr>
                <w:noProof/>
              </w:rPr>
              <w:drawing>
                <wp:inline distT="0" distB="0" distL="0" distR="0" wp14:anchorId="689F1D1D" wp14:editId="3B2CCEEE">
                  <wp:extent cx="2880360" cy="1910286"/>
                  <wp:effectExtent l="0" t="0" r="0" b="0"/>
                  <wp:docPr id="104" name="ndcg_histogram.png" descr="ndcg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ndcg_histogram.png"/>
                          <pic:cNvPicPr/>
                        </pic:nvPicPr>
                        <pic:blipFill>
                          <a:blip r:embed="rId11"/>
                          <a:stretch>
                            <a:fillRect/>
                          </a:stretch>
                        </pic:blipFill>
                        <pic:spPr>
                          <a:xfrm>
                            <a:off x="0" y="0"/>
                            <a:ext cx="2880360" cy="1910286"/>
                          </a:xfrm>
                          <a:prstGeom prst="rect">
                            <a:avLst/>
                          </a:prstGeom>
                        </pic:spPr>
                      </pic:pic>
                    </a:graphicData>
                  </a:graphic>
                </wp:inline>
              </w:drawing>
            </w:r>
          </w:p>
          <w:p w14:paraId="3C7C4AD3" w14:textId="77777777" w:rsidR="00384A98" w:rsidRDefault="00000000">
            <w:pPr>
              <w:spacing w:before="60" w:after="120"/>
              <w:jc w:val="center"/>
            </w:pPr>
            <w:r>
              <w:rPr>
                <w:i/>
                <w:color w:val="666666"/>
                <w:sz w:val="19"/>
              </w:rPr>
              <w:t>Figure 5: Per-query nDCG@10 distributions.</w:t>
            </w:r>
          </w:p>
        </w:tc>
        <w:tc>
          <w:tcPr>
            <w:tcW w:w="4680" w:type="dxa"/>
            <w:vAlign w:val="bottom"/>
          </w:tcPr>
          <w:p w14:paraId="074F5CE5" w14:textId="77777777" w:rsidR="00384A98" w:rsidRDefault="00000000">
            <w:pPr>
              <w:keepNext/>
              <w:spacing w:before="60" w:after="0"/>
              <w:jc w:val="center"/>
            </w:pPr>
            <w:r>
              <w:rPr>
                <w:noProof/>
              </w:rPr>
              <w:drawing>
                <wp:inline distT="0" distB="0" distL="0" distR="0" wp14:anchorId="410B61CB" wp14:editId="6CB380B6">
                  <wp:extent cx="2240280" cy="2237034"/>
                  <wp:effectExtent l="0" t="0" r="0" b="0"/>
                  <wp:docPr id="105" name="bm25_vs_dense_winloss.png" descr="bm25_vs_dense_win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bm25_vs_dense_winloss.png"/>
                          <pic:cNvPicPr/>
                        </pic:nvPicPr>
                        <pic:blipFill>
                          <a:blip r:embed="rId12"/>
                          <a:stretch>
                            <a:fillRect/>
                          </a:stretch>
                        </pic:blipFill>
                        <pic:spPr>
                          <a:xfrm>
                            <a:off x="0" y="0"/>
                            <a:ext cx="2240280" cy="2237034"/>
                          </a:xfrm>
                          <a:prstGeom prst="rect">
                            <a:avLst/>
                          </a:prstGeom>
                        </pic:spPr>
                      </pic:pic>
                    </a:graphicData>
                  </a:graphic>
                </wp:inline>
              </w:drawing>
            </w:r>
          </w:p>
          <w:p w14:paraId="0AAB614F" w14:textId="77777777" w:rsidR="00384A98" w:rsidRDefault="00000000">
            <w:pPr>
              <w:spacing w:before="60" w:after="120"/>
              <w:jc w:val="center"/>
            </w:pPr>
            <w:r>
              <w:rPr>
                <w:i/>
                <w:color w:val="666666"/>
                <w:sz w:val="19"/>
              </w:rPr>
              <w:t>Figure 6: Per-query BM25 vs Dense nDCG@10.</w:t>
            </w:r>
          </w:p>
        </w:tc>
      </w:tr>
    </w:tbl>
    <w:p w14:paraId="60D0768C" w14:textId="77777777" w:rsidR="00384A98" w:rsidRDefault="00000000">
      <w:pPr>
        <w:spacing w:after="120"/>
      </w:pPr>
      <w:r>
        <w:rPr>
          <w:b/>
          <w:color w:val="1B365D"/>
        </w:rPr>
        <w:t>Per-query behaviour.</w:t>
      </w:r>
      <w:r>
        <w:t xml:space="preserve"> Figure 5 shows that scores are strongly bimodal: a query is usually either answered at rank one or missed in the top ten. Roughly 520 of the 800 queries receive a perfect nDCG@10 from the dense model, against about 395 for BM25 and about 224 for TF-IDF, while the number of complete misses falls from about 237 (TF-IDF) to about 120 (BM25) and about 40 (dense); the hybrid has roughly 72. Figure 6 compares BM25 and dense query by query: dense wins on 323 queries (40.4%), BM25 on 112 (14.0%) and the two tie on 365 (45.6%). The 112 BM25 wins are consistent with the cases where an exact rare term or name decides relevance, but dense wins nearly three times as often, which matches the vocabulary-mismatch pattern described in Section 2. Because RRF is built from rank positions, the 112 queries where BM25 is better cannot offset the larger group where it drags the fused rank down.</w:t>
      </w:r>
    </w:p>
    <w:p w14:paraId="3860CD60" w14:textId="6BA490A8" w:rsidR="00B24390" w:rsidRDefault="00000000">
      <w:pPr>
        <w:keepNext/>
        <w:pageBreakBefore/>
        <w:spacing w:before="360" w:after="120"/>
      </w:pPr>
      <w:r>
        <w:rPr>
          <w:b/>
          <w:color w:val="1B365D"/>
          <w:sz w:val="30"/>
        </w:rPr>
        <w:lastRenderedPageBreak/>
        <w:t>5. Conclusion</w:t>
      </w:r>
      <w:r w:rsidR="006616D2">
        <w:rPr>
          <w:b/>
          <w:color w:val="1B365D"/>
          <w:sz w:val="30"/>
        </w:rPr>
        <w:t xml:space="preserve">                               </w:t>
      </w:r>
    </w:p>
    <w:p w14:paraId="74B3A0A8" w14:textId="77777777" w:rsidR="00384A98" w:rsidRDefault="00000000">
      <w:pPr>
        <w:spacing w:after="120"/>
      </w:pPr>
      <w:r>
        <w:t xml:space="preserve">This work compared TF-IDF, BM25, Sentence-Transformer dense retrieval and RRF hybrid retrieval for evidence retrieval on Natural Questions. The dense retriever was the best system on all reported metrics (nDCG@10 = 0.825, MAP = 0.784), BM25 was a clear second (0.681, 0.633) and TF-IDF a distant third. Three-way RRF improved on both lexical models but was significantly worse than dense retrieval alone, so the common expectation that hybrid search outperforms every single retriever was </w:t>
      </w:r>
      <w:r>
        <w:rPr>
          <w:i/>
        </w:rPr>
        <w:t>not</w:t>
      </w:r>
      <w:r>
        <w:t xml:space="preserve"> confirmed in this setting. The ablation explains why: a BM25 + dense fusion stays close to dense and gives marginally better Recall@50/100, while including the weak TF-IDF ranking pulls the fused ranking down.</w:t>
      </w:r>
    </w:p>
    <w:p w14:paraId="2A27437F" w14:textId="77777777" w:rsidR="00384A98" w:rsidRDefault="00000000">
      <w:r>
        <w:t>Several limitations apply. Evaluation uses a subsampled corpus, one dataset and one dense encoder, and absolute scores are higher than on the full NQ corpus. RRF was run with equal weights and a fixed k = 60 without tuning, and no re-ranker was used. Natural Questions is also a favourable domain for semantic retrieval; datasets dominated by exact identifiers or technical terms may favour lexical or hybrid methods more. Future work will explore weighted or learned fusion that down-weights weak rankers, fusion limited to BM25 and dense lists, cross-encoder re-ranking of the fused top results, stronger dense models, and evaluation on the full corpus and additional benchmarks.</w:t>
      </w:r>
    </w:p>
    <w:p w14:paraId="3F55195B" w14:textId="77777777" w:rsidR="00B24390" w:rsidRDefault="00000000">
      <w:pPr>
        <w:keepNext/>
        <w:spacing w:before="360" w:after="120"/>
      </w:pPr>
      <w:r>
        <w:rPr>
          <w:b/>
          <w:color w:val="1B365D"/>
          <w:sz w:val="30"/>
        </w:rPr>
        <w:t>References</w:t>
      </w:r>
    </w:p>
    <w:p w14:paraId="3EBA9711" w14:textId="77777777" w:rsidR="00B24390" w:rsidRDefault="00000000">
      <w:pPr>
        <w:spacing w:after="80"/>
        <w:ind w:left="360" w:hanging="360"/>
      </w:pPr>
      <w:r>
        <w:rPr>
          <w:color w:val="666666"/>
          <w:sz w:val="19"/>
        </w:rPr>
        <w:t>1. Robertson, S., Zaragoza, H.: The Probabilistic Relevance Framework: BM25 and Beyond. Foundations and Trends in Information Retrieval 3(4), 333–389 (2009)</w:t>
      </w:r>
    </w:p>
    <w:p w14:paraId="17424D4E" w14:textId="77777777" w:rsidR="00B24390" w:rsidRDefault="00000000">
      <w:pPr>
        <w:spacing w:after="80"/>
        <w:ind w:left="360" w:hanging="360"/>
      </w:pPr>
      <w:r>
        <w:rPr>
          <w:color w:val="666666"/>
          <w:sz w:val="19"/>
        </w:rPr>
        <w:t>2. Reimers, N., Gurevych, I.: Sentence-BERT: Sentence Embeddings using Siamese BERT-Networks. In: Proceedings of EMNLP-IJCNLP, pp. 3982–3992 (2019)</w:t>
      </w:r>
    </w:p>
    <w:p w14:paraId="659C72EA" w14:textId="77777777" w:rsidR="00B24390" w:rsidRDefault="00000000">
      <w:pPr>
        <w:spacing w:after="80"/>
        <w:ind w:left="360" w:hanging="360"/>
      </w:pPr>
      <w:r>
        <w:rPr>
          <w:color w:val="666666"/>
          <w:sz w:val="19"/>
        </w:rPr>
        <w:t>3. Cormack, G.V., Clarke, C.R., Buettcher, S.: Reciprocal Rank Fusion outperforms Condorcet and individual Rank Learning Methods. In: Proceedings of SIGIR, pp. 758–759 (2009)</w:t>
      </w:r>
    </w:p>
    <w:p w14:paraId="3DF16315" w14:textId="77777777" w:rsidR="00B24390" w:rsidRDefault="00000000">
      <w:pPr>
        <w:spacing w:after="80"/>
        <w:ind w:left="360" w:hanging="360"/>
      </w:pPr>
      <w:r>
        <w:rPr>
          <w:color w:val="666666"/>
          <w:sz w:val="19"/>
        </w:rPr>
        <w:t>4. Kwiatkowski, T., Palomaki, J., Redfield, O., et al.: Natural Questions: A Benchmark for Question Answering Research. Transactions of the Association for Computational Linguistics 7, 452–466 (2019)</w:t>
      </w:r>
    </w:p>
    <w:p w14:paraId="707301EE" w14:textId="77777777" w:rsidR="00B24390" w:rsidRDefault="00000000">
      <w:pPr>
        <w:spacing w:after="80"/>
        <w:ind w:left="360" w:hanging="360"/>
      </w:pPr>
      <w:r>
        <w:rPr>
          <w:color w:val="666666"/>
          <w:sz w:val="19"/>
        </w:rPr>
        <w:t>5. Thakur, N., Reimers, N., Rücklé, A., Srivastava, A., Gurevych, I.: BEIR: A Heterogeneous Benchmark for Zero-shot Evaluation of Information Retrieval Models. In: NeurIPS Datasets and Benchmarks Track (2021)</w:t>
      </w:r>
    </w:p>
    <w:p w14:paraId="071DF77C" w14:textId="77777777" w:rsidR="00B24390" w:rsidRDefault="00000000">
      <w:pPr>
        <w:spacing w:after="80"/>
        <w:ind w:left="360" w:hanging="360"/>
      </w:pPr>
      <w:r>
        <w:rPr>
          <w:color w:val="666666"/>
          <w:sz w:val="19"/>
        </w:rPr>
        <w:t>6. Wang, W., Wei, F., Dong, L., Bao, H., Yang, N., Zhou, M.: MiniLM: Deep Self-Attention Distillation for Task-Agnostic Compression of Pre-Trained Transformers. In: Advances in Neural Information Processing Systems 33, pp. 5776–5788 (2020)</w:t>
      </w:r>
    </w:p>
    <w:sectPr w:rsidR="00B24390" w:rsidSect="00F5161B">
      <w:headerReference w:type="default" r:id="rId13"/>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47D1" w14:textId="77777777" w:rsidR="00484115" w:rsidRDefault="00484115" w:rsidP="00F5161B">
      <w:pPr>
        <w:spacing w:after="0" w:line="240" w:lineRule="auto"/>
      </w:pPr>
      <w:r>
        <w:separator/>
      </w:r>
    </w:p>
  </w:endnote>
  <w:endnote w:type="continuationSeparator" w:id="0">
    <w:p w14:paraId="0393E5F5" w14:textId="77777777" w:rsidR="00484115" w:rsidRDefault="00484115"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4B123" w14:textId="77777777" w:rsidR="00484115" w:rsidRDefault="00484115" w:rsidP="00F5161B">
      <w:pPr>
        <w:spacing w:after="0" w:line="240" w:lineRule="auto"/>
      </w:pPr>
      <w:r>
        <w:separator/>
      </w:r>
    </w:p>
  </w:footnote>
  <w:footnote w:type="continuationSeparator" w:id="0">
    <w:p w14:paraId="71905E6E" w14:textId="77777777" w:rsidR="00484115" w:rsidRDefault="00484115"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50F3" w14:textId="77777777" w:rsidR="00F5161B" w:rsidRPr="00F5161B" w:rsidRDefault="00F5161B" w:rsidP="00F5161B">
    <w:pPr>
      <w:spacing w:after="240"/>
      <w:rPr>
        <w:b/>
        <w:color w:val="1B365D"/>
        <w:sz w:val="20"/>
        <w:szCs w:val="20"/>
      </w:rPr>
    </w:pPr>
    <w:r w:rsidRPr="00F5161B">
      <w:rPr>
        <w:b/>
        <w:color w:val="1B365D"/>
        <w:sz w:val="20"/>
        <w:szCs w:val="20"/>
      </w:rPr>
      <w:t xml:space="preserve">(AI plagiarism &amp;&amp; Similarity &lt; 15%) * </w:t>
    </w:r>
  </w:p>
  <w:p w14:paraId="60C25A5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45"/>
    <w:rsid w:val="00326F90"/>
    <w:rsid w:val="00384A98"/>
    <w:rsid w:val="00484115"/>
    <w:rsid w:val="004F1A36"/>
    <w:rsid w:val="006162A3"/>
    <w:rsid w:val="006616D2"/>
    <w:rsid w:val="00661C2B"/>
    <w:rsid w:val="0076061E"/>
    <w:rsid w:val="008D0B22"/>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5EC00"/>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2633</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ojas raghav</cp:lastModifiedBy>
  <cp:revision>7</cp:revision>
  <dcterms:created xsi:type="dcterms:W3CDTF">2026-08-03T11:19:00Z</dcterms:created>
  <dcterms:modified xsi:type="dcterms:W3CDTF">2026-10-21T19:34:00Z</dcterms:modified>
  <cp:category/>
</cp:coreProperties>
</file>